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Project Overview for Client Meeting</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80" w:after="120"/>
      </w:pPr>
      <w:r>
        <w:t>Introduction and Objectives</w:t>
      </w:r>
    </w:p>
    <w:p>
      <w:pPr>
        <w:spacing w:after="120" w:line="276" w:lineRule="auto"/>
      </w:pPr>
      <w:r>
        <w:t>Project Alpha aims to develop and implement a cutting-edge software solution for XYZ Corporation, scheduled to commence on October 24, 2026, with a planned completion date of March 17, 2027, aligning with the client's expected timeline. The primary objective is to design, test, and deploy the solution, meeting the client's requirements and staying within the allocated budget of $750,000. Key objectives include enhancing operational efficiency by 20%, improving customer experience through a 30% reduction in response times, and increasing revenue growth by 15% within the first two years of implementation, based on the assumption that the solution will be fully adopted by the client's team and that market conditions will remain stable. The project's success will be measured by its ability to meet these objectives, manage identified risks, including potential delays in development and deployment, and deliver the solution on time and within budget, with regular progress updates and budget reviews to ensure alignment with the client's expectations and the project's timeline.</w:t>
      </w:r>
    </w:p>
    <w:p>
      <w:pPr>
        <w:pStyle w:val="Heading1"/>
        <w:keepNext/>
        <w:spacing w:before="280" w:after="120"/>
      </w:pPr>
      <w:r>
        <w:t>Project Timeline and Budget</w:t>
      </w:r>
    </w:p>
    <w:p>
      <w:pPr>
        <w:spacing w:after="120" w:line="276" w:lineRule="auto"/>
      </w:pPr>
      <w:r>
        <w:t>The project is expected to commence on October 24, 2026, and be completed by March 17, 2027, with the following key milestones:</w:t>
      </w:r>
    </w:p>
    <w:p>
      <w:pPr>
        <w:pStyle w:val="ListBullet"/>
        <w:spacing w:after="60"/>
      </w:pPr>
      <w:r>
        <w:t>Project kickoff and team assembly: October 24, 2026 - November 7, 2026</w:t>
      </w:r>
    </w:p>
    <w:p>
      <w:pPr>
        <w:pStyle w:val="ListBullet"/>
        <w:spacing w:after="60"/>
      </w:pPr>
      <w:r>
        <w:t>Requirements gathering and planning: November 8, 2026 - December 19, 2026</w:t>
      </w:r>
    </w:p>
    <w:p>
      <w:pPr>
        <w:pStyle w:val="ListBullet"/>
        <w:spacing w:after="60"/>
      </w:pPr>
      <w:r>
        <w:t>Development and testing: December 20, 2026 - February 27, 2027</w:t>
      </w:r>
    </w:p>
    <w:p>
      <w:pPr>
        <w:pStyle w:val="ListBullet"/>
        <w:spacing w:after="60"/>
      </w:pPr>
      <w:r>
        <w:t>Deployment and acceptance: February 28, 2027 - March 17, 2027</w:t>
      </w:r>
    </w:p>
    <w:p>
      <w:pPr>
        <w:spacing w:after="120" w:line="276" w:lineRule="auto"/>
      </w:pPr>
      <w:r>
        <w:t>The total project budget is estimated at $750,000, with a phased allocation of $150,000 for project planning, $400,000 for development and testing, and $200,000 for deployment and acceptance.</w:t>
      </w:r>
    </w:p>
    <w:p>
      <w:pPr>
        <w:pStyle w:val="Heading1"/>
        <w:keepNext/>
        <w:spacing w:before="280" w:after="120"/>
      </w:pPr>
      <w:r>
        <w:t>Risks and Mitigation Strategies</w:t>
      </w:r>
    </w:p>
    <w:p>
      <w:pPr>
        <w:spacing w:after="120" w:line="276" w:lineRule="auto"/>
      </w:pPr>
      <w:r>
        <w:t>The Project Alpha team has identified the following key risks and mitigation strategies:</w:t>
      </w:r>
    </w:p>
    <w:p>
      <w:pPr>
        <w:pStyle w:val="ListBullet"/>
        <w:spacing w:after="60"/>
      </w:pPr>
      <w:r>
        <w:t>Delays in obtaining necessary permits and approvals, mitigated by proactive engagement with regulatory bodies and submission of applications by October 24, 2026</w:t>
      </w:r>
    </w:p>
    <w:p>
      <w:pPr>
        <w:pStyle w:val="ListBullet"/>
        <w:spacing w:after="60"/>
      </w:pPr>
      <w:r>
        <w:t>Insufficient resource allocation, mitigated by securing a minimum of $15,000 for contingency planning and resource buffering</w:t>
      </w:r>
    </w:p>
    <w:p>
      <w:pPr>
        <w:pStyle w:val="ListBullet"/>
        <w:spacing w:after="60"/>
      </w:pPr>
      <w:r>
        <w:t>Potential changes in project scope, mitigated by establishing a formal change management process and obtaining client approval for any deviations from the original scope</w:t>
      </w:r>
    </w:p>
    <w:p>
      <w:pPr>
        <w:pStyle w:val="ListBullet"/>
        <w:spacing w:after="60"/>
      </w:pPr>
      <w:r>
        <w:t>Dependency on third-party vendors, mitigated by developing a vendor management plan and identifying backup suppliers</w:t>
      </w:r>
    </w:p>
    <w:p>
      <w:pPr>
        <w:pStyle w:val="ListBullet"/>
        <w:spacing w:after="60"/>
      </w:pPr>
      <w:r>
        <w:t>Cybersecurity threats, mitigated by implementing robust security measures and conducting regular risk assessments throughout the project timeline, which is currently estimated to be 12 months.</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Project Overview for Client Meeting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Project Overview for Client Meeting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