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b/>
          <w:bCs/>
          <w:color w:val="1F3A5F"/>
          <w:sz w:val="44"/>
          <w:szCs w:val="44"/>
        </w:rPr>
        <w:t xml:space="preserve">Automated Stock Picker Model</w:t>
      </w:r>
    </w:p>
    <w:p>
      <w:pPr>
        <w:spacing w:after="120"/>
        <w:jc w:val="center"/>
      </w:pPr>
      <w:r>
        <w:rPr>
          <w:b/>
          <w:bCs/>
          <w:color w:val="1F3A5F"/>
          <w:sz w:val="28"/>
          <w:szCs w:val="28"/>
        </w:rPr>
        <w:t xml:space="preserve">Professional Audit &amp; Refinement Blueprint</w:t>
      </w:r>
    </w:p>
    <w:p>
      <w:pPr>
        <w:spacing w:after="600"/>
        <w:jc w:val="center"/>
      </w:pPr>
      <w:r>
        <w:rPr>
          <w:i/>
          <w:iCs/>
          <w:color w:val="555555"/>
          <w:sz w:val="20"/>
          <w:szCs w:val="20"/>
        </w:rPr>
        <w:t xml:space="preserve">Prepared for: Shubham   |   Coverage: V4 (current) → V5 (proposed)   |   Date: 27 May 2026</w:t>
      </w:r>
    </w:p>
    <w:p>
      <w:pPr>
        <w:pStyle w:val="Heading1"/>
        <w:spacing w:after="200" w:before="300"/>
      </w:pPr>
      <w:r>
        <w:rPr>
          <w:b/>
          <w:bCs/>
          <w:color w:val="1F3A5F"/>
          <w:sz w:val="36"/>
          <w:szCs w:val="36"/>
        </w:rPr>
        <w:t xml:space="preserve">Executive Summary</w:t>
      </w:r>
    </w:p>
    <w:p>
      <w:pPr>
        <w:spacing w:after="160" w:before="0"/>
      </w:pPr>
      <w:r>
        <w:t xml:space="preserve">This document is an independent, evidence-based audit of the V4 Institutional Momentum Quant Platform you have built, followed by a concrete blueprint for a refined V5 architecture. I read the code, validated the data, recomputed risk metrics, and stress-tested the documentation's claims against the actual outputs. The findings differ materially from the V4 documentation.</w:t>
      </w:r>
    </w:p>
    <w:p>
      <w:pPr>
        <w:spacing w:after="120" w:before="0"/>
      </w:pPr>
      <w:r>
        <w:rPr>
          <w:b/>
          <w:bCs/>
          <w:color w:val="1F3A5F"/>
        </w:rPr>
        <w:t xml:space="preserve">Headline verdict:</w:t>
      </w:r>
    </w:p>
    <w:p>
      <w:pPr>
        <w:pStyle w:val="ListParagraph"/>
        <w:numPr>
          <w:ilvl w:val="0"/>
          <w:numId w:val="2"/>
        </w:numPr>
        <w:spacing w:after="80"/>
      </w:pPr>
      <w:r>
        <w:t xml:space="preserve">The current model destroys alpha. Over 2023-01-02 to 2026-04-13, the strategy compounded at 9.89% CAGR vs the equally-weighted investable benchmark's 22.43% — an Information Ratio of −0.38 (statistically meaningful underperformance, not noise).</w:t>
      </w:r>
    </w:p>
    <w:p>
      <w:pPr>
        <w:pStyle w:val="ListParagraph"/>
        <w:numPr>
          <w:ilvl w:val="0"/>
          <w:numId w:val="2"/>
        </w:numPr>
        <w:spacing w:after="80"/>
      </w:pPr>
      <w:r>
        <w:t xml:space="preserve">The 1.66× equity multiple cited in the V4 documentation is from an 'execution realism' variant tested on a shorter window — the primary backtest engine produces 1.36×, and the benchmark produces 1.94× on the same window.</w:t>
      </w:r>
    </w:p>
    <w:p>
      <w:pPr>
        <w:pStyle w:val="ListParagraph"/>
        <w:numPr>
          <w:ilvl w:val="0"/>
          <w:numId w:val="2"/>
        </w:numPr>
        <w:spacing w:after="80"/>
      </w:pPr>
      <w:r>
        <w:t xml:space="preserve">Three critical bugs were identified: a look-ahead pricing bias in the factor → trade pipeline, a non-enforcing risk overlay (live portfolio has a 12.83% position and 38.49% sector cluster — both above the documented caps), and likely survivorship bias in the historical universe.</w:t>
      </w:r>
    </w:p>
    <w:p>
      <w:pPr>
        <w:pStyle w:val="ListParagraph"/>
        <w:numPr>
          <w:ilvl w:val="0"/>
          <w:numId w:val="2"/>
        </w:numPr>
        <w:spacing w:after="80"/>
      </w:pPr>
      <w:r>
        <w:t xml:space="preserve">The factor engine has at least two numerically unstable factors (STABILITY_SCORE std ≈ 19.5M, MOM_QUALITY_60D std ≈ 81) that should be winsorized or removed.</w:t>
      </w:r>
    </w:p>
    <w:p>
      <w:pPr>
        <w:pStyle w:val="ListParagraph"/>
        <w:numPr>
          <w:ilvl w:val="0"/>
          <w:numId w:val="2"/>
        </w:numPr>
        <w:spacing w:after="80"/>
      </w:pPr>
      <w:r>
        <w:t xml:space="preserve">The 2024 calendar year drawdown of −35.64% vs benchmark is the single largest source of underperformance. This is the predictable failure mode of pure momentum in a mean-reverting regime and confirms that adaptive exposure / regime detection is essential, not optional.</w:t>
      </w:r>
    </w:p>
    <w:p>
      <w:pPr>
        <w:pStyle w:val="ListParagraph"/>
        <w:numPr>
          <w:ilvl w:val="0"/>
          <w:numId w:val="2"/>
        </w:numPr>
        <w:spacing w:after="80"/>
      </w:pPr>
      <w:r>
        <w:t xml:space="preserve">There is no fundamental quality gate, no per-position stop, no event filter, and no portfolio kill-switch. For Indian small/mid-caps these are not 'nice to have' — they are the difference between a profitable system and one that periodically blows up.</w:t>
      </w:r>
    </w:p>
    <w:p>
      <w:pPr>
        <w:spacing w:after="120" w:before="160"/>
      </w:pPr>
      <w:r>
        <w:rPr>
          <w:i/>
          <w:iCs/>
          <w:color w:val="B22222"/>
        </w:rPr>
        <w:t xml:space="preserve">Recommendation: do NOT deploy live capital on the current V4 model. The refinements in Sections 4–9 should be implemented and re-validated through 8–12 weeks of paper trading before any real money is risked. Section 8 contains a deployment-readiness checklist sized for your stated 'limited capital' starting point.</w:t>
      </w:r>
    </w:p>
    <w:p>
      <w:r>
        <w:br w:type="page"/>
      </w:r>
    </w:p>
    <w:p>
      <w:pPr>
        <w:pStyle w:val="Heading1"/>
        <w:spacing w:after="200" w:before="300"/>
      </w:pPr>
      <w:r>
        <w:rPr>
          <w:b/>
          <w:bCs/>
          <w:color w:val="1F3A5F"/>
          <w:sz w:val="36"/>
          <w:szCs w:val="36"/>
        </w:rPr>
        <w:t xml:space="preserve">1. Audit Findings — What the Code and Data Actually Show</w:t>
      </w:r>
    </w:p>
    <w:p>
      <w:pPr>
        <w:pStyle w:val="Heading2"/>
        <w:spacing w:after="140" w:before="240"/>
      </w:pPr>
      <w:r>
        <w:rPr>
          <w:b/>
          <w:bCs/>
          <w:color w:val="1F3A5F"/>
          <w:sz w:val="28"/>
          <w:szCs w:val="28"/>
        </w:rPr>
        <w:t xml:space="preserve">1.1  Documentation vs. Reality</w:t>
      </w:r>
    </w:p>
    <w:p>
      <w:pPr>
        <w:spacing w:after="120" w:before="0"/>
      </w:pPr>
      <w:r>
        <w:t xml:space="preserve">The V4 documentation summarises the system as a successful institutional momentum platform. Reading the backtest_summary.csv directly tells a sharply different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800"/>
        <w:gridCol w:w="1760"/>
      </w:tblGrid>
      <w:tr>
        <w:tc>
          <w:tcPr>
            <w:tcW w:type="dxa" w:w="280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Metric</w:t>
            </w:r>
          </w:p>
        </w:tc>
        <w:tc>
          <w:tcPr>
            <w:tcW w:type="dxa" w:w="200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V4 Doc Claim</w:t>
            </w:r>
          </w:p>
        </w:tc>
        <w:tc>
          <w:tcPr>
            <w:tcW w:type="dxa" w:w="280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backtest_summary.csv (Actual)</w:t>
            </w:r>
          </w:p>
        </w:tc>
        <w:tc>
          <w:tcPr>
            <w:tcW w:type="dxa" w:w="176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Verdict</w:t>
            </w:r>
          </w:p>
        </w:tc>
      </w:tr>
      <w:tr>
        <w:tc>
          <w:tcPr>
            <w:tcW w:type="dxa" w:w="28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Final equity</w:t>
            </w:r>
          </w:p>
        </w:tc>
        <w:tc>
          <w:tcPr>
            <w:tcW w:type="dxa" w:w="20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1.66×</w:t>
            </w:r>
          </w:p>
        </w:tc>
        <w:tc>
          <w:tcPr>
            <w:tcW w:type="dxa" w:w="28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1.362×</w:t>
            </w:r>
          </w:p>
        </w:tc>
        <w:tc>
          <w:tcPr>
            <w:tcW w:type="dxa" w:w="176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color w:val="B22222"/>
                <w:sz w:val="20"/>
                <w:szCs w:val="20"/>
              </w:rPr>
              <w:t xml:space="preserve">FAIL</w:t>
            </w:r>
          </w:p>
        </w:tc>
      </w:tr>
      <w:tr>
        <w:tc>
          <w:tcPr>
            <w:tcW w:type="dxa" w:w="28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Win rate</w:t>
            </w:r>
          </w:p>
        </w:tc>
        <w:tc>
          <w:tcPr>
            <w:tcW w:type="dxa" w:w="20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53.5%</w:t>
            </w:r>
          </w:p>
        </w:tc>
        <w:tc>
          <w:tcPr>
            <w:tcW w:type="dxa" w:w="28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50.6%</w:t>
            </w:r>
          </w:p>
        </w:tc>
        <w:tc>
          <w:tcPr>
            <w:tcW w:type="dxa" w:w="176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color w:val="B22222"/>
                <w:sz w:val="20"/>
                <w:szCs w:val="20"/>
              </w:rPr>
              <w:t xml:space="preserve">FAIL</w:t>
            </w:r>
          </w:p>
        </w:tc>
      </w:tr>
      <w:tr>
        <w:tc>
          <w:tcPr>
            <w:tcW w:type="dxa" w:w="28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Max drawdown</w:t>
            </w:r>
          </w:p>
        </w:tc>
        <w:tc>
          <w:tcPr>
            <w:tcW w:type="dxa" w:w="20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−25.5%</w:t>
            </w:r>
          </w:p>
        </w:tc>
        <w:tc>
          <w:tcPr>
            <w:tcW w:type="dxa" w:w="28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−34.67%</w:t>
            </w:r>
          </w:p>
        </w:tc>
        <w:tc>
          <w:tcPr>
            <w:tcW w:type="dxa" w:w="176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color w:val="B22222"/>
                <w:sz w:val="20"/>
                <w:szCs w:val="20"/>
              </w:rPr>
              <w:t xml:space="preserve">FAIL</w:t>
            </w:r>
          </w:p>
        </w:tc>
      </w:tr>
      <w:tr>
        <w:tc>
          <w:tcPr>
            <w:tcW w:type="dxa" w:w="28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Annualized return</w:t>
            </w:r>
          </w:p>
        </w:tc>
        <w:tc>
          <w:tcPr>
            <w:tcW w:type="dxa" w:w="20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(not stated)</w:t>
            </w:r>
          </w:p>
        </w:tc>
        <w:tc>
          <w:tcPr>
            <w:tcW w:type="dxa" w:w="28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9.89%</w:t>
            </w:r>
          </w:p>
        </w:tc>
        <w:tc>
          <w:tcPr>
            <w:tcW w:type="dxa" w:w="176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Below bench</w:t>
            </w:r>
          </w:p>
        </w:tc>
      </w:tr>
      <w:tr>
        <w:tc>
          <w:tcPr>
            <w:tcW w:type="dxa" w:w="28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Benchmark final equity</w:t>
            </w:r>
          </w:p>
        </w:tc>
        <w:tc>
          <w:tcPr>
            <w:tcW w:type="dxa" w:w="20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(not benchmarked)</w:t>
            </w:r>
          </w:p>
        </w:tc>
        <w:tc>
          <w:tcPr>
            <w:tcW w:type="dxa" w:w="28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1.941×</w:t>
            </w:r>
          </w:p>
        </w:tc>
        <w:tc>
          <w:tcPr>
            <w:tcW w:type="dxa" w:w="176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Strategy lags</w:t>
            </w:r>
          </w:p>
        </w:tc>
      </w:tr>
      <w:tr>
        <w:tc>
          <w:tcPr>
            <w:tcW w:type="dxa" w:w="28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Avg excess return per 5-day period</w:t>
            </w:r>
          </w:p>
        </w:tc>
        <w:tc>
          <w:tcPr>
            <w:tcW w:type="dxa" w:w="20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(not stated)</w:t>
            </w:r>
          </w:p>
        </w:tc>
        <w:tc>
          <w:tcPr>
            <w:tcW w:type="dxa" w:w="28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−0.193%</w:t>
            </w:r>
          </w:p>
        </w:tc>
        <w:tc>
          <w:tcPr>
            <w:tcW w:type="dxa" w:w="176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Negative alpha</w:t>
            </w:r>
          </w:p>
        </w:tc>
      </w:tr>
      <w:tr>
        <w:tc>
          <w:tcPr>
            <w:tcW w:type="dxa" w:w="28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Information Ratio</w:t>
            </w:r>
          </w:p>
        </w:tc>
        <w:tc>
          <w:tcPr>
            <w:tcW w:type="dxa" w:w="20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(not computed)</w:t>
            </w:r>
          </w:p>
        </w:tc>
        <w:tc>
          <w:tcPr>
            <w:tcW w:type="dxa" w:w="28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−0.38</w:t>
            </w:r>
          </w:p>
        </w:tc>
        <w:tc>
          <w:tcPr>
            <w:tcW w:type="dxa" w:w="176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Destroys value</w:t>
            </w:r>
          </w:p>
        </w:tc>
      </w:tr>
    </w:tbl>
    <w:p>
      <w:pPr>
        <w:spacing w:after="120" w:before="120"/>
      </w:pPr>
      <w:r>
        <w:t xml:space="preserve">The 1.66× / 53.5% / −25.5% numbers in the doc come from execution_realism_summary.csv — a 155-period variant that uses different settings (low-vol weighting, sector caps, etc.). Even so, the same file's CAGR (≈ 17%) still trails the equally-weighted investable benchmark of ≈ 22%. The headline summary should not cite the more optimistic variant without disclosing the comparable benchmark.</w:t>
      </w:r>
    </w:p>
    <w:p>
      <w:pPr>
        <w:pStyle w:val="Heading2"/>
        <w:spacing w:after="140" w:before="240"/>
      </w:pPr>
      <w:r>
        <w:rPr>
          <w:b/>
          <w:bCs/>
          <w:color w:val="1F3A5F"/>
          <w:sz w:val="28"/>
          <w:szCs w:val="28"/>
        </w:rPr>
        <w:t xml:space="preserve">1.2  Critical Bug #1 — Look-Ahead Bias in the Trade Pipeline</w:t>
      </w:r>
    </w:p>
    <w:p>
      <w:pPr>
        <w:spacing w:after="120" w:before="0"/>
      </w:pPr>
      <w:r>
        <w:rPr>
          <w:i/>
          <w:iCs/>
        </w:rPr>
        <w:t xml:space="preserve">File: backtest_factor_screen.py</w:t>
      </w:r>
    </w:p>
    <w:p>
      <w:pPr>
        <w:spacing w:after="120" w:before="0"/>
      </w:pPr>
      <w:r>
        <w:t xml:space="preserve">The backtest selects names at rebalance date T using FACTOR_SCORE computed at T, then measures forward returns from CLOSE on T to CLOSE on T+5:</w:t>
      </w:r>
    </w:p>
    <w:p>
      <w:pPr>
        <w:shd w:fill="F5F5F5" w:val="clear"/>
        <w:spacing w:after="120" w:before="80"/>
      </w:pPr>
      <w:r>
        <w:rPr>
          <w:rFonts w:ascii="Consolas" w:cs="Consolas" w:eastAsia="Consolas" w:hAnsi="Consolas"/>
          <w:sz w:val="18"/>
          <w:szCs w:val="18"/>
        </w:rPr>
        <w:t xml:space="preserve">df["FWD_CLOSE_5D"] = g["CLOSE"].shift(-5)
df["FWD_RET_5D"] = df["FWD_CLOSE_5D"] / df["CLOSE"] - 1
# selection:
snap = df[df["DATE_DT"] == dt]
selected = snap.sort_values("FACTOR_SCORE", ascending=False).head(TOP_N)</w:t>
      </w:r>
    </w:p>
    <w:p>
      <w:pPr>
        <w:spacing w:after="120" w:before="0"/>
      </w:pPr>
      <w:r>
        <w:t xml:space="preserve">FACTOR_SCORE at T includes RET_20D, RET_60D, MOM_QUALITY, ATR_TREND, VOLUME_RATIO, BREAKOUT — all computed up to and including T's close. The backtest then 'buys' at T's close (the same price it just used to decide). In production, the user does not see today's close until 15:30; the trade can only execute the next morning at the open. This look-ahead inflates returns on volatile down-bars and inflates the apparent win rate.</w:t>
      </w:r>
    </w:p>
    <w:p>
      <w:pPr>
        <w:spacing w:after="120" w:before="0"/>
      </w:pPr>
      <w:r>
        <w:rPr>
          <w:b/>
          <w:bCs/>
        </w:rPr>
        <w:t xml:space="preserve">The correct formulation:</w:t>
      </w:r>
    </w:p>
    <w:p>
      <w:pPr>
        <w:pStyle w:val="ListParagraph"/>
        <w:numPr>
          <w:ilvl w:val="0"/>
          <w:numId w:val="2"/>
        </w:numPr>
        <w:spacing w:after="80"/>
      </w:pPr>
      <w:r>
        <w:t xml:space="preserve">Compute all factors using data through T−1 close.</w:t>
      </w:r>
    </w:p>
    <w:p>
      <w:pPr>
        <w:pStyle w:val="ListParagraph"/>
        <w:numPr>
          <w:ilvl w:val="0"/>
          <w:numId w:val="2"/>
        </w:numPr>
        <w:spacing w:after="80"/>
      </w:pPr>
      <w:r>
        <w:t xml:space="preserve">Make the selection decision after T−1 close (overnight).</w:t>
      </w:r>
    </w:p>
    <w:p>
      <w:pPr>
        <w:pStyle w:val="ListParagraph"/>
        <w:numPr>
          <w:ilvl w:val="0"/>
          <w:numId w:val="2"/>
        </w:numPr>
        <w:spacing w:after="80"/>
      </w:pPr>
      <w:r>
        <w:t xml:space="preserve">Execute at T's open (or VWAP).</w:t>
      </w:r>
    </w:p>
    <w:p>
      <w:pPr>
        <w:pStyle w:val="ListParagraph"/>
        <w:numPr>
          <w:ilvl w:val="0"/>
          <w:numId w:val="2"/>
        </w:numPr>
        <w:spacing w:after="80"/>
      </w:pPr>
      <w:r>
        <w:t xml:space="preserve">Measure returns from T-open to T+5-open (or T+5-close vs T-open).</w:t>
      </w:r>
    </w:p>
    <w:p>
      <w:pPr>
        <w:spacing w:after="120" w:before="0"/>
      </w:pPr>
      <w:r>
        <w:rPr>
          <w:i/>
          <w:iCs/>
          <w:color w:val="B22222"/>
        </w:rPr>
        <w:t xml:space="preserve">Implication: real-world performance will be worse than the already-poor backtest. The model's IR of −0.38 is an upper bound.</w:t>
      </w:r>
    </w:p>
    <w:p>
      <w:pPr>
        <w:pStyle w:val="Heading2"/>
        <w:spacing w:after="140" w:before="240"/>
      </w:pPr>
      <w:r>
        <w:rPr>
          <w:b/>
          <w:bCs/>
          <w:color w:val="1F3A5F"/>
          <w:sz w:val="28"/>
          <w:szCs w:val="28"/>
        </w:rPr>
        <w:t xml:space="preserve">1.3  Critical Bug #2 — Risk Overlay Is Not Actually Enforcing Caps</w:t>
      </w:r>
    </w:p>
    <w:p>
      <w:pPr>
        <w:spacing w:after="120" w:before="0"/>
      </w:pPr>
      <w:r>
        <w:rPr>
          <w:i/>
          <w:iCs/>
        </w:rPr>
        <w:t xml:space="preserve">File: scripts/data/live_signals/daily_live_portfolio.csv (dated 2026-05-15)</w:t>
      </w:r>
    </w:p>
    <w:p>
      <w:pPr>
        <w:spacing w:after="120" w:before="0"/>
      </w:pPr>
      <w:r>
        <w:t xml:space="preserve">The V4 documentation explicitly states: 'Maximum stock weight: 10%, Maximum sector weight: 25%'. The actual live output for 15-May-2026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2200"/>
        <w:gridCol w:w="2060"/>
      </w:tblGrid>
      <w:tr>
        <w:tc>
          <w:tcPr>
            <w:tcW w:type="dxa" w:w="320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Item</w:t>
            </w:r>
          </w:p>
        </w:tc>
        <w:tc>
          <w:tcPr>
            <w:tcW w:type="dxa" w:w="190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Documented Cap</w:t>
            </w:r>
          </w:p>
        </w:tc>
        <w:tc>
          <w:tcPr>
            <w:tcW w:type="dxa" w:w="220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Actual in Live File</w:t>
            </w:r>
          </w:p>
        </w:tc>
        <w:tc>
          <w:tcPr>
            <w:tcW w:type="dxa" w:w="206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Verdict</w:t>
            </w:r>
          </w:p>
        </w:tc>
      </w:tr>
      <w:tr>
        <w:tc>
          <w:tcPr>
            <w:tcW w:type="dxa" w:w="32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Max single position (SOLARINDS)</w:t>
            </w:r>
          </w:p>
        </w:tc>
        <w:tc>
          <w:tcPr>
            <w:tcW w:type="dxa" w:w="19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10.00%</w:t>
            </w:r>
          </w:p>
        </w:tc>
        <w:tc>
          <w:tcPr>
            <w:tcW w:type="dxa" w:w="22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12.83%</w:t>
            </w:r>
          </w:p>
        </w:tc>
        <w:tc>
          <w:tcPr>
            <w:tcW w:type="dxa" w:w="206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color w:val="B22222"/>
                <w:sz w:val="20"/>
                <w:szCs w:val="20"/>
              </w:rPr>
              <w:t xml:space="preserve">BUG — cap breached</w:t>
            </w:r>
          </w:p>
        </w:tc>
      </w:tr>
      <w:tr>
        <w:tc>
          <w:tcPr>
            <w:tcW w:type="dxa" w:w="32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Max single position (AUROPHARMA)</w:t>
            </w:r>
          </w:p>
        </w:tc>
        <w:tc>
          <w:tcPr>
            <w:tcW w:type="dxa" w:w="19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10.00%</w:t>
            </w:r>
          </w:p>
        </w:tc>
        <w:tc>
          <w:tcPr>
            <w:tcW w:type="dxa" w:w="22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12.83%</w:t>
            </w:r>
          </w:p>
        </w:tc>
        <w:tc>
          <w:tcPr>
            <w:tcW w:type="dxa" w:w="206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color w:val="B22222"/>
                <w:sz w:val="20"/>
                <w:szCs w:val="20"/>
              </w:rPr>
              <w:t xml:space="preserve">BUG — cap breached</w:t>
            </w:r>
          </w:p>
        </w:tc>
      </w:tr>
      <w:tr>
        <w:tc>
          <w:tcPr>
            <w:tcW w:type="dxa" w:w="32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Max sector (Diversified / Others)</w:t>
            </w:r>
          </w:p>
        </w:tc>
        <w:tc>
          <w:tcPr>
            <w:tcW w:type="dxa" w:w="19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25.00%</w:t>
            </w:r>
          </w:p>
        </w:tc>
        <w:tc>
          <w:tcPr>
            <w:tcW w:type="dxa" w:w="22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38.49%</w:t>
            </w:r>
          </w:p>
        </w:tc>
        <w:tc>
          <w:tcPr>
            <w:tcW w:type="dxa" w:w="206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color w:val="B22222"/>
                <w:sz w:val="20"/>
                <w:szCs w:val="20"/>
              </w:rPr>
              <w:t xml:space="preserve">BUG — cap breached</w:t>
            </w:r>
          </w:p>
        </w:tc>
      </w:tr>
      <w:tr>
        <w:tc>
          <w:tcPr>
            <w:tcW w:type="dxa" w:w="32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Avg position size</w:t>
            </w:r>
          </w:p>
        </w:tc>
        <w:tc>
          <w:tcPr>
            <w:tcW w:type="dxa" w:w="19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5.00%</w:t>
            </w:r>
          </w:p>
        </w:tc>
        <w:tc>
          <w:tcPr>
            <w:tcW w:type="dxa" w:w="22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5.00%</w:t>
            </w:r>
          </w:p>
        </w:tc>
        <w:tc>
          <w:tcPr>
            <w:tcW w:type="dxa" w:w="206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color w:val="2E7D32"/>
                <w:sz w:val="20"/>
                <w:szCs w:val="20"/>
              </w:rPr>
              <w:t xml:space="preserve">OK</w:t>
            </w:r>
          </w:p>
        </w:tc>
      </w:tr>
    </w:tbl>
    <w:p>
      <w:pPr>
        <w:spacing w:after="120" w:before="0"/>
      </w:pPr>
      <w:r>
        <w:t xml:space="preserve">The iterative redistribution loop in portfolio_risk_overlay.py is either not converging or 'Diversified / Others' is acting as a catch-all that absorbs anything the sector-mapper can't classify, which then exceeds the cap by construction. Either way: the documented risk controls do not exist in the live signal that you are presumably broadcasting via Telegram.</w:t>
      </w:r>
    </w:p>
    <w:p>
      <w:pPr>
        <w:pStyle w:val="Heading2"/>
        <w:spacing w:after="140" w:before="240"/>
      </w:pPr>
      <w:r>
        <w:rPr>
          <w:b/>
          <w:bCs/>
          <w:color w:val="1F3A5F"/>
          <w:sz w:val="28"/>
          <w:szCs w:val="28"/>
        </w:rPr>
        <w:t xml:space="preserve">1.4  Critical Bug #3 — Survivorship Bias in the Universe</w:t>
      </w:r>
    </w:p>
    <w:p>
      <w:pPr>
        <w:spacing w:after="120" w:before="0"/>
      </w:pPr>
      <w:r>
        <w:rPr>
          <w:i/>
          <w:iCs/>
        </w:rPr>
        <w:t xml:space="preserve">File: build_market_database.py and master_history.csv</w:t>
      </w:r>
    </w:p>
    <w:p>
      <w:pPr>
        <w:spacing w:after="120" w:before="0"/>
      </w:pPr>
      <w:r>
        <w:t xml:space="preserve">The master_equity_history.csv is built by aggregating bhavcopies. The universe of symbols on each historical date is whatever appears in the bhavcopy for that date — which is good. However, when the factor database joins/filters and produces the ranked universe, there is no check that the symbol was still traded on the date in question, or that delistings/suspensions are preserved as terminal NA returns rather than dropped. Stocks that were suspended for fraud between 2023 and 2026 (a non-trivial list in Indian small caps) likely disappear from the panel entirely, which biases the backtest upward.</w:t>
      </w:r>
    </w:p>
    <w:p>
      <w:pPr>
        <w:spacing w:after="120" w:before="0"/>
      </w:pPr>
      <w:r>
        <w:rPr>
          <w:i/>
          <w:iCs/>
          <w:color w:val="B22222"/>
        </w:rPr>
        <w:t xml:space="preserve">The fact that the strategy still underperforms even with survivorship bias is a more damning signal than the underperformance itself.</w:t>
      </w:r>
    </w:p>
    <w:p>
      <w:pPr>
        <w:pStyle w:val="Heading2"/>
        <w:spacing w:after="140" w:before="240"/>
      </w:pPr>
      <w:r>
        <w:rPr>
          <w:b/>
          <w:bCs/>
          <w:color w:val="1F3A5F"/>
          <w:sz w:val="28"/>
          <w:szCs w:val="28"/>
        </w:rPr>
        <w:t xml:space="preserve">1.5  Factor Construction Defects</w:t>
      </w:r>
    </w:p>
    <w:p>
      <w:pPr>
        <w:spacing w:after="120" w:before="0"/>
      </w:pPr>
      <w:r>
        <w:rPr>
          <w:i/>
          <w:iCs/>
        </w:rPr>
        <w:t xml:space="preserve">File: build_factor_database_v2.py + factor_quality_report_v2.csv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2700"/>
        <w:gridCol w:w="2160"/>
      </w:tblGrid>
      <w:tr>
        <w:tc>
          <w:tcPr>
            <w:tcW w:type="dxa" w:w="240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Factor</w:t>
            </w:r>
          </w:p>
        </w:tc>
        <w:tc>
          <w:tcPr>
            <w:tcW w:type="dxa" w:w="210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Formula</w:t>
            </w:r>
          </w:p>
        </w:tc>
        <w:tc>
          <w:tcPr>
            <w:tcW w:type="dxa" w:w="270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Issue</w:t>
            </w:r>
          </w:p>
        </w:tc>
        <w:tc>
          <w:tcPr>
            <w:tcW w:type="dxa" w:w="216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Impact</w:t>
            </w:r>
          </w:p>
        </w:tc>
      </w:tr>
      <w:tr>
        <w:tc>
          <w:tcPr>
            <w:tcW w:type="dxa" w:w="24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STABILITY_SCORE</w:t>
            </w:r>
          </w:p>
        </w:tc>
        <w:tc>
          <w:tcPr>
            <w:tcW w:type="dxa" w:w="21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1 / (vol + 1e-9)</w:t>
            </w:r>
          </w:p>
        </w:tc>
        <w:tc>
          <w:tcPr>
            <w:tcW w:type="dxa" w:w="27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Explodes when vol → 0 (illiquid stocks, post-IPO)</w:t>
            </w:r>
          </w:p>
        </w:tc>
        <w:tc>
          <w:tcPr>
            <w:tcW w:type="dxa" w:w="216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Std = 19,503,595 — unusable raw, must be ranked</w:t>
            </w:r>
          </w:p>
        </w:tc>
      </w:tr>
      <w:tr>
        <w:tc>
          <w:tcPr>
            <w:tcW w:type="dxa" w:w="24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MOM_QUALITY_60D</w:t>
            </w:r>
          </w:p>
        </w:tc>
        <w:tc>
          <w:tcPr>
            <w:tcW w:type="dxa" w:w="21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RET_60D / vol</w:t>
            </w:r>
          </w:p>
        </w:tc>
        <w:tc>
          <w:tcPr>
            <w:tcW w:type="dxa" w:w="27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Same divide-by-near-zero</w:t>
            </w:r>
          </w:p>
        </w:tc>
        <w:tc>
          <w:tcPr>
            <w:tcW w:type="dxa" w:w="216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Std = 81; outliers dominate ranks</w:t>
            </w:r>
          </w:p>
        </w:tc>
      </w:tr>
      <w:tr>
        <w:tc>
          <w:tcPr>
            <w:tcW w:type="dxa" w:w="24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ATR_TREND_50</w:t>
            </w:r>
          </w:p>
        </w:tc>
        <w:tc>
          <w:tcPr>
            <w:tcW w:type="dxa" w:w="21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(C − SMA50) / ATR</w:t>
            </w:r>
          </w:p>
        </w:tc>
        <w:tc>
          <w:tcPr>
            <w:tcW w:type="dxa" w:w="27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ATR near zero in low-vol names</w:t>
            </w:r>
          </w:p>
        </w:tc>
        <w:tc>
          <w:tcPr>
            <w:tcW w:type="dxa" w:w="216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Std = 7.96</w:t>
            </w:r>
          </w:p>
        </w:tc>
      </w:tr>
      <w:tr>
        <w:tc>
          <w:tcPr>
            <w:tcW w:type="dxa" w:w="24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VOLATILITY_20D</w:t>
            </w:r>
          </w:p>
        </w:tc>
        <w:tc>
          <w:tcPr>
            <w:tcW w:type="dxa" w:w="21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rolling std of RET_5D × √252</w:t>
            </w:r>
          </w:p>
        </w:tc>
        <w:tc>
          <w:tcPr>
            <w:tcW w:type="dxa" w:w="27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Uses 5-day return std (not 1-day); annualization factor is wrong</w:t>
            </w:r>
          </w:p>
        </w:tc>
        <w:tc>
          <w:tcPr>
            <w:tcW w:type="dxa" w:w="216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Misstates true vol by ~√5</w:t>
            </w:r>
          </w:p>
        </w:tc>
      </w:tr>
      <w:tr>
        <w:tc>
          <w:tcPr>
            <w:tcW w:type="dxa" w:w="24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BREAKOUT_PARTICIPATION_252D</w:t>
            </w:r>
          </w:p>
        </w:tc>
        <w:tc>
          <w:tcPr>
            <w:tcW w:type="dxa" w:w="21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C/HIGH_252 × tv_ratio</w:t>
            </w:r>
          </w:p>
        </w:tc>
        <w:tc>
          <w:tcPr>
            <w:tcW w:type="dxa" w:w="27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640k missing values (40% of panel)</w:t>
            </w:r>
          </w:p>
        </w:tc>
        <w:tc>
          <w:tcPr>
            <w:tcW w:type="dxa" w:w="216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FACTOR_SCORE inherits the gaps — many stocks score NaN for early years</w:t>
            </w:r>
          </w:p>
        </w:tc>
      </w:tr>
    </w:tbl>
    <w:p>
      <w:pPr>
        <w:spacing w:after="120" w:before="0"/>
      </w:pPr>
      <w:r>
        <w:t xml:space="preserve">V2 already addressed STABILITY_SCORE by dropping it from the weighted score, but the underlying factor is still computed and stored. The other defects remain. Standard institutional practice: winsorize at ±3σ, fill missing factors with cross-sectional median before ranking, and never let any single factor exceed a 25% weight in the composite without a stability argument.</w:t>
      </w:r>
    </w:p>
    <w:p>
      <w:pPr>
        <w:pStyle w:val="Heading2"/>
        <w:spacing w:after="140" w:before="240"/>
      </w:pPr>
      <w:r>
        <w:rPr>
          <w:b/>
          <w:bCs/>
          <w:color w:val="1F3A5F"/>
          <w:sz w:val="28"/>
          <w:szCs w:val="28"/>
        </w:rPr>
        <w:t xml:space="preserve">1.6  Execution Cost Is Understated</w:t>
      </w:r>
    </w:p>
    <w:p>
      <w:pPr>
        <w:spacing w:after="120" w:before="0"/>
      </w:pPr>
      <w:r>
        <w:t xml:space="preserve">The backtest uses a flat 0.4% round-trip cost. For NSE small/mid-caps in the ₹500 Cr–₹5,000 Cr market-cap range that this strategy frequently selects, a realistic round-trip cost decomposes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600"/>
        <w:gridCol w:w="1700"/>
        <w:gridCol w:w="3360"/>
      </w:tblGrid>
      <w:tr>
        <w:tc>
          <w:tcPr>
            <w:tcW w:type="dxa" w:w="270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Cost Component</w:t>
            </w:r>
          </w:p>
        </w:tc>
        <w:tc>
          <w:tcPr>
            <w:tcW w:type="dxa" w:w="160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Per Side</w:t>
            </w:r>
          </w:p>
        </w:tc>
        <w:tc>
          <w:tcPr>
            <w:tcW w:type="dxa" w:w="170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Round-Trip</w:t>
            </w:r>
          </w:p>
        </w:tc>
        <w:tc>
          <w:tcPr>
            <w:tcW w:type="dxa" w:w="336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Notes</w:t>
            </w:r>
          </w:p>
        </w:tc>
      </w:tr>
      <w:tr>
        <w:tc>
          <w:tcPr>
            <w:tcW w:type="dxa" w:w="27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Brokerage (Zerodha equivalent)</w:t>
            </w:r>
          </w:p>
        </w:tc>
        <w:tc>
          <w:tcPr>
            <w:tcW w:type="dxa" w:w="16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0.03%</w:t>
            </w:r>
          </w:p>
        </w:tc>
        <w:tc>
          <w:tcPr>
            <w:tcW w:type="dxa" w:w="17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0.06%</w:t>
            </w:r>
          </w:p>
        </w:tc>
        <w:tc>
          <w:tcPr>
            <w:tcW w:type="dxa" w:w="336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Capped at ₹20</w:t>
            </w:r>
          </w:p>
        </w:tc>
      </w:tr>
      <w:tr>
        <w:tc>
          <w:tcPr>
            <w:tcW w:type="dxa" w:w="27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STT (delivery)</w:t>
            </w:r>
          </w:p>
        </w:tc>
        <w:tc>
          <w:tcPr>
            <w:tcW w:type="dxa" w:w="16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0.10% buy + 0.025% sell</w:t>
            </w:r>
          </w:p>
        </w:tc>
        <w:tc>
          <w:tcPr>
            <w:tcW w:type="dxa" w:w="17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0.125%</w:t>
            </w:r>
          </w:p>
        </w:tc>
        <w:tc>
          <w:tcPr>
            <w:tcW w:type="dxa" w:w="336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Government tax, non-negotiable</w:t>
            </w:r>
          </w:p>
        </w:tc>
      </w:tr>
      <w:tr>
        <w:tc>
          <w:tcPr>
            <w:tcW w:type="dxa" w:w="27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Exchange + SEBI + clearing</w:t>
            </w:r>
          </w:p>
        </w:tc>
        <w:tc>
          <w:tcPr>
            <w:tcW w:type="dxa" w:w="16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~0.004%</w:t>
            </w:r>
          </w:p>
        </w:tc>
        <w:tc>
          <w:tcPr>
            <w:tcW w:type="dxa" w:w="17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0.008%</w:t>
            </w:r>
          </w:p>
        </w:tc>
        <w:tc>
          <w:tcPr>
            <w:tcW w:type="dxa" w:w="336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
            </w:r>
          </w:p>
        </w:tc>
      </w:tr>
      <w:tr>
        <w:tc>
          <w:tcPr>
            <w:tcW w:type="dxa" w:w="27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GST (on brokerage + exchange)</w:t>
            </w:r>
          </w:p>
        </w:tc>
        <w:tc>
          <w:tcPr>
            <w:tcW w:type="dxa" w:w="16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18% of above</w:t>
            </w:r>
          </w:p>
        </w:tc>
        <w:tc>
          <w:tcPr>
            <w:tcW w:type="dxa" w:w="17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0.012%</w:t>
            </w:r>
          </w:p>
        </w:tc>
        <w:tc>
          <w:tcPr>
            <w:tcW w:type="dxa" w:w="336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
            </w:r>
          </w:p>
        </w:tc>
      </w:tr>
      <w:tr>
        <w:tc>
          <w:tcPr>
            <w:tcW w:type="dxa" w:w="27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Stamp duty (buy only)</w:t>
            </w:r>
          </w:p>
        </w:tc>
        <w:tc>
          <w:tcPr>
            <w:tcW w:type="dxa" w:w="16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0.015%</w:t>
            </w:r>
          </w:p>
        </w:tc>
        <w:tc>
          <w:tcPr>
            <w:tcW w:type="dxa" w:w="17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0.015%</w:t>
            </w:r>
          </w:p>
        </w:tc>
        <w:tc>
          <w:tcPr>
            <w:tcW w:type="dxa" w:w="336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
            </w:r>
          </w:p>
        </w:tc>
      </w:tr>
      <w:tr>
        <w:tc>
          <w:tcPr>
            <w:tcW w:type="dxa" w:w="27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Slippage (₹500-2000 Cr small caps)</w:t>
            </w:r>
          </w:p>
        </w:tc>
        <w:tc>
          <w:tcPr>
            <w:tcW w:type="dxa" w:w="16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0.15-0.30%</w:t>
            </w:r>
          </w:p>
        </w:tc>
        <w:tc>
          <w:tcPr>
            <w:tcW w:type="dxa" w:w="17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0.30-0.60%</w:t>
            </w:r>
          </w:p>
        </w:tc>
        <w:tc>
          <w:tcPr>
            <w:tcW w:type="dxa" w:w="336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Higher for larger ticket sizes</w:t>
            </w:r>
          </w:p>
        </w:tc>
      </w:tr>
      <w:tr>
        <w:tc>
          <w:tcPr>
            <w:tcW w:type="dxa" w:w="27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TOTAL realistic round-trip</w:t>
            </w:r>
          </w:p>
        </w:tc>
        <w:tc>
          <w:tcPr>
            <w:tcW w:type="dxa" w:w="16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
            </w:r>
          </w:p>
        </w:tc>
        <w:tc>
          <w:tcPr>
            <w:tcW w:type="dxa" w:w="17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0.52-0.82%</w:t>
            </w:r>
          </w:p>
        </w:tc>
        <w:tc>
          <w:tcPr>
            <w:tcW w:type="dxa" w:w="336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w:t>
            </w:r>
          </w:p>
        </w:tc>
      </w:tr>
    </w:tbl>
    <w:p>
      <w:pPr>
        <w:spacing w:after="120" w:before="0"/>
      </w:pPr>
      <w:r>
        <w:t xml:space="preserve">Using 40 bps instead of 65 bps overstates annual returns by ~5 percentage points at 20 turnover/year. The backtest's already-negative alpha is even more negative after this correction.</w:t>
      </w:r>
    </w:p>
    <w:p>
      <w:pPr>
        <w:pStyle w:val="Heading2"/>
        <w:spacing w:after="140" w:before="240"/>
      </w:pPr>
      <w:r>
        <w:rPr>
          <w:b/>
          <w:bCs/>
          <w:color w:val="1F3A5F"/>
          <w:sz w:val="28"/>
          <w:szCs w:val="28"/>
        </w:rPr>
        <w:t xml:space="preserve">1.7  Missing Foundations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360"/>
      </w:tblGrid>
      <w:tr>
        <w:tc>
          <w:tcPr>
            <w:tcW w:type="dxa" w:w="220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Capability</w:t>
            </w:r>
          </w:p>
        </w:tc>
        <w:tc>
          <w:tcPr>
            <w:tcW w:type="dxa" w:w="190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Current State</w:t>
            </w:r>
          </w:p>
        </w:tc>
        <w:tc>
          <w:tcPr>
            <w:tcW w:type="dxa" w:w="536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Why It Matters</w:t>
            </w:r>
          </w:p>
        </w:tc>
      </w:tr>
      <w:tr>
        <w:tc>
          <w:tcPr>
            <w:tcW w:type="dxa" w:w="22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Regime detection</w:t>
            </w:r>
          </w:p>
        </w:tc>
        <w:tc>
          <w:tcPr>
            <w:tcW w:type="dxa" w:w="19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None — relies on per-stock C &gt; SMA50</w:t>
            </w:r>
          </w:p>
        </w:tc>
        <w:tc>
          <w:tcPr>
            <w:tcW w:type="dxa" w:w="536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Pure momentum gets crushed in mean-reverting regimes (2024 cost you 35.6 pts vs bench)</w:t>
            </w:r>
          </w:p>
        </w:tc>
      </w:tr>
      <w:tr>
        <w:tc>
          <w:tcPr>
            <w:tcW w:type="dxa" w:w="22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Position-level stop loss</w:t>
            </w:r>
          </w:p>
        </w:tc>
        <w:tc>
          <w:tcPr>
            <w:tcW w:type="dxa" w:w="19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None — rebalance is the only exit</w:t>
            </w:r>
          </w:p>
        </w:tc>
        <w:tc>
          <w:tcPr>
            <w:tcW w:type="dxa" w:w="536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Single bad name can lose 30%+ in one week and you wait for Friday</w:t>
            </w:r>
          </w:p>
        </w:tc>
      </w:tr>
      <w:tr>
        <w:tc>
          <w:tcPr>
            <w:tcW w:type="dxa" w:w="22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Fundamental quality gate</w:t>
            </w:r>
          </w:p>
        </w:tc>
        <w:tc>
          <w:tcPr>
            <w:tcW w:type="dxa" w:w="19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None</w:t>
            </w:r>
          </w:p>
        </w:tc>
        <w:tc>
          <w:tcPr>
            <w:tcW w:type="dxa" w:w="536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Momentum picks operator-driven micro-caps that get hit by SEBI ASM/GSM or operator dumps</w:t>
            </w:r>
          </w:p>
        </w:tc>
      </w:tr>
      <w:tr>
        <w:tc>
          <w:tcPr>
            <w:tcW w:type="dxa" w:w="22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Event filter</w:t>
            </w:r>
          </w:p>
        </w:tc>
        <w:tc>
          <w:tcPr>
            <w:tcW w:type="dxa" w:w="19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None</w:t>
            </w:r>
          </w:p>
        </w:tc>
        <w:tc>
          <w:tcPr>
            <w:tcW w:type="dxa" w:w="536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Buying into results week, post-bonus, post-block-deal periods is buying random noise</w:t>
            </w:r>
          </w:p>
        </w:tc>
      </w:tr>
      <w:tr>
        <w:tc>
          <w:tcPr>
            <w:tcW w:type="dxa" w:w="22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Survivorship-safe universe</w:t>
            </w:r>
          </w:p>
        </w:tc>
        <w:tc>
          <w:tcPr>
            <w:tcW w:type="dxa" w:w="19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Not verified</w:t>
            </w:r>
          </w:p>
        </w:tc>
        <w:tc>
          <w:tcPr>
            <w:tcW w:type="dxa" w:w="536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Inflates backtest, fragile in live</w:t>
            </w:r>
          </w:p>
        </w:tc>
      </w:tr>
      <w:tr>
        <w:tc>
          <w:tcPr>
            <w:tcW w:type="dxa" w:w="22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Tax-aware turnover</w:t>
            </w:r>
          </w:p>
        </w:tc>
        <w:tc>
          <w:tcPr>
            <w:tcW w:type="dxa" w:w="19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None</w:t>
            </w:r>
          </w:p>
        </w:tc>
        <w:tc>
          <w:tcPr>
            <w:tcW w:type="dxa" w:w="536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Weekly rebalance = all STCG (20% post-Budget 2024) — drags ~3% off CAGR after-tax</w:t>
            </w:r>
          </w:p>
        </w:tc>
      </w:tr>
      <w:tr>
        <w:tc>
          <w:tcPr>
            <w:tcW w:type="dxa" w:w="22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Portfolio kill switch</w:t>
            </w:r>
          </w:p>
        </w:tc>
        <w:tc>
          <w:tcPr>
            <w:tcW w:type="dxa" w:w="19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None</w:t>
            </w:r>
          </w:p>
        </w:tc>
        <w:tc>
          <w:tcPr>
            <w:tcW w:type="dxa" w:w="536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Once a strategy starts breaking, it should auto-pause, not keep firing trades</w:t>
            </w:r>
          </w:p>
        </w:tc>
      </w:tr>
      <w:tr>
        <w:tc>
          <w:tcPr>
            <w:tcW w:type="dxa" w:w="22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Confidence score per pick</w:t>
            </w:r>
          </w:p>
        </w:tc>
        <w:tc>
          <w:tcPr>
            <w:tcW w:type="dxa" w:w="19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None</w:t>
            </w:r>
          </w:p>
        </w:tc>
        <w:tc>
          <w:tcPr>
            <w:tcW w:type="dxa" w:w="536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All Top-20 picks broadcast as equal-conviction</w:t>
            </w:r>
          </w:p>
        </w:tc>
      </w:tr>
    </w:tbl>
    <w:p>
      <w:r>
        <w:br w:type="page"/>
      </w:r>
    </w:p>
    <w:p>
      <w:pPr>
        <w:pStyle w:val="Heading1"/>
        <w:spacing w:after="200" w:before="300"/>
      </w:pPr>
      <w:r>
        <w:rPr>
          <w:b/>
          <w:bCs/>
          <w:color w:val="1F3A5F"/>
          <w:sz w:val="36"/>
          <w:szCs w:val="36"/>
        </w:rPr>
        <w:t xml:space="preserve">2. Risk-Adjusted Performance — Reality Check</w:t>
      </w:r>
    </w:p>
    <w:p>
      <w:pPr>
        <w:spacing w:after="120" w:before="0"/>
      </w:pPr>
      <w:r>
        <w:t xml:space="preserve">These metrics are computed directly from your backtest_equity_curve.csv (162 five-day rebalance periods, 2023-01-02 to 2026-04-13). I use a 7% risk-free rate (10-year G-Sec) and ~50 five-day periods per year for annualization.</w:t>
      </w:r>
    </w:p>
    <w:p>
      <w:pPr>
        <w:pStyle w:val="Heading2"/>
        <w:spacing w:after="140" w:before="240"/>
      </w:pPr>
      <w:r>
        <w:rPr>
          <w:b/>
          <w:bCs/>
          <w:color w:val="1F3A5F"/>
          <w:sz w:val="28"/>
          <w:szCs w:val="28"/>
        </w:rPr>
        <w:t xml:space="preserve">2.1  Headline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00"/>
        <w:gridCol w:w="2400"/>
        <w:gridCol w:w="1560"/>
      </w:tblGrid>
      <w:tr>
        <w:tc>
          <w:tcPr>
            <w:tcW w:type="dxa" w:w="350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Metric</w:t>
            </w:r>
          </w:p>
        </w:tc>
        <w:tc>
          <w:tcPr>
            <w:tcW w:type="dxa" w:w="190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Portfolio (model)</w:t>
            </w:r>
          </w:p>
        </w:tc>
        <w:tc>
          <w:tcPr>
            <w:tcW w:type="dxa" w:w="240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Benchmark (eq-wt universe)</w:t>
            </w:r>
          </w:p>
        </w:tc>
        <w:tc>
          <w:tcPr>
            <w:tcW w:type="dxa" w:w="156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Δ</w:t>
            </w:r>
          </w:p>
        </w:tc>
      </w:tr>
      <w:tr>
        <w:tc>
          <w:tcPr>
            <w:tcW w:type="dxa" w:w="35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Final equity multiple</w:t>
            </w:r>
          </w:p>
        </w:tc>
        <w:tc>
          <w:tcPr>
            <w:tcW w:type="dxa" w:w="19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1.362×</w:t>
            </w:r>
          </w:p>
        </w:tc>
        <w:tc>
          <w:tcPr>
            <w:tcW w:type="dxa" w:w="24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1.941×</w:t>
            </w:r>
          </w:p>
        </w:tc>
        <w:tc>
          <w:tcPr>
            <w:tcW w:type="dxa" w:w="156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−0.579×</w:t>
            </w:r>
          </w:p>
        </w:tc>
      </w:tr>
      <w:tr>
        <w:tc>
          <w:tcPr>
            <w:tcW w:type="dxa" w:w="35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CAGR</w:t>
            </w:r>
          </w:p>
        </w:tc>
        <w:tc>
          <w:tcPr>
            <w:tcW w:type="dxa" w:w="19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9.89%</w:t>
            </w:r>
          </w:p>
        </w:tc>
        <w:tc>
          <w:tcPr>
            <w:tcW w:type="dxa" w:w="24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22.43%</w:t>
            </w:r>
          </w:p>
        </w:tc>
        <w:tc>
          <w:tcPr>
            <w:tcW w:type="dxa" w:w="156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−12.54 pts</w:t>
            </w:r>
          </w:p>
        </w:tc>
      </w:tr>
      <w:tr>
        <w:tc>
          <w:tcPr>
            <w:tcW w:type="dxa" w:w="35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Annualized volatility</w:t>
            </w:r>
          </w:p>
        </w:tc>
        <w:tc>
          <w:tcPr>
            <w:tcW w:type="dxa" w:w="19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26.75%</w:t>
            </w:r>
          </w:p>
        </w:tc>
        <w:tc>
          <w:tcPr>
            <w:tcW w:type="dxa" w:w="24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20.17%</w:t>
            </w:r>
          </w:p>
        </w:tc>
        <w:tc>
          <w:tcPr>
            <w:tcW w:type="dxa" w:w="156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+6.58 pts (worse)</w:t>
            </w:r>
          </w:p>
        </w:tc>
      </w:tr>
      <w:tr>
        <w:tc>
          <w:tcPr>
            <w:tcW w:type="dxa" w:w="35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Sharpe ratio</w:t>
            </w:r>
          </w:p>
        </w:tc>
        <w:tc>
          <w:tcPr>
            <w:tcW w:type="dxa" w:w="19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0.22</w:t>
            </w:r>
          </w:p>
        </w:tc>
        <w:tc>
          <w:tcPr>
            <w:tcW w:type="dxa" w:w="24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0.77</w:t>
            </w:r>
          </w:p>
        </w:tc>
        <w:tc>
          <w:tcPr>
            <w:tcW w:type="dxa" w:w="156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−0.55</w:t>
            </w:r>
          </w:p>
        </w:tc>
      </w:tr>
      <w:tr>
        <w:tc>
          <w:tcPr>
            <w:tcW w:type="dxa" w:w="35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Sortino ratio</w:t>
            </w:r>
          </w:p>
        </w:tc>
        <w:tc>
          <w:tcPr>
            <w:tcW w:type="dxa" w:w="19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0.39</w:t>
            </w:r>
          </w:p>
        </w:tc>
        <w:tc>
          <w:tcPr>
            <w:tcW w:type="dxa" w:w="24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1.18</w:t>
            </w:r>
          </w:p>
        </w:tc>
        <w:tc>
          <w:tcPr>
            <w:tcW w:type="dxa" w:w="156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−0.79</w:t>
            </w:r>
          </w:p>
        </w:tc>
      </w:tr>
      <w:tr>
        <w:tc>
          <w:tcPr>
            <w:tcW w:type="dxa" w:w="35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Calmar ratio</w:t>
            </w:r>
          </w:p>
        </w:tc>
        <w:tc>
          <w:tcPr>
            <w:tcW w:type="dxa" w:w="19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0.29</w:t>
            </w:r>
          </w:p>
        </w:tc>
        <w:tc>
          <w:tcPr>
            <w:tcW w:type="dxa" w:w="24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0.83</w:t>
            </w:r>
          </w:p>
        </w:tc>
        <w:tc>
          <w:tcPr>
            <w:tcW w:type="dxa" w:w="156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−0.54</w:t>
            </w:r>
          </w:p>
        </w:tc>
      </w:tr>
      <w:tr>
        <w:tc>
          <w:tcPr>
            <w:tcW w:type="dxa" w:w="35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Maximum drawdown</w:t>
            </w:r>
          </w:p>
        </w:tc>
        <w:tc>
          <w:tcPr>
            <w:tcW w:type="dxa" w:w="19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−34.67%</w:t>
            </w:r>
          </w:p>
        </w:tc>
        <w:tc>
          <w:tcPr>
            <w:tcW w:type="dxa" w:w="24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−27.11%</w:t>
            </w:r>
          </w:p>
        </w:tc>
        <w:tc>
          <w:tcPr>
            <w:tcW w:type="dxa" w:w="156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−7.56 pts</w:t>
            </w:r>
          </w:p>
        </w:tc>
      </w:tr>
      <w:tr>
        <w:tc>
          <w:tcPr>
            <w:tcW w:type="dxa" w:w="35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Win rate (per period)</w:t>
            </w:r>
          </w:p>
        </w:tc>
        <w:tc>
          <w:tcPr>
            <w:tcW w:type="dxa" w:w="19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50.6%</w:t>
            </w:r>
          </w:p>
        </w:tc>
        <w:tc>
          <w:tcPr>
            <w:tcW w:type="dxa" w:w="24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60.5%</w:t>
            </w:r>
          </w:p>
        </w:tc>
        <w:tc>
          <w:tcPr>
            <w:tcW w:type="dxa" w:w="156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−9.9 pts</w:t>
            </w:r>
          </w:p>
        </w:tc>
      </w:tr>
      <w:tr>
        <w:tc>
          <w:tcPr>
            <w:tcW w:type="dxa" w:w="35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Best 5-day period</w:t>
            </w:r>
          </w:p>
        </w:tc>
        <w:tc>
          <w:tcPr>
            <w:tcW w:type="dxa" w:w="19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+31.01%</w:t>
            </w:r>
          </w:p>
        </w:tc>
        <w:tc>
          <w:tcPr>
            <w:tcW w:type="dxa" w:w="24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+8.04%</w:t>
            </w:r>
          </w:p>
        </w:tc>
        <w:tc>
          <w:tcPr>
            <w:tcW w:type="dxa" w:w="156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concentration risk</w:t>
            </w:r>
          </w:p>
        </w:tc>
      </w:tr>
      <w:tr>
        <w:tc>
          <w:tcPr>
            <w:tcW w:type="dxa" w:w="35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Worst 5-day period</w:t>
            </w:r>
          </w:p>
        </w:tc>
        <w:tc>
          <w:tcPr>
            <w:tcW w:type="dxa" w:w="19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−10.92%</w:t>
            </w:r>
          </w:p>
        </w:tc>
        <w:tc>
          <w:tcPr>
            <w:tcW w:type="dxa" w:w="24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−7.30%</w:t>
            </w:r>
          </w:p>
        </w:tc>
        <w:tc>
          <w:tcPr>
            <w:tcW w:type="dxa" w:w="156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tail risk</w:t>
            </w:r>
          </w:p>
        </w:tc>
      </w:tr>
      <w:tr>
        <w:tc>
          <w:tcPr>
            <w:tcW w:type="dxa" w:w="35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Max consecutive losing periods</w:t>
            </w:r>
          </w:p>
        </w:tc>
        <w:tc>
          <w:tcPr>
            <w:tcW w:type="dxa" w:w="19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6 (~6 wks)</w:t>
            </w:r>
          </w:p>
        </w:tc>
        <w:tc>
          <w:tcPr>
            <w:tcW w:type="dxa" w:w="24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8 (~8 wks)</w:t>
            </w:r>
          </w:p>
        </w:tc>
        <w:tc>
          <w:tcPr>
            <w:tcW w:type="dxa" w:w="156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w:t>
            </w:r>
          </w:p>
        </w:tc>
      </w:tr>
      <w:tr>
        <w:tc>
          <w:tcPr>
            <w:tcW w:type="dxa" w:w="35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Information Ratio (annualized)</w:t>
            </w:r>
          </w:p>
        </w:tc>
        <w:tc>
          <w:tcPr>
            <w:tcW w:type="dxa" w:w="19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−0.38</w:t>
            </w:r>
          </w:p>
        </w:tc>
        <w:tc>
          <w:tcPr>
            <w:tcW w:type="dxa" w:w="24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w:t>
            </w:r>
          </w:p>
        </w:tc>
        <w:tc>
          <w:tcPr>
            <w:tcW w:type="dxa" w:w="156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Negative alpha</w:t>
            </w:r>
          </w:p>
        </w:tc>
      </w:tr>
      <w:tr>
        <w:tc>
          <w:tcPr>
            <w:tcW w:type="dxa" w:w="35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 of periods beating benchmark</w:t>
            </w:r>
          </w:p>
        </w:tc>
        <w:tc>
          <w:tcPr>
            <w:tcW w:type="dxa" w:w="19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44.4%</w:t>
            </w:r>
          </w:p>
        </w:tc>
        <w:tc>
          <w:tcPr>
            <w:tcW w:type="dxa" w:w="24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w:t>
            </w:r>
          </w:p>
        </w:tc>
        <w:tc>
          <w:tcPr>
            <w:tcW w:type="dxa" w:w="156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Worse than coin flip</w:t>
            </w:r>
          </w:p>
        </w:tc>
      </w:tr>
    </w:tbl>
    <w:p>
      <w:pPr>
        <w:spacing w:after="120" w:before="0"/>
      </w:pPr>
      <w:r>
        <w:rPr>
          <w:i/>
          <w:iCs/>
        </w:rPr>
        <w:t xml:space="preserve">The strategy is more volatile, has deeper drawdowns, lower win rate, lower risk-adjusted returns on every accepted measure, and has a Hit Rate vs benchmark below 50%. This is not a 'rotational tactical momentum' fingerprint — it is a 'systematically inferior to passive' fingerprint.</w:t>
      </w:r>
    </w:p>
    <w:p>
      <w:pPr>
        <w:pStyle w:val="Heading2"/>
        <w:spacing w:after="140" w:before="240"/>
      </w:pPr>
      <w:r>
        <w:rPr>
          <w:b/>
          <w:bCs/>
          <w:color w:val="1F3A5F"/>
          <w:sz w:val="28"/>
          <w:szCs w:val="28"/>
        </w:rPr>
        <w:t xml:space="preserve">2.2  Year-by-Year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360"/>
      </w:tblGrid>
      <w:tr>
        <w:tc>
          <w:tcPr>
            <w:tcW w:type="dxa" w:w="220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Calendar Year</w:t>
            </w:r>
          </w:p>
        </w:tc>
        <w:tc>
          <w:tcPr>
            <w:tcW w:type="dxa" w:w="160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Strategy</w:t>
            </w:r>
          </w:p>
        </w:tc>
        <w:tc>
          <w:tcPr>
            <w:tcW w:type="dxa" w:w="160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Benchmark</w:t>
            </w:r>
          </w:p>
        </w:tc>
        <w:tc>
          <w:tcPr>
            <w:tcW w:type="dxa" w:w="160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Excess</w:t>
            </w:r>
          </w:p>
        </w:tc>
        <w:tc>
          <w:tcPr>
            <w:tcW w:type="dxa" w:w="236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Verdict</w:t>
            </w:r>
          </w:p>
        </w:tc>
      </w:tr>
      <w:tr>
        <w:tc>
          <w:tcPr>
            <w:tcW w:type="dxa" w:w="22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2023 (49 periods)</w:t>
            </w:r>
          </w:p>
        </w:tc>
        <w:tc>
          <w:tcPr>
            <w:tcW w:type="dxa" w:w="16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+65.63%</w:t>
            </w:r>
          </w:p>
        </w:tc>
        <w:tc>
          <w:tcPr>
            <w:tcW w:type="dxa" w:w="16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+74.08%</w:t>
            </w:r>
          </w:p>
        </w:tc>
        <w:tc>
          <w:tcPr>
            <w:tcW w:type="dxa" w:w="16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−8.44%</w:t>
            </w:r>
          </w:p>
        </w:tc>
        <w:tc>
          <w:tcPr>
            <w:tcW w:type="dxa" w:w="236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Underperformed in raging bull</w:t>
            </w:r>
          </w:p>
        </w:tc>
      </w:tr>
      <w:tr>
        <w:tc>
          <w:tcPr>
            <w:tcW w:type="dxa" w:w="22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2024 (50 periods)</w:t>
            </w:r>
          </w:p>
        </w:tc>
        <w:tc>
          <w:tcPr>
            <w:tcW w:type="dxa" w:w="16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−11.35%</w:t>
            </w:r>
          </w:p>
        </w:tc>
        <w:tc>
          <w:tcPr>
            <w:tcW w:type="dxa" w:w="16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+24.29%</w:t>
            </w:r>
          </w:p>
        </w:tc>
        <w:tc>
          <w:tcPr>
            <w:tcW w:type="dxa" w:w="16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−35.64%</w:t>
            </w:r>
          </w:p>
        </w:tc>
        <w:tc>
          <w:tcPr>
            <w:tcW w:type="dxa" w:w="236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Catastrophic — strategy negative while market up 24%</w:t>
            </w:r>
          </w:p>
        </w:tc>
      </w:tr>
      <w:tr>
        <w:tc>
          <w:tcPr>
            <w:tcW w:type="dxa" w:w="22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2025 (49 periods)</w:t>
            </w:r>
          </w:p>
        </w:tc>
        <w:tc>
          <w:tcPr>
            <w:tcW w:type="dxa" w:w="16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−6.78%</w:t>
            </w:r>
          </w:p>
        </w:tc>
        <w:tc>
          <w:tcPr>
            <w:tcW w:type="dxa" w:w="16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−7.72%</w:t>
            </w:r>
          </w:p>
        </w:tc>
        <w:tc>
          <w:tcPr>
            <w:tcW w:type="dxa" w:w="16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+0.94%</w:t>
            </w:r>
          </w:p>
        </w:tc>
        <w:tc>
          <w:tcPr>
            <w:tcW w:type="dxa" w:w="236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Marginal outperformance in down year</w:t>
            </w:r>
          </w:p>
        </w:tc>
      </w:tr>
      <w:tr>
        <w:tc>
          <w:tcPr>
            <w:tcW w:type="dxa" w:w="22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2026 YTD (14 periods)</w:t>
            </w:r>
          </w:p>
        </w:tc>
        <w:tc>
          <w:tcPr>
            <w:tcW w:type="dxa" w:w="16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−0.48%</w:t>
            </w:r>
          </w:p>
        </w:tc>
        <w:tc>
          <w:tcPr>
            <w:tcW w:type="dxa" w:w="16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−2.79%</w:t>
            </w:r>
          </w:p>
        </w:tc>
        <w:tc>
          <w:tcPr>
            <w:tcW w:type="dxa" w:w="16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+2.31%</w:t>
            </w:r>
          </w:p>
        </w:tc>
        <w:tc>
          <w:tcPr>
            <w:tcW w:type="dxa" w:w="236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Marginal outperformance</w:t>
            </w:r>
          </w:p>
        </w:tc>
      </w:tr>
    </w:tbl>
    <w:p>
      <w:pPr>
        <w:spacing w:after="120" w:before="0"/>
      </w:pPr>
      <w:r>
        <w:t xml:space="preserve">The 2024 result is the model's defining failure mode. Pure momentum + low-vol weighting in an Indian small/mid-cap universe failed at exactly the moment when defensive rotation was needed (Oct-2024 FPI outflow + SEBI scrutiny of high-flying small-cap momentum names). This is precisely why a regime overlay and a fundamental quality gate are non-negotiable, not 'medium-term' improvements.</w:t>
      </w:r>
    </w:p>
    <w:p>
      <w:r>
        <w:br w:type="page"/>
      </w:r>
    </w:p>
    <w:p>
      <w:pPr>
        <w:pStyle w:val="Heading1"/>
        <w:spacing w:after="200" w:before="300"/>
      </w:pPr>
      <w:r>
        <w:rPr>
          <w:b/>
          <w:bCs/>
          <w:color w:val="1F3A5F"/>
          <w:sz w:val="36"/>
          <w:szCs w:val="36"/>
        </w:rPr>
        <w:t xml:space="preserve">3. Proposed Architecture — V5 Multi-Factor with Quality Gate</w:t>
      </w:r>
    </w:p>
    <w:p>
      <w:pPr>
        <w:pStyle w:val="Heading2"/>
        <w:spacing w:after="140" w:before="240"/>
      </w:pPr>
      <w:r>
        <w:rPr>
          <w:b/>
          <w:bCs/>
          <w:color w:val="1F3A5F"/>
          <w:sz w:val="28"/>
          <w:szCs w:val="28"/>
        </w:rPr>
        <w:t xml:space="preserve">3.1  Design Principles</w:t>
      </w:r>
    </w:p>
    <w:p>
      <w:pPr>
        <w:pStyle w:val="ListParagraph"/>
        <w:numPr>
          <w:ilvl w:val="0"/>
          <w:numId w:val="3"/>
        </w:numPr>
        <w:spacing w:after="80"/>
      </w:pPr>
      <w:r>
        <w:t xml:space="preserve">Point-in-time correctness everywhere — all factors at T use data ≤ T−1 close; trades execute at T-open.</w:t>
      </w:r>
    </w:p>
    <w:p>
      <w:pPr>
        <w:pStyle w:val="ListParagraph"/>
        <w:numPr>
          <w:ilvl w:val="0"/>
          <w:numId w:val="3"/>
        </w:numPr>
        <w:spacing w:after="80"/>
      </w:pPr>
      <w:r>
        <w:t xml:space="preserve">Multi-factor composition — momentum is one factor, not the whole portfolio. Add quality (ROCE, accruals), low-vol, and a value tilt for regime diversification.</w:t>
      </w:r>
    </w:p>
    <w:p>
      <w:pPr>
        <w:pStyle w:val="ListParagraph"/>
        <w:numPr>
          <w:ilvl w:val="0"/>
          <w:numId w:val="3"/>
        </w:numPr>
        <w:spacing w:after="80"/>
      </w:pPr>
      <w:r>
        <w:t xml:space="preserve">Mandatory fundamental gate — a name must pass a quality/governance screen before becoming eligible, regardless of momentum score.</w:t>
      </w:r>
    </w:p>
    <w:p>
      <w:pPr>
        <w:pStyle w:val="ListParagraph"/>
        <w:numPr>
          <w:ilvl w:val="0"/>
          <w:numId w:val="3"/>
        </w:numPr>
        <w:spacing w:after="80"/>
      </w:pPr>
      <w:r>
        <w:t xml:space="preserve">Regime-aware exposure — when Nifty 500 is below its 200-DMA or breadth collapses, scale down gross exposure and tilt toward quality/low-vol sleeve.</w:t>
      </w:r>
    </w:p>
    <w:p>
      <w:pPr>
        <w:pStyle w:val="ListParagraph"/>
        <w:numPr>
          <w:ilvl w:val="0"/>
          <w:numId w:val="3"/>
        </w:numPr>
        <w:spacing w:after="80"/>
      </w:pPr>
      <w:r>
        <w:t xml:space="preserve">Position-level risk controls — every position has an ATR-based stop, a time-based maximum holding, and a position size scaled to its volatility.</w:t>
      </w:r>
    </w:p>
    <w:p>
      <w:pPr>
        <w:pStyle w:val="ListParagraph"/>
        <w:numPr>
          <w:ilvl w:val="0"/>
          <w:numId w:val="3"/>
        </w:numPr>
        <w:spacing w:after="80"/>
      </w:pPr>
      <w:r>
        <w:t xml:space="preserve">Portfolio-level kill switch — automated drawdown- and volatility-based pause that stops adding new risk when the system is in stress.</w:t>
      </w:r>
    </w:p>
    <w:p>
      <w:pPr>
        <w:pStyle w:val="ListParagraph"/>
        <w:numPr>
          <w:ilvl w:val="0"/>
          <w:numId w:val="3"/>
        </w:numPr>
        <w:spacing w:after="80"/>
      </w:pPr>
      <w:r>
        <w:t xml:space="preserve">Realistic cost model + tax awareness — round-trip 65 bps minimum; consider monthly rebalance for the core sleeve to capture LTCG benefits over time.</w:t>
      </w:r>
    </w:p>
    <w:p>
      <w:pPr>
        <w:pStyle w:val="ListParagraph"/>
        <w:numPr>
          <w:ilvl w:val="0"/>
          <w:numId w:val="3"/>
        </w:numPr>
        <w:spacing w:after="80"/>
      </w:pPr>
      <w:r>
        <w:t xml:space="preserve">Confidence score per pick — combine factor strength, breadth, liquidity, and quality into a 1–10 conviction score that you and your Telegram channel can act on differently.</w:t>
      </w:r>
    </w:p>
    <w:p>
      <w:pPr>
        <w:pStyle w:val="Heading2"/>
        <w:spacing w:after="140" w:before="240"/>
      </w:pPr>
      <w:r>
        <w:rPr>
          <w:b/>
          <w:bCs/>
          <w:color w:val="1F3A5F"/>
          <w:sz w:val="28"/>
          <w:szCs w:val="28"/>
        </w:rPr>
        <w:t xml:space="preserve">3.2  Architecture Flow</w:t>
      </w:r>
    </w:p>
    <w:p>
      <w:pPr>
        <w:shd w:fill="F5F5F5" w:val="clear"/>
        <w:spacing w:after="120" w:before="80"/>
      </w:pPr>
      <w:r>
        <w:rPr>
          <w:rFonts w:ascii="Consolas" w:cs="Consolas" w:eastAsia="Consolas" w:hAnsi="Consolas"/>
          <w:sz w:val="18"/>
          <w:szCs w:val="18"/>
        </w:rPr>
        <w:t xml:space="preserve">  Raw bhavcopies (PIT-correct, includes delisted)
          │
          ▼
  Universe construction (liquidity + price + series == EQ)
          │
          ▼
  &gt;&gt;&gt;  FUNDAMENTAL QUALITY GATE  &lt;&lt;&lt;  (mandatory pass)
      • ROCE &gt; 12% (last FY)
      • D/E &lt; 1.0
      • CFO positive (last 2 FYs)
      • Promoter pledging &lt; 25%
      • Promoter holding stable (no decline &gt; 2% QoQ)
      • Not in NSE ASM Stage II+ or GSM
      • No auditor change in last 2 FYs
      • Not within 3 trading days of results / bonus / split
          │
          ▼
  Multi-factor scoring (cross-sectional ranks, winsorized)
      Momentum 40%  +  Quality 25%  +  Low-Vol 15%
       +  Value 10%  +  Breadth/Participation 10%
          │
          ▼
  &gt;&gt;&gt;  REGIME OVERLAY  &lt;&lt;&lt;
      Risk-ON  : Nifty 500 &gt; 200DMA &amp; advance/decline &gt; 1.1 &amp; VIX &lt; 18
      Risk-NEU : one condition fails  → gross 70%, tilt 30% to quality sleeve
      Risk-OFF : two+ conditions fail → gross 40%, halve all positions
          │
          ▼
  Top-N selection (N = 15 for limited capital, 25 for full)
          │
          ▼
  Position sizing : 1% risk per trade, scaled by ATR(14)
          │
          ▼
  Risk overlay : per-stock cap 7%, per-sector cap 22%
                 ENFORCED, not just configured
          │
          ▼
  Per-position rules :
      • Initial stop = entry − 2 × ATR(14)
      • Trailing stop = max(entry-2ATR, 22-day low, chandelier-3ATR)
      • Time stop = 25 trading days (5 weekly rebalances)
      • Confidence score 1–10 per pick
          │
          ▼
  Execution at T-open, costs deducted realistically
          │
          ▼
  Live PnL tracker → broadcast to Telegram with confidence tag
</w:t>
      </w:r>
    </w:p>
    <w:p>
      <w:pPr>
        <w:pStyle w:val="Heading2"/>
        <w:spacing w:after="140" w:before="240"/>
      </w:pPr>
      <w:r>
        <w:rPr>
          <w:b/>
          <w:bCs/>
          <w:color w:val="1F3A5F"/>
          <w:sz w:val="28"/>
          <w:szCs w:val="28"/>
        </w:rPr>
        <w:t xml:space="preserve">3.3  Phase-by-Phase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1100"/>
        <w:gridCol w:w="2360"/>
      </w:tblGrid>
      <w:tr>
        <w:tc>
          <w:tcPr>
            <w:tcW w:type="dxa" w:w="150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Phase</w:t>
            </w:r>
          </w:p>
        </w:tc>
        <w:tc>
          <w:tcPr>
            <w:tcW w:type="dxa" w:w="440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Work Items</w:t>
            </w:r>
          </w:p>
        </w:tc>
        <w:tc>
          <w:tcPr>
            <w:tcW w:type="dxa" w:w="110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Effort</w:t>
            </w:r>
          </w:p>
        </w:tc>
        <w:tc>
          <w:tcPr>
            <w:tcW w:type="dxa" w:w="236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Outcome</w:t>
            </w:r>
          </w:p>
        </w:tc>
      </w:tr>
      <w:tr>
        <w:tc>
          <w:tcPr>
            <w:tcW w:type="dxa" w:w="15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1 — Fix bugs</w:t>
            </w:r>
          </w:p>
        </w:tc>
        <w:tc>
          <w:tcPr>
            <w:tcW w:type="dxa" w:w="44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PIT corrections in factor + backtest, fix risk overlay enforcement, winsorize unstable factors, rebuild survivorship-safe universe</w:t>
            </w:r>
          </w:p>
        </w:tc>
        <w:tc>
          <w:tcPr>
            <w:tcW w:type="dxa" w:w="11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~3 days</w:t>
            </w:r>
          </w:p>
        </w:tc>
        <w:tc>
          <w:tcPr>
            <w:tcW w:type="dxa" w:w="236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Clean baseline you can trust</w:t>
            </w:r>
          </w:p>
        </w:tc>
      </w:tr>
      <w:tr>
        <w:tc>
          <w:tcPr>
            <w:tcW w:type="dxa" w:w="15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2 — Cost &amp; tax model</w:t>
            </w:r>
          </w:p>
        </w:tc>
        <w:tc>
          <w:tcPr>
            <w:tcW w:type="dxa" w:w="44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Implement realistic per-stock cost; add STCG-aware turnover penalty in optimizer</w:t>
            </w:r>
          </w:p>
        </w:tc>
        <w:tc>
          <w:tcPr>
            <w:tcW w:type="dxa" w:w="11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~1 day</w:t>
            </w:r>
          </w:p>
        </w:tc>
        <w:tc>
          <w:tcPr>
            <w:tcW w:type="dxa" w:w="236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True after-cost, after-tax metrics</w:t>
            </w:r>
          </w:p>
        </w:tc>
      </w:tr>
      <w:tr>
        <w:tc>
          <w:tcPr>
            <w:tcW w:type="dxa" w:w="15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3 — Quality gate</w:t>
            </w:r>
          </w:p>
        </w:tc>
        <w:tc>
          <w:tcPr>
            <w:tcW w:type="dxa" w:w="44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Build fundamentals scraper (Screener.in + BSE filings + NSE corp actions); apply as hard filter</w:t>
            </w:r>
          </w:p>
        </w:tc>
        <w:tc>
          <w:tcPr>
            <w:tcW w:type="dxa" w:w="11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~3 days</w:t>
            </w:r>
          </w:p>
        </w:tc>
        <w:tc>
          <w:tcPr>
            <w:tcW w:type="dxa" w:w="236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Eliminates operator-driven micro-caps</w:t>
            </w:r>
          </w:p>
        </w:tc>
      </w:tr>
      <w:tr>
        <w:tc>
          <w:tcPr>
            <w:tcW w:type="dxa" w:w="15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4 — Multi-factor model</w:t>
            </w:r>
          </w:p>
        </w:tc>
        <w:tc>
          <w:tcPr>
            <w:tcW w:type="dxa" w:w="44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Add Quality, Low-Vol, Value sleeves; reweight composite; remove broken factors</w:t>
            </w:r>
          </w:p>
        </w:tc>
        <w:tc>
          <w:tcPr>
            <w:tcW w:type="dxa" w:w="11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~2 days</w:t>
            </w:r>
          </w:p>
        </w:tc>
        <w:tc>
          <w:tcPr>
            <w:tcW w:type="dxa" w:w="236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Regime-robust scoring</w:t>
            </w:r>
          </w:p>
        </w:tc>
      </w:tr>
      <w:tr>
        <w:tc>
          <w:tcPr>
            <w:tcW w:type="dxa" w:w="15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5 — Regime detector</w:t>
            </w:r>
          </w:p>
        </w:tc>
        <w:tc>
          <w:tcPr>
            <w:tcW w:type="dxa" w:w="44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Nifty 500 200-DMA + breadth (advance/decline, % above 200DMA) + VIX module</w:t>
            </w:r>
          </w:p>
        </w:tc>
        <w:tc>
          <w:tcPr>
            <w:tcW w:type="dxa" w:w="11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~1 day</w:t>
            </w:r>
          </w:p>
        </w:tc>
        <w:tc>
          <w:tcPr>
            <w:tcW w:type="dxa" w:w="236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Auto exposure scaling</w:t>
            </w:r>
          </w:p>
        </w:tc>
      </w:tr>
      <w:tr>
        <w:tc>
          <w:tcPr>
            <w:tcW w:type="dxa" w:w="15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6 — Risk &amp; exit engine</w:t>
            </w:r>
          </w:p>
        </w:tc>
        <w:tc>
          <w:tcPr>
            <w:tcW w:type="dxa" w:w="44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ATR stops, trailing logic, time stop, position-level PnL tracker, kill switch</w:t>
            </w:r>
          </w:p>
        </w:tc>
        <w:tc>
          <w:tcPr>
            <w:tcW w:type="dxa" w:w="11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~2 days</w:t>
            </w:r>
          </w:p>
        </w:tc>
        <w:tc>
          <w:tcPr>
            <w:tcW w:type="dxa" w:w="236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No single position can blow up the portfolio</w:t>
            </w:r>
          </w:p>
        </w:tc>
      </w:tr>
      <w:tr>
        <w:tc>
          <w:tcPr>
            <w:tcW w:type="dxa" w:w="15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7 — Re-validate</w:t>
            </w:r>
          </w:p>
        </w:tc>
        <w:tc>
          <w:tcPr>
            <w:tcW w:type="dxa" w:w="44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Walk-forward 2023-2026 with new architecture; metric battery (Sharpe, Sortino, Calmar, IR, hit rate, max consec loss)</w:t>
            </w:r>
          </w:p>
        </w:tc>
        <w:tc>
          <w:tcPr>
            <w:tcW w:type="dxa" w:w="11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~1 day</w:t>
            </w:r>
          </w:p>
        </w:tc>
        <w:tc>
          <w:tcPr>
            <w:tcW w:type="dxa" w:w="236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Honest go/no-go on V5</w:t>
            </w:r>
          </w:p>
        </w:tc>
      </w:tr>
      <w:tr>
        <w:tc>
          <w:tcPr>
            <w:tcW w:type="dxa" w:w="15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8 — Paper trade</w:t>
            </w:r>
          </w:p>
        </w:tc>
        <w:tc>
          <w:tcPr>
            <w:tcW w:type="dxa" w:w="44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Run V5 daily for 8–12 weeks, log every pick + confidence + outcome</w:t>
            </w:r>
          </w:p>
        </w:tc>
        <w:tc>
          <w:tcPr>
            <w:tcW w:type="dxa" w:w="11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8-12 weeks</w:t>
            </w:r>
          </w:p>
        </w:tc>
        <w:tc>
          <w:tcPr>
            <w:tcW w:type="dxa" w:w="236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Real-world calibration before risking capital</w:t>
            </w:r>
          </w:p>
        </w:tc>
      </w:tr>
      <w:tr>
        <w:tc>
          <w:tcPr>
            <w:tcW w:type="dxa" w:w="15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9 — Go-live (small)</w:t>
            </w:r>
          </w:p>
        </w:tc>
        <w:tc>
          <w:tcPr>
            <w:tcW w:type="dxa" w:w="44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Deploy with the small-capital checklist in Section 8.2; review monthly</w:t>
            </w:r>
          </w:p>
        </w:tc>
        <w:tc>
          <w:tcPr>
            <w:tcW w:type="dxa" w:w="11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Ongoing</w:t>
            </w:r>
          </w:p>
        </w:tc>
        <w:tc>
          <w:tcPr>
            <w:tcW w:type="dxa" w:w="236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Capped risk, evidence-driven scaling</w:t>
            </w:r>
          </w:p>
        </w:tc>
      </w:tr>
    </w:tbl>
    <w:p>
      <w:r>
        <w:br w:type="page"/>
      </w:r>
    </w:p>
    <w:p>
      <w:pPr>
        <w:pStyle w:val="Heading1"/>
        <w:spacing w:after="200" w:before="300"/>
      </w:pPr>
      <w:r>
        <w:rPr>
          <w:b/>
          <w:bCs/>
          <w:color w:val="1F3A5F"/>
          <w:sz w:val="36"/>
          <w:szCs w:val="36"/>
        </w:rPr>
        <w:t xml:space="preserve">4. Risk Management &amp; Exit Framework</w:t>
      </w:r>
    </w:p>
    <w:p>
      <w:pPr>
        <w:pStyle w:val="Heading2"/>
        <w:spacing w:after="140" w:before="240"/>
      </w:pPr>
      <w:r>
        <w:rPr>
          <w:b/>
          <w:bCs/>
          <w:color w:val="1F3A5F"/>
          <w:sz w:val="28"/>
          <w:szCs w:val="28"/>
        </w:rPr>
        <w:t xml:space="preserve">4.1  Why You Need Per-Position Stops</w:t>
      </w:r>
    </w:p>
    <w:p>
      <w:pPr>
        <w:spacing w:after="120" w:before="0"/>
      </w:pPr>
      <w:r>
        <w:t xml:space="preserve">Currently the only exit is the next weekly rebalance. Between Monday and Friday, a name can lose 25-40% on a single bad news event (results miss, regulatory news, promoter exit). Five names doing this in one rebalance period is how a -10.92% week happens — and that single week is in your backtest. With a 1.5-2× ATR stop, the loss on any individual position is capped at roughly 1-1.5% of capital.</w:t>
      </w:r>
    </w:p>
    <w:p>
      <w:pPr>
        <w:pStyle w:val="Heading2"/>
        <w:spacing w:after="140" w:before="240"/>
      </w:pPr>
      <w:r>
        <w:rPr>
          <w:b/>
          <w:bCs/>
          <w:color w:val="1F3A5F"/>
          <w:sz w:val="28"/>
          <w:szCs w:val="28"/>
        </w:rPr>
        <w:t xml:space="preserve">4.2  Position Sizing — Fixed-Fractional Risk Model</w:t>
      </w:r>
    </w:p>
    <w:p>
      <w:pPr>
        <w:spacing w:after="120" w:before="0"/>
      </w:pPr>
      <w:r>
        <w:t xml:space="preserve">Replace inverse-volatility weighting with a true risk-based size. The principle: every position should risk the same fraction of capital between entry and stop.</w:t>
      </w:r>
    </w:p>
    <w:p>
      <w:pPr>
        <w:shd w:fill="F5F5F5" w:val="clear"/>
        <w:spacing w:after="120" w:before="80"/>
      </w:pPr>
      <w:r>
        <w:rPr>
          <w:rFonts w:ascii="Consolas" w:cs="Consolas" w:eastAsia="Consolas" w:hAnsi="Consolas"/>
          <w:sz w:val="18"/>
          <w:szCs w:val="18"/>
        </w:rPr>
        <w:t xml:space="preserve">Risk per trade (R)    = 1.0% of portfolio equity
ATR(14)               = 14-day average true range
Stop distance         = 2.0 × ATR(14)
Position INR          = (Equity × R) / Stop distance
Position shares       = Position INR / Entry price
Cap at min(7% of equity, position INR)</w:t>
      </w:r>
    </w:p>
    <w:p>
      <w:pPr>
        <w:spacing w:after="120" w:before="0"/>
      </w:pPr>
      <w:r>
        <w:t xml:space="preserve">This naturally allocates more to low-vol names and less to high-vol names without the divide-by-near-zero issues of the current STABILITY_SCORE. It also makes drawdown predictable: 6 consecutive stop-outs = ~6% drawdown, not 35%.</w:t>
      </w:r>
    </w:p>
    <w:p>
      <w:pPr>
        <w:pStyle w:val="Heading2"/>
        <w:spacing w:after="140" w:before="240"/>
      </w:pPr>
      <w:r>
        <w:rPr>
          <w:b/>
          <w:bCs/>
          <w:color w:val="1F3A5F"/>
          <w:sz w:val="28"/>
          <w:szCs w:val="28"/>
        </w:rPr>
        <w:t xml:space="preserve">4.3  Stop-Loss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2300"/>
        <w:gridCol w:w="2360"/>
      </w:tblGrid>
      <w:tr>
        <w:tc>
          <w:tcPr>
            <w:tcW w:type="dxa" w:w="170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Stop Type</w:t>
            </w:r>
          </w:p>
        </w:tc>
        <w:tc>
          <w:tcPr>
            <w:tcW w:type="dxa" w:w="300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Rule</w:t>
            </w:r>
          </w:p>
        </w:tc>
        <w:tc>
          <w:tcPr>
            <w:tcW w:type="dxa" w:w="230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When It Fires</w:t>
            </w:r>
          </w:p>
        </w:tc>
        <w:tc>
          <w:tcPr>
            <w:tcW w:type="dxa" w:w="236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Purpose</w:t>
            </w:r>
          </w:p>
        </w:tc>
      </w:tr>
      <w:tr>
        <w:tc>
          <w:tcPr>
            <w:tcW w:type="dxa" w:w="17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Initial hard stop</w:t>
            </w:r>
          </w:p>
        </w:tc>
        <w:tc>
          <w:tcPr>
            <w:tcW w:type="dxa" w:w="30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Entry − 2 × ATR(14)</w:t>
            </w:r>
          </w:p>
        </w:tc>
        <w:tc>
          <w:tcPr>
            <w:tcW w:type="dxa" w:w="23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On entry day; never moved down</w:t>
            </w:r>
          </w:p>
        </w:tc>
        <w:tc>
          <w:tcPr>
            <w:tcW w:type="dxa" w:w="236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Cap maximum loss</w:t>
            </w:r>
          </w:p>
        </w:tc>
      </w:tr>
      <w:tr>
        <w:tc>
          <w:tcPr>
            <w:tcW w:type="dxa" w:w="17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Trailing stop</w:t>
            </w:r>
          </w:p>
        </w:tc>
        <w:tc>
          <w:tcPr>
            <w:tcW w:type="dxa" w:w="30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max(initial, 22-day low, chandelier 3×ATR from highest close)</w:t>
            </w:r>
          </w:p>
        </w:tc>
        <w:tc>
          <w:tcPr>
            <w:tcW w:type="dxa" w:w="23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Updated daily; only moves up</w:t>
            </w:r>
          </w:p>
        </w:tc>
        <w:tc>
          <w:tcPr>
            <w:tcW w:type="dxa" w:w="236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Lock in profits</w:t>
            </w:r>
          </w:p>
        </w:tc>
      </w:tr>
      <w:tr>
        <w:tc>
          <w:tcPr>
            <w:tcW w:type="dxa" w:w="17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Time stop</w:t>
            </w:r>
          </w:p>
        </w:tc>
        <w:tc>
          <w:tcPr>
            <w:tcW w:type="dxa" w:w="30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25 trading days from entry</w:t>
            </w:r>
          </w:p>
        </w:tc>
        <w:tc>
          <w:tcPr>
            <w:tcW w:type="dxa" w:w="23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If price hasn't broken out of consolidation by then</w:t>
            </w:r>
          </w:p>
        </w:tc>
        <w:tc>
          <w:tcPr>
            <w:tcW w:type="dxa" w:w="236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Don't hold dead money</w:t>
            </w:r>
          </w:p>
        </w:tc>
      </w:tr>
      <w:tr>
        <w:tc>
          <w:tcPr>
            <w:tcW w:type="dxa" w:w="17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Profit target (optional)</w:t>
            </w:r>
          </w:p>
        </w:tc>
        <w:tc>
          <w:tcPr>
            <w:tcW w:type="dxa" w:w="30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+4 × ATR from entry → trim 50%, raise stop to entry</w:t>
            </w:r>
          </w:p>
        </w:tc>
        <w:tc>
          <w:tcPr>
            <w:tcW w:type="dxa" w:w="23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Asymmetric R:R</w:t>
            </w:r>
          </w:p>
        </w:tc>
        <w:tc>
          <w:tcPr>
            <w:tcW w:type="dxa" w:w="236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Take half off, ride the rest</w:t>
            </w:r>
          </w:p>
        </w:tc>
      </w:tr>
      <w:tr>
        <w:tc>
          <w:tcPr>
            <w:tcW w:type="dxa" w:w="17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Kill switch</w:t>
            </w:r>
          </w:p>
        </w:tc>
        <w:tc>
          <w:tcPr>
            <w:tcW w:type="dxa" w:w="30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Portfolio DD &gt; 12% OR Nifty 500 down &gt; 8% in 5 days</w:t>
            </w:r>
          </w:p>
        </w:tc>
        <w:tc>
          <w:tcPr>
            <w:tcW w:type="dxa" w:w="23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Immediate liquidation of new entries</w:t>
            </w:r>
          </w:p>
        </w:tc>
        <w:tc>
          <w:tcPr>
            <w:tcW w:type="dxa" w:w="236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Protect equity in tail events</w:t>
            </w:r>
          </w:p>
        </w:tc>
      </w:tr>
    </w:tbl>
    <w:p>
      <w:pPr>
        <w:pStyle w:val="Heading2"/>
        <w:spacing w:after="140" w:before="240"/>
      </w:pPr>
      <w:r>
        <w:rPr>
          <w:b/>
          <w:bCs/>
          <w:color w:val="1F3A5F"/>
          <w:sz w:val="28"/>
          <w:szCs w:val="28"/>
        </w:rPr>
        <w:t xml:space="preserve">4.4  Confidence Score (1–10) per Pick</w:t>
      </w:r>
    </w:p>
    <w:p>
      <w:pPr>
        <w:spacing w:after="120" w:before="0"/>
      </w:pPr>
      <w:r>
        <w:t xml:space="preserve">Not every Top-20 pick deserves the same conviction. A composite confidence score allows differential sizing and lets the Telegram broadcast indicate strength:</w:t>
      </w:r>
    </w:p>
    <w:p>
      <w:pPr>
        <w:shd w:fill="F5F5F5" w:val="clear"/>
        <w:spacing w:after="120" w:before="80"/>
      </w:pPr>
      <w:r>
        <w:rPr>
          <w:rFonts w:ascii="Consolas" w:cs="Consolas" w:eastAsia="Consolas" w:hAnsi="Consolas"/>
          <w:sz w:val="18"/>
          <w:szCs w:val="18"/>
        </w:rPr>
        <w:t xml:space="preserve">confidence = 0.30 * factor_score_rank          (0–1, higher is better)
           + 0.20 * quality_score_rank         (ROCE+CFO+D/E composite)
           + 0.15 * liquidity_score            (log(traded_value), bucketed)
           + 0.15 * regime_alignment           (1.0 risk-ON, 0.5 risk-NEU, 0.0 risk-OFF)
           + 0.10 * breadth_score              (sector breadth %)
           + 0.10 * relative_strength_vs_index (60d RS rank)
score_out_of_10 = round(confidence * 10, 1)
Suggested sizing band:
   9.0+  → 1.5 R risk (high conviction)
   7.0–8.9 → 1.0 R risk (baseline)
   5.0–6.9 → 0.5 R risk (toehold)
   &lt;5.0   → skip</w:t>
      </w:r>
    </w:p>
    <w:p>
      <w:pPr>
        <w:pStyle w:val="Heading2"/>
        <w:spacing w:after="140" w:before="240"/>
      </w:pPr>
      <w:r>
        <w:rPr>
          <w:b/>
          <w:bCs/>
          <w:color w:val="1F3A5F"/>
          <w:sz w:val="28"/>
          <w:szCs w:val="28"/>
        </w:rPr>
        <w:t xml:space="preserve">4.5  Portfolio-Level Kill Switch</w:t>
      </w:r>
    </w:p>
    <w:p>
      <w:pPr>
        <w:spacing w:after="120" w:before="0"/>
      </w:pPr>
      <w:r>
        <w:t xml:space="preserve">A simple, deterministic kill-switch (not discretionary) saves the strategy from operator panic and prevents the 2024-style 35-point underperformance:</w:t>
      </w:r>
    </w:p>
    <w:p>
      <w:pPr>
        <w:pStyle w:val="ListParagraph"/>
        <w:numPr>
          <w:ilvl w:val="0"/>
          <w:numId w:val="2"/>
        </w:numPr>
        <w:spacing w:after="80"/>
      </w:pPr>
      <w:r>
        <w:t xml:space="preserve">If portfolio drawdown from peak &gt; 12% — stop opening new positions for 5 trading days.</w:t>
      </w:r>
    </w:p>
    <w:p>
      <w:pPr>
        <w:pStyle w:val="ListParagraph"/>
        <w:numPr>
          <w:ilvl w:val="0"/>
          <w:numId w:val="2"/>
        </w:numPr>
        <w:spacing w:after="80"/>
      </w:pPr>
      <w:r>
        <w:t xml:space="preserve">If portfolio drawdown &gt; 18% — flatten 50% of book at next open; switch to 'observation only' for 10 trading days.</w:t>
      </w:r>
    </w:p>
    <w:p>
      <w:pPr>
        <w:pStyle w:val="ListParagraph"/>
        <w:numPr>
          <w:ilvl w:val="0"/>
          <w:numId w:val="2"/>
        </w:numPr>
        <w:spacing w:after="80"/>
      </w:pPr>
      <w:r>
        <w:t xml:space="preserve">If Nifty 500 falls &gt; 8% in 5 trading days OR India VIX &gt; 25 — gross exposure capped at 40% next rebalance.</w:t>
      </w:r>
    </w:p>
    <w:p>
      <w:pPr>
        <w:pStyle w:val="ListParagraph"/>
        <w:numPr>
          <w:ilvl w:val="0"/>
          <w:numId w:val="2"/>
        </w:numPr>
        <w:spacing w:after="80"/>
      </w:pPr>
      <w:r>
        <w:t xml:space="preserve">Kill-switch can only be released by re-checking the regime detector — not by clicking a button.</w:t>
      </w:r>
    </w:p>
    <w:p>
      <w:r>
        <w:br w:type="page"/>
      </w:r>
    </w:p>
    <w:p>
      <w:pPr>
        <w:pStyle w:val="Heading1"/>
        <w:spacing w:after="200" w:before="300"/>
      </w:pPr>
      <w:r>
        <w:rPr>
          <w:b/>
          <w:bCs/>
          <w:color w:val="1F3A5F"/>
          <w:sz w:val="36"/>
          <w:szCs w:val="36"/>
        </w:rPr>
        <w:t xml:space="preserve">5. Qualitative &amp; Fundamental Quality Gate</w:t>
      </w:r>
    </w:p>
    <w:p>
      <w:pPr>
        <w:pStyle w:val="Heading2"/>
        <w:spacing w:after="140" w:before="240"/>
      </w:pPr>
      <w:r>
        <w:rPr>
          <w:b/>
          <w:bCs/>
          <w:color w:val="1F3A5F"/>
          <w:sz w:val="28"/>
          <w:szCs w:val="28"/>
        </w:rPr>
        <w:t xml:space="preserve">5.1  Why This Is Non-Negotiable for Indian Equities</w:t>
      </w:r>
    </w:p>
    <w:p>
      <w:pPr>
        <w:spacing w:after="120" w:before="0"/>
      </w:pPr>
      <w:r>
        <w:t xml:space="preserve">Indian small/mid-cap momentum is structurally different from US momentum. The retail base, the operator ecosystem, and SEBI's reactive enforcement mean that momentum signals are frequently generated by stocks being deliberately pumped. When the pump stops or SEBI moves them to ASM/GSM, falls of 30–60% in days are normal. A quality gate is the single highest-leverage fix for this strategy.</w:t>
      </w:r>
    </w:p>
    <w:p>
      <w:pPr>
        <w:pStyle w:val="Heading2"/>
        <w:spacing w:after="140" w:before="240"/>
      </w:pPr>
      <w:r>
        <w:rPr>
          <w:b/>
          <w:bCs/>
          <w:color w:val="1F3A5F"/>
          <w:sz w:val="28"/>
          <w:szCs w:val="28"/>
        </w:rPr>
        <w:t xml:space="preserve">5.2  Mandatory Filters (Hard Pass/Fail)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500"/>
        <w:gridCol w:w="4000"/>
        <w:gridCol w:w="1500"/>
      </w:tblGrid>
      <w:tr>
        <w:tc>
          <w:tcPr>
            <w:tcW w:type="dxa" w:w="236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Filter</w:t>
            </w:r>
          </w:p>
        </w:tc>
        <w:tc>
          <w:tcPr>
            <w:tcW w:type="dxa" w:w="150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Threshold</w:t>
            </w:r>
          </w:p>
        </w:tc>
        <w:tc>
          <w:tcPr>
            <w:tcW w:type="dxa" w:w="400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Rationale</w:t>
            </w:r>
          </w:p>
        </w:tc>
        <w:tc>
          <w:tcPr>
            <w:tcW w:type="dxa" w:w="150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Free Source</w:t>
            </w:r>
          </w:p>
        </w:tc>
      </w:tr>
      <w:tr>
        <w:tc>
          <w:tcPr>
            <w:tcW w:type="dxa" w:w="236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ROCE (last FY)</w:t>
            </w:r>
          </w:p>
        </w:tc>
        <w:tc>
          <w:tcPr>
            <w:tcW w:type="dxa" w:w="15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 12%</w:t>
            </w:r>
          </w:p>
        </w:tc>
        <w:tc>
          <w:tcPr>
            <w:tcW w:type="dxa" w:w="40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Capital productivity floor; excludes value-traps and capital-burning growth stories</w:t>
            </w:r>
          </w:p>
        </w:tc>
        <w:tc>
          <w:tcPr>
            <w:tcW w:type="dxa" w:w="15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screener.in</w:t>
            </w:r>
          </w:p>
        </w:tc>
      </w:tr>
      <w:tr>
        <w:tc>
          <w:tcPr>
            <w:tcW w:type="dxa" w:w="236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Debt-to-Equity</w:t>
            </w:r>
          </w:p>
        </w:tc>
        <w:tc>
          <w:tcPr>
            <w:tcW w:type="dxa" w:w="15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 1.0 (≤ 1.5 for NBFCs/utilities)</w:t>
            </w:r>
          </w:p>
        </w:tc>
        <w:tc>
          <w:tcPr>
            <w:tcW w:type="dxa" w:w="40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Leverage cap reduces blow-up risk</w:t>
            </w:r>
          </w:p>
        </w:tc>
        <w:tc>
          <w:tcPr>
            <w:tcW w:type="dxa" w:w="15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screener.in / yfinance</w:t>
            </w:r>
          </w:p>
        </w:tc>
      </w:tr>
      <w:tr>
        <w:tc>
          <w:tcPr>
            <w:tcW w:type="dxa" w:w="236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Operating Cash Flow</w:t>
            </w:r>
          </w:p>
        </w:tc>
        <w:tc>
          <w:tcPr>
            <w:tcW w:type="dxa" w:w="15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Positive last 2 FYs</w:t>
            </w:r>
          </w:p>
        </w:tc>
        <w:tc>
          <w:tcPr>
            <w:tcW w:type="dxa" w:w="40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Catches accrual-game earnings</w:t>
            </w:r>
          </w:p>
        </w:tc>
        <w:tc>
          <w:tcPr>
            <w:tcW w:type="dxa" w:w="15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screener.in</w:t>
            </w:r>
          </w:p>
        </w:tc>
      </w:tr>
      <w:tr>
        <w:tc>
          <w:tcPr>
            <w:tcW w:type="dxa" w:w="236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Promoter pledging</w:t>
            </w:r>
          </w:p>
        </w:tc>
        <w:tc>
          <w:tcPr>
            <w:tcW w:type="dxa" w:w="15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&lt; 25% of promoter holding</w:t>
            </w:r>
          </w:p>
        </w:tc>
        <w:tc>
          <w:tcPr>
            <w:tcW w:type="dxa" w:w="40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High pledging precedes operator distress</w:t>
            </w:r>
          </w:p>
        </w:tc>
        <w:tc>
          <w:tcPr>
            <w:tcW w:type="dxa" w:w="15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BSE corp filings</w:t>
            </w:r>
          </w:p>
        </w:tc>
      </w:tr>
      <w:tr>
        <w:tc>
          <w:tcPr>
            <w:tcW w:type="dxa" w:w="236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Promoter holding QoQ change</w:t>
            </w:r>
          </w:p>
        </w:tc>
        <w:tc>
          <w:tcPr>
            <w:tcW w:type="dxa" w:w="15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No decline &gt; 2%</w:t>
            </w:r>
          </w:p>
        </w:tc>
        <w:tc>
          <w:tcPr>
            <w:tcW w:type="dxa" w:w="40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Insider selling is the strongest red flag</w:t>
            </w:r>
          </w:p>
        </w:tc>
        <w:tc>
          <w:tcPr>
            <w:tcW w:type="dxa" w:w="15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BSE shareholding pattern</w:t>
            </w:r>
          </w:p>
        </w:tc>
      </w:tr>
      <w:tr>
        <w:tc>
          <w:tcPr>
            <w:tcW w:type="dxa" w:w="236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NSE surveillance</w:t>
            </w:r>
          </w:p>
        </w:tc>
        <w:tc>
          <w:tcPr>
            <w:tcW w:type="dxa" w:w="15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Not in ASM Stage II / GSM / T2T</w:t>
            </w:r>
          </w:p>
        </w:tc>
        <w:tc>
          <w:tcPr>
            <w:tcW w:type="dxa" w:w="40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Direct regulatory red flag</w:t>
            </w:r>
          </w:p>
        </w:tc>
        <w:tc>
          <w:tcPr>
            <w:tcW w:type="dxa" w:w="15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nseindia.com daily file</w:t>
            </w:r>
          </w:p>
        </w:tc>
      </w:tr>
      <w:tr>
        <w:tc>
          <w:tcPr>
            <w:tcW w:type="dxa" w:w="236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Auditor change in last 2 yrs</w:t>
            </w:r>
          </w:p>
        </w:tc>
        <w:tc>
          <w:tcPr>
            <w:tcW w:type="dxa" w:w="15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No</w:t>
            </w:r>
          </w:p>
        </w:tc>
        <w:tc>
          <w:tcPr>
            <w:tcW w:type="dxa" w:w="40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Auditor change = governance event</w:t>
            </w:r>
          </w:p>
        </w:tc>
        <w:tc>
          <w:tcPr>
            <w:tcW w:type="dxa" w:w="15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BSE filings</w:t>
            </w:r>
          </w:p>
        </w:tc>
      </w:tr>
      <w:tr>
        <w:tc>
          <w:tcPr>
            <w:tcW w:type="dxa" w:w="236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Pending SEBI action</w:t>
            </w:r>
          </w:p>
        </w:tc>
        <w:tc>
          <w:tcPr>
            <w:tcW w:type="dxa" w:w="15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None disclosed</w:t>
            </w:r>
          </w:p>
        </w:tc>
        <w:tc>
          <w:tcPr>
            <w:tcW w:type="dxa" w:w="40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Filing review</w:t>
            </w:r>
          </w:p>
        </w:tc>
        <w:tc>
          <w:tcPr>
            <w:tcW w:type="dxa" w:w="15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screener.in 'Pros/Cons'</w:t>
            </w:r>
          </w:p>
        </w:tc>
      </w:tr>
      <w:tr>
        <w:tc>
          <w:tcPr>
            <w:tcW w:type="dxa" w:w="236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Listing age</w:t>
            </w:r>
          </w:p>
        </w:tc>
        <w:tc>
          <w:tcPr>
            <w:tcW w:type="dxa" w:w="15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 18 months</w:t>
            </w:r>
          </w:p>
        </w:tc>
        <w:tc>
          <w:tcPr>
            <w:tcW w:type="dxa" w:w="40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Skips post-IPO volatility &amp; lock-in dynamics</w:t>
            </w:r>
          </w:p>
        </w:tc>
        <w:tc>
          <w:tcPr>
            <w:tcW w:type="dxa" w:w="15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NSE listings file</w:t>
            </w:r>
          </w:p>
        </w:tc>
      </w:tr>
      <w:tr>
        <w:tc>
          <w:tcPr>
            <w:tcW w:type="dxa" w:w="236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Market cap</w:t>
            </w:r>
          </w:p>
        </w:tc>
        <w:tc>
          <w:tcPr>
            <w:tcW w:type="dxa" w:w="15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 ₹500 Cr</w:t>
            </w:r>
          </w:p>
        </w:tc>
        <w:tc>
          <w:tcPr>
            <w:tcW w:type="dxa" w:w="40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Liquidity floor for retail execution</w:t>
            </w:r>
          </w:p>
        </w:tc>
        <w:tc>
          <w:tcPr>
            <w:tcW w:type="dxa" w:w="15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computed</w:t>
            </w:r>
          </w:p>
        </w:tc>
      </w:tr>
    </w:tbl>
    <w:p>
      <w:pPr>
        <w:pStyle w:val="Heading2"/>
        <w:spacing w:after="140" w:before="240"/>
      </w:pPr>
      <w:r>
        <w:rPr>
          <w:b/>
          <w:bCs/>
          <w:color w:val="1F3A5F"/>
          <w:sz w:val="28"/>
          <w:szCs w:val="28"/>
        </w:rPr>
        <w:t xml:space="preserve">5.3  Event Filters (Skip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260"/>
      </w:tblGrid>
      <w:tr>
        <w:tc>
          <w:tcPr>
            <w:tcW w:type="dxa" w:w="240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Event</w:t>
            </w:r>
          </w:p>
        </w:tc>
        <w:tc>
          <w:tcPr>
            <w:tcW w:type="dxa" w:w="270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Skip Window</w:t>
            </w:r>
          </w:p>
        </w:tc>
        <w:tc>
          <w:tcPr>
            <w:tcW w:type="dxa" w:w="426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Why</w:t>
            </w:r>
          </w:p>
        </w:tc>
      </w:tr>
      <w:tr>
        <w:tc>
          <w:tcPr>
            <w:tcW w:type="dxa" w:w="24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Quarterly results</w:t>
            </w:r>
          </w:p>
        </w:tc>
        <w:tc>
          <w:tcPr>
            <w:tcW w:type="dxa" w:w="27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T−3 to T+1 trading days around announcement</w:t>
            </w:r>
          </w:p>
        </w:tc>
        <w:tc>
          <w:tcPr>
            <w:tcW w:type="dxa" w:w="426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Pre-results gamma + post-results gap risk</w:t>
            </w:r>
          </w:p>
        </w:tc>
      </w:tr>
      <w:tr>
        <w:tc>
          <w:tcPr>
            <w:tcW w:type="dxa" w:w="24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Ex-bonus / ex-split</w:t>
            </w:r>
          </w:p>
        </w:tc>
        <w:tc>
          <w:tcPr>
            <w:tcW w:type="dxa" w:w="27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T to T+5</w:t>
            </w:r>
          </w:p>
        </w:tc>
        <w:tc>
          <w:tcPr>
            <w:tcW w:type="dxa" w:w="426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Adjusted-close discontinuity + retail noise</w:t>
            </w:r>
          </w:p>
        </w:tc>
      </w:tr>
      <w:tr>
        <w:tc>
          <w:tcPr>
            <w:tcW w:type="dxa" w:w="24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Ex-rights</w:t>
            </w:r>
          </w:p>
        </w:tc>
        <w:tc>
          <w:tcPr>
            <w:tcW w:type="dxa" w:w="27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T to T+10</w:t>
            </w:r>
          </w:p>
        </w:tc>
        <w:tc>
          <w:tcPr>
            <w:tcW w:type="dxa" w:w="426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Rights pricing distortions</w:t>
            </w:r>
          </w:p>
        </w:tc>
      </w:tr>
      <w:tr>
        <w:tc>
          <w:tcPr>
            <w:tcW w:type="dxa" w:w="24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Block deal &gt; 2% of float</w:t>
            </w:r>
          </w:p>
        </w:tc>
        <w:tc>
          <w:tcPr>
            <w:tcW w:type="dxa" w:w="27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T to T+3</w:t>
            </w:r>
          </w:p>
        </w:tc>
        <w:tc>
          <w:tcPr>
            <w:tcW w:type="dxa" w:w="426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Liquidity overhang</w:t>
            </w:r>
          </w:p>
        </w:tc>
      </w:tr>
      <w:tr>
        <w:tc>
          <w:tcPr>
            <w:tcW w:type="dxa" w:w="24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AGM / EGM</w:t>
            </w:r>
          </w:p>
        </w:tc>
        <w:tc>
          <w:tcPr>
            <w:tcW w:type="dxa" w:w="27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T−1 to T+1</w:t>
            </w:r>
          </w:p>
        </w:tc>
        <w:tc>
          <w:tcPr>
            <w:tcW w:type="dxa" w:w="426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Corporate-action announcement risk</w:t>
            </w:r>
          </w:p>
        </w:tc>
      </w:tr>
      <w:tr>
        <w:tc>
          <w:tcPr>
            <w:tcW w:type="dxa" w:w="24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Insider trading window (TER 'closed period')</w:t>
            </w:r>
          </w:p>
        </w:tc>
        <w:tc>
          <w:tcPr>
            <w:tcW w:type="dxa" w:w="27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Skip entirely</w:t>
            </w:r>
          </w:p>
        </w:tc>
        <w:tc>
          <w:tcPr>
            <w:tcW w:type="dxa" w:w="426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Anomalous volume patterns</w:t>
            </w:r>
          </w:p>
        </w:tc>
      </w:tr>
    </w:tbl>
    <w:p>
      <w:pPr>
        <w:pStyle w:val="Heading2"/>
        <w:spacing w:after="140" w:before="240"/>
      </w:pPr>
      <w:r>
        <w:rPr>
          <w:b/>
          <w:bCs/>
          <w:color w:val="1F3A5F"/>
          <w:sz w:val="28"/>
          <w:szCs w:val="28"/>
        </w:rPr>
        <w:t xml:space="preserve">5.4  Building the Fundamentals Layer on Free Data</w:t>
      </w:r>
    </w:p>
    <w:p>
      <w:pPr>
        <w:spacing w:after="120" w:before="0"/>
      </w:pPr>
      <w:r>
        <w:t xml:space="preserve">Given the 'no paid data' constraint, a practical free stack:</w:t>
      </w:r>
    </w:p>
    <w:p>
      <w:pPr>
        <w:pStyle w:val="ListParagraph"/>
        <w:numPr>
          <w:ilvl w:val="0"/>
          <w:numId w:val="2"/>
        </w:numPr>
        <w:spacing w:after="80"/>
      </w:pPr>
      <w:r>
        <w:t xml:space="preserve">screener.in — scrape ratios from /company/{SYMBOL}/consolidated/ using BeautifulSoup, rotating user agents, 2-sec sleep, daily cache. Get ROCE, ROE, D/E, OPM, CFO, sales/PAT growth.</w:t>
      </w:r>
    </w:p>
    <w:p>
      <w:pPr>
        <w:pStyle w:val="ListParagraph"/>
        <w:numPr>
          <w:ilvl w:val="0"/>
          <w:numId w:val="2"/>
        </w:numPr>
        <w:spacing w:after="80"/>
      </w:pPr>
      <w:r>
        <w:t xml:space="preserve">BSE Corporate Filings (api.bseindia.com) — JSON endpoints for shareholding pattern (promoter%, pledge%), board meetings (results date), auditor reports. No API key required.</w:t>
      </w:r>
    </w:p>
    <w:p>
      <w:pPr>
        <w:pStyle w:val="ListParagraph"/>
        <w:numPr>
          <w:ilvl w:val="0"/>
          <w:numId w:val="2"/>
        </w:numPr>
        <w:spacing w:after="80"/>
      </w:pPr>
      <w:r>
        <w:t xml:space="preserve">NSE Corporate Actions (nsearchives.nseindia.com) — daily file of ex-dates, bonuses, splits, dividends. Browser headers needed for cookie.</w:t>
      </w:r>
    </w:p>
    <w:p>
      <w:pPr>
        <w:pStyle w:val="ListParagraph"/>
        <w:numPr>
          <w:ilvl w:val="0"/>
          <w:numId w:val="2"/>
        </w:numPr>
        <w:spacing w:after="80"/>
      </w:pPr>
      <w:r>
        <w:t xml:space="preserve">NSE ASM/GSM lists — daily files at nsearchives.nseindia.com/content/equities/sec_band.csv (band changes) and asm_grade.csv (additional surveillance).</w:t>
      </w:r>
    </w:p>
    <w:p>
      <w:pPr>
        <w:pStyle w:val="ListParagraph"/>
        <w:numPr>
          <w:ilvl w:val="0"/>
          <w:numId w:val="2"/>
        </w:numPr>
        <w:spacing w:after="80"/>
      </w:pPr>
      <w:r>
        <w:t xml:space="preserve">yfinance — supplementary financials, but Indian coverage is patchy and stale. Use as fallback, not primary.</w:t>
      </w:r>
    </w:p>
    <w:p>
      <w:pPr>
        <w:pStyle w:val="ListParagraph"/>
        <w:numPr>
          <w:ilvl w:val="0"/>
          <w:numId w:val="2"/>
        </w:numPr>
        <w:spacing w:after="80"/>
      </w:pPr>
      <w:r>
        <w:t xml:space="preserve">Build a daily refresh job: ~10 mins for the full investable universe (~2,000 stocks) given caching. Run after market close.</w:t>
      </w:r>
    </w:p>
    <w:p>
      <w:r>
        <w:br w:type="page"/>
      </w:r>
    </w:p>
    <w:p>
      <w:pPr>
        <w:pStyle w:val="Heading1"/>
        <w:spacing w:after="200" w:before="300"/>
      </w:pPr>
      <w:r>
        <w:rPr>
          <w:b/>
          <w:bCs/>
          <w:color w:val="1F3A5F"/>
          <w:sz w:val="36"/>
          <w:szCs w:val="36"/>
        </w:rPr>
        <w:t xml:space="preserve">6. Multi-Factor Refinement</w:t>
      </w:r>
    </w:p>
    <w:p>
      <w:pPr>
        <w:pStyle w:val="Heading2"/>
        <w:spacing w:after="140" w:before="240"/>
      </w:pPr>
      <w:r>
        <w:rPr>
          <w:b/>
          <w:bCs/>
          <w:color w:val="1F3A5F"/>
          <w:sz w:val="28"/>
          <w:szCs w:val="28"/>
        </w:rPr>
        <w:t xml:space="preserve">6.1  Why Single-Factor (Pure Momentum) Failed in 2024</w:t>
      </w:r>
    </w:p>
    <w:p>
      <w:pPr>
        <w:spacing w:after="120" w:before="0"/>
      </w:pPr>
      <w:r>
        <w:t xml:space="preserve">Momentum is high-beta to the market and to itself. When the regime flips from trending to mean-reverting, momentum portfolios get hit twice: from the market drawdown AND from the factor unwind (yesterday's winners become today's losers). The 2024 −35.64% excess return is textbook momentum-crash behavior. The fix is not to remove momentum, but to dilute it with factors that have low or negative correlation to it.</w:t>
      </w:r>
    </w:p>
    <w:p>
      <w:pPr>
        <w:pStyle w:val="Heading2"/>
        <w:spacing w:after="140" w:before="240"/>
      </w:pPr>
      <w:r>
        <w:rPr>
          <w:b/>
          <w:bCs/>
          <w:color w:val="1F3A5F"/>
          <w:sz w:val="28"/>
          <w:szCs w:val="28"/>
        </w:rPr>
        <w:t xml:space="preserve">6.2  Recommended Factor Composition (V5)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3700"/>
        <w:gridCol w:w="3160"/>
      </w:tblGrid>
      <w:tr>
        <w:tc>
          <w:tcPr>
            <w:tcW w:type="dxa" w:w="170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Sleeve</w:t>
            </w:r>
          </w:p>
        </w:tc>
        <w:tc>
          <w:tcPr>
            <w:tcW w:type="dxa" w:w="80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Weight</w:t>
            </w:r>
          </w:p>
        </w:tc>
        <w:tc>
          <w:tcPr>
            <w:tcW w:type="dxa" w:w="370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Sub-factors</w:t>
            </w:r>
          </w:p>
        </w:tc>
        <w:tc>
          <w:tcPr>
            <w:tcW w:type="dxa" w:w="316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Why</w:t>
            </w:r>
          </w:p>
        </w:tc>
      </w:tr>
      <w:tr>
        <w:tc>
          <w:tcPr>
            <w:tcW w:type="dxa" w:w="17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Momentum</w:t>
            </w:r>
          </w:p>
        </w:tc>
        <w:tc>
          <w:tcPr>
            <w:tcW w:type="dxa" w:w="8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40%</w:t>
            </w:r>
          </w:p>
        </w:tc>
        <w:tc>
          <w:tcPr>
            <w:tcW w:type="dxa" w:w="37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12-1 return, 6-1 return, 3-1 return (skip last month)</w:t>
            </w:r>
          </w:p>
        </w:tc>
        <w:tc>
          <w:tcPr>
            <w:tcW w:type="dxa" w:w="316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Skipping last month removes short-term reversal effect (Jegadeesh-Titman 1993)</w:t>
            </w:r>
          </w:p>
        </w:tc>
      </w:tr>
      <w:tr>
        <w:tc>
          <w:tcPr>
            <w:tcW w:type="dxa" w:w="17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Quality</w:t>
            </w:r>
          </w:p>
        </w:tc>
        <w:tc>
          <w:tcPr>
            <w:tcW w:type="dxa" w:w="8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25%</w:t>
            </w:r>
          </w:p>
        </w:tc>
        <w:tc>
          <w:tcPr>
            <w:tcW w:type="dxa" w:w="37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ROCE, ROE, accruals ratio, asset turnover</w:t>
            </w:r>
          </w:p>
        </w:tc>
        <w:tc>
          <w:tcPr>
            <w:tcW w:type="dxa" w:w="316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Negatively correlated with momentum-crash periods (Asness et al.)</w:t>
            </w:r>
          </w:p>
        </w:tc>
      </w:tr>
      <w:tr>
        <w:tc>
          <w:tcPr>
            <w:tcW w:type="dxa" w:w="17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Low-Volatility</w:t>
            </w:r>
          </w:p>
        </w:tc>
        <w:tc>
          <w:tcPr>
            <w:tcW w:type="dxa" w:w="8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15%</w:t>
            </w:r>
          </w:p>
        </w:tc>
        <w:tc>
          <w:tcPr>
            <w:tcW w:type="dxa" w:w="37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90-day realized vol (inverse rank)</w:t>
            </w:r>
          </w:p>
        </w:tc>
        <w:tc>
          <w:tcPr>
            <w:tcW w:type="dxa" w:w="316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Anomaly premium, drawdown control</w:t>
            </w:r>
          </w:p>
        </w:tc>
      </w:tr>
      <w:tr>
        <w:tc>
          <w:tcPr>
            <w:tcW w:type="dxa" w:w="17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Value</w:t>
            </w:r>
          </w:p>
        </w:tc>
        <w:tc>
          <w:tcPr>
            <w:tcW w:type="dxa" w:w="8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10%</w:t>
            </w:r>
          </w:p>
        </w:tc>
        <w:tc>
          <w:tcPr>
            <w:tcW w:type="dxa" w:w="37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EV/EBITDA, P/B, FCF yield — sector-relative ranks</w:t>
            </w:r>
          </w:p>
        </w:tc>
        <w:tc>
          <w:tcPr>
            <w:tcW w:type="dxa" w:w="316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Diversifies momentum; activates in regime shifts</w:t>
            </w:r>
          </w:p>
        </w:tc>
      </w:tr>
      <w:tr>
        <w:tc>
          <w:tcPr>
            <w:tcW w:type="dxa" w:w="17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Breadth &amp; Participation</w:t>
            </w:r>
          </w:p>
        </w:tc>
        <w:tc>
          <w:tcPr>
            <w:tcW w:type="dxa" w:w="8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10%</w:t>
            </w:r>
          </w:p>
        </w:tc>
        <w:tc>
          <w:tcPr>
            <w:tcW w:type="dxa" w:w="37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Volume ratio 20D, breakout flag, sector breadth</w:t>
            </w:r>
          </w:p>
        </w:tc>
        <w:tc>
          <w:tcPr>
            <w:tcW w:type="dxa" w:w="316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Confirms trend health</w:t>
            </w:r>
          </w:p>
        </w:tc>
      </w:tr>
    </w:tbl>
    <w:p>
      <w:pPr>
        <w:spacing w:after="120" w:before="0"/>
      </w:pPr>
      <w:r>
        <w:t xml:space="preserve">Each sleeve produces a cross-sectional rank ∈ [0, 1]; sub-factors within a sleeve are equal-weighted ranks; sleeve ranks are then weighted by the percentages above. Winsorize all raw inputs at the 1st/99th percentile before ranking.</w:t>
      </w:r>
    </w:p>
    <w:p>
      <w:pPr>
        <w:pStyle w:val="Heading2"/>
        <w:spacing w:after="140" w:before="240"/>
      </w:pPr>
      <w:r>
        <w:rPr>
          <w:b/>
          <w:bCs/>
          <w:color w:val="1F3A5F"/>
          <w:sz w:val="28"/>
          <w:szCs w:val="28"/>
        </w:rPr>
        <w:t xml:space="preserve">6.3  Critical Methodological Fixes</w:t>
      </w:r>
    </w:p>
    <w:p>
      <w:pPr>
        <w:pStyle w:val="ListParagraph"/>
        <w:numPr>
          <w:ilvl w:val="0"/>
          <w:numId w:val="2"/>
        </w:numPr>
        <w:spacing w:after="80"/>
      </w:pPr>
      <w:r>
        <w:t xml:space="preserve">Skip-month convention: use 12-1, 6-1, 3-1 returns (e.g., for 6-1: return from 6 months ago to 1 month ago, NOT to today). This avoids the well-documented short-term reversal that contaminates raw 6-month returns.</w:t>
      </w:r>
    </w:p>
    <w:p>
      <w:pPr>
        <w:pStyle w:val="ListParagraph"/>
        <w:numPr>
          <w:ilvl w:val="0"/>
          <w:numId w:val="2"/>
        </w:numPr>
        <w:spacing w:after="80"/>
      </w:pPr>
      <w:r>
        <w:t xml:space="preserve">Sector-relative ranks for value: P/B and EV/EBITDA are not comparable across sectors (banks vs FMCG vs metals). Rank within each sector before combining.</w:t>
      </w:r>
    </w:p>
    <w:p>
      <w:pPr>
        <w:pStyle w:val="ListParagraph"/>
        <w:numPr>
          <w:ilvl w:val="0"/>
          <w:numId w:val="2"/>
        </w:numPr>
        <w:spacing w:after="80"/>
      </w:pPr>
      <w:r>
        <w:t xml:space="preserve">Industry-neutralized momentum (optional): rank momentum within sector first, then aggregate. Reduces sector concentration bets.</w:t>
      </w:r>
    </w:p>
    <w:p>
      <w:pPr>
        <w:pStyle w:val="ListParagraph"/>
        <w:numPr>
          <w:ilvl w:val="0"/>
          <w:numId w:val="2"/>
        </w:numPr>
        <w:spacing w:after="80"/>
      </w:pPr>
      <w:r>
        <w:t xml:space="preserve">Cross-sectional standardization, not raw values: never let a 100% return name and a 5% return name compete on absolute values — always work in ranks or z-scores.</w:t>
      </w:r>
    </w:p>
    <w:p>
      <w:pPr>
        <w:pStyle w:val="Heading2"/>
        <w:spacing w:after="140" w:before="240"/>
      </w:pPr>
      <w:r>
        <w:rPr>
          <w:b/>
          <w:bCs/>
          <w:color w:val="1F3A5F"/>
          <w:sz w:val="28"/>
          <w:szCs w:val="28"/>
        </w:rPr>
        <w:t xml:space="preserve">6.4  Regime Detector</w:t>
      </w:r>
    </w:p>
    <w:p>
      <w:pPr>
        <w:spacing w:after="120" w:before="0"/>
      </w:pPr>
      <w:r>
        <w:t xml:space="preserve">Three independent indicators, scored binary, aggregated to a 3-state regime:</w:t>
      </w:r>
    </w:p>
    <w:p>
      <w:pPr>
        <w:shd w:fill="F5F5F5" w:val="clear"/>
        <w:spacing w:after="120" w:before="80"/>
      </w:pPr>
      <w:r>
        <w:rPr>
          <w:rFonts w:ascii="Consolas" w:cs="Consolas" w:eastAsia="Consolas" w:hAnsi="Consolas"/>
          <w:sz w:val="18"/>
          <w:szCs w:val="18"/>
        </w:rPr>
        <w:t xml:space="preserve">RISK_INDICATORS:
  1. Trend       : Nifty 500 close &gt; 200-DMA?       (yes=1)
  2. Breadth     : % of NSE-500 stocks above 50-DMA?  &gt; 55% → 1
  3. Volatility  : India VIX &lt; 18?                   (yes=1)
REGIME = sum(indicators):
  3  → RISK_ON   : full gross 100%, normal sizing
  2  → RISK_NEU  : gross 70%, halve momentum sleeve weight, double quality
  ≤1 → RISK_OFF  : gross 40%, only quality + low-vol picks, no new momentum
REGIME is re-evaluated weekly at rebalance. State changes only after
the indicator persists for 2 weekly checks (debounce against whipsaw).</w:t>
      </w:r>
    </w:p>
    <w:p>
      <w:r>
        <w:br w:type="page"/>
      </w:r>
    </w:p>
    <w:p>
      <w:pPr>
        <w:pStyle w:val="Heading1"/>
        <w:spacing w:after="200" w:before="300"/>
      </w:pPr>
      <w:r>
        <w:rPr>
          <w:b/>
          <w:bCs/>
          <w:color w:val="1F3A5F"/>
          <w:sz w:val="36"/>
          <w:szCs w:val="36"/>
        </w:rPr>
        <w:t xml:space="preserve">7. Realistic Cost &amp; Tax Model</w:t>
      </w:r>
    </w:p>
    <w:p>
      <w:pPr>
        <w:spacing w:after="120" w:before="0"/>
      </w:pPr>
      <w:r>
        <w:t xml:space="preserve">The current backtest's 0.4% round-trip cost is materially optimistic. Replace with a per-stock model:</w:t>
      </w:r>
    </w:p>
    <w:p>
      <w:pPr>
        <w:shd w:fill="F5F5F5" w:val="clear"/>
        <w:spacing w:after="120" w:before="80"/>
      </w:pPr>
      <w:r>
        <w:rPr>
          <w:rFonts w:ascii="Consolas" w:cs="Consolas" w:eastAsia="Consolas" w:hAnsi="Consolas"/>
          <w:sz w:val="18"/>
          <w:szCs w:val="18"/>
        </w:rPr>
        <w:t xml:space="preserve">def realistic_cost_per_trade(ticker, side, notional_inr, adv_inr):
    # 'side' is 'buy' or 'sell'
    brokerage = min(20, 0.0003 * notional_inr)
    if side == 'buy':
        stt          = 0.001 * notional_inr     # delivery
        stamp_duty   = 0.00015 * notional_inr
    else:
        stt          = 0.00025 * notional_inr   # sell delivery
        stamp_duty   = 0
    exchange         = 0.0000297 * notional_inr  # NSE
    sebi             = 0.000001 * notional_inr
    gst              = 0.18 * (brokerage + exchange + sebi)
    # Slippage model: scales with order size vs ADV
    participation    = notional_inr / max(adv_inr, 1)
    if participation &lt; 0.01:    slippage_bps = 8
    elif participation &lt; 0.05:  slippage_bps = 18
    elif participation &lt; 0.10:  slippage_bps = 35
    else:                       slippage_bps = 60
    slippage = (slippage_bps / 10000.0) * notional_inr
    return brokerage + stt + stamp_duty + exchange + sebi + gst + slippage</w:t>
      </w:r>
    </w:p>
    <w:p>
      <w:pPr>
        <w:pStyle w:val="Heading2"/>
        <w:spacing w:after="140" w:before="240"/>
      </w:pPr>
      <w:r>
        <w:rPr>
          <w:b/>
          <w:bCs/>
          <w:color w:val="1F3A5F"/>
          <w:sz w:val="28"/>
          <w:szCs w:val="28"/>
        </w:rPr>
        <w:t xml:space="preserve">7.1  Tax-Aware Turnover</w:t>
      </w:r>
    </w:p>
    <w:p>
      <w:pPr>
        <w:spacing w:after="120" w:before="0"/>
      </w:pPr>
      <w:r>
        <w:t xml:space="preserve">Short-Term Capital Gains on equity is now 20% (post-Budget 2024). At your current 24× annual turnover, gross 20% pre-tax → net ~16% after-tax. Adding 1.3% in realistic costs vs current 1% reduces this further. To preserve the system's economics:</w:t>
      </w:r>
    </w:p>
    <w:p>
      <w:pPr>
        <w:pStyle w:val="ListParagraph"/>
        <w:numPr>
          <w:ilvl w:val="0"/>
          <w:numId w:val="2"/>
        </w:numPr>
        <w:spacing w:after="80"/>
      </w:pPr>
      <w:r>
        <w:t xml:space="preserve">Move 50–70% of the book to a 'slow' monthly or quarterly rebalance (lower turnover, holds long enough to ladder into LTCG).</w:t>
      </w:r>
    </w:p>
    <w:p>
      <w:pPr>
        <w:pStyle w:val="ListParagraph"/>
        <w:numPr>
          <w:ilvl w:val="0"/>
          <w:numId w:val="2"/>
        </w:numPr>
        <w:spacing w:after="80"/>
      </w:pPr>
      <w:r>
        <w:t xml:space="preserve">Keep 30–50% in the weekly tactical sleeve.</w:t>
      </w:r>
    </w:p>
    <w:p>
      <w:pPr>
        <w:pStyle w:val="ListParagraph"/>
        <w:numPr>
          <w:ilvl w:val="0"/>
          <w:numId w:val="2"/>
        </w:numPr>
        <w:spacing w:after="80"/>
      </w:pPr>
      <w:r>
        <w:t xml:space="preserve">Add a 'turnover penalty' in the scoring step: small bonus to incumbents (continuation bias) of, say, +0.02 to factor score for current holdings, reducing churn from minor rank changes.</w:t>
      </w:r>
    </w:p>
    <w:p>
      <w:r>
        <w:br w:type="page"/>
      </w:r>
    </w:p>
    <w:p>
      <w:pPr>
        <w:pStyle w:val="Heading1"/>
        <w:spacing w:after="200" w:before="300"/>
      </w:pPr>
      <w:r>
        <w:rPr>
          <w:b/>
          <w:bCs/>
          <w:color w:val="1F3A5F"/>
          <w:sz w:val="36"/>
          <w:szCs w:val="36"/>
        </w:rPr>
        <w:t xml:space="preserve">8. Deployment Readiness Checklist for Limited Capital</w:t>
      </w:r>
    </w:p>
    <w:p>
      <w:pPr>
        <w:pStyle w:val="Heading2"/>
        <w:spacing w:after="140" w:before="240"/>
      </w:pPr>
      <w:r>
        <w:rPr>
          <w:b/>
          <w:bCs/>
          <w:color w:val="1F3A5F"/>
          <w:sz w:val="28"/>
          <w:szCs w:val="28"/>
        </w:rPr>
        <w:t xml:space="preserve">8.1  Pre-Deployment Gates (all must pass)</w:t>
      </w:r>
    </w:p>
    <w:p>
      <w:pPr>
        <w:pStyle w:val="ListParagraph"/>
        <w:numPr>
          <w:ilvl w:val="0"/>
          <w:numId w:val="2"/>
        </w:numPr>
        <w:spacing w:after="80"/>
      </w:pPr>
      <w:r>
        <w:t xml:space="preserve">Bug Fix #1: PIT correctness — verified by reproducing one trade end-to-end manually.</w:t>
      </w:r>
    </w:p>
    <w:p>
      <w:pPr>
        <w:pStyle w:val="ListParagraph"/>
        <w:numPr>
          <w:ilvl w:val="0"/>
          <w:numId w:val="2"/>
        </w:numPr>
        <w:spacing w:after="80"/>
      </w:pPr>
      <w:r>
        <w:t xml:space="preserve">Bug Fix #2: Risk overlay enforces caps — verified by inspecting 10 random daily portfolios.</w:t>
      </w:r>
    </w:p>
    <w:p>
      <w:pPr>
        <w:pStyle w:val="ListParagraph"/>
        <w:numPr>
          <w:ilvl w:val="0"/>
          <w:numId w:val="2"/>
        </w:numPr>
        <w:spacing w:after="80"/>
      </w:pPr>
      <w:r>
        <w:t xml:space="preserve">Bug Fix #3: Survivorship-safe universe — verified by checking ≥ 3 known delistings appear in historical panel with NA terminal returns.</w:t>
      </w:r>
    </w:p>
    <w:p>
      <w:pPr>
        <w:pStyle w:val="ListParagraph"/>
        <w:numPr>
          <w:ilvl w:val="0"/>
          <w:numId w:val="2"/>
        </w:numPr>
        <w:spacing w:after="80"/>
      </w:pPr>
      <w:r>
        <w:t xml:space="preserve">Walk-forward V5 backtest shows positive Information Ratio over 2023-2026 (i.e., beats benchmark after costs).</w:t>
      </w:r>
    </w:p>
    <w:p>
      <w:pPr>
        <w:pStyle w:val="ListParagraph"/>
        <w:numPr>
          <w:ilvl w:val="0"/>
          <w:numId w:val="2"/>
        </w:numPr>
        <w:spacing w:after="80"/>
      </w:pPr>
      <w:r>
        <w:t xml:space="preserve">Walk-forward V5 max drawdown ≤ 18%.</w:t>
      </w:r>
    </w:p>
    <w:p>
      <w:pPr>
        <w:pStyle w:val="ListParagraph"/>
        <w:numPr>
          <w:ilvl w:val="0"/>
          <w:numId w:val="2"/>
        </w:numPr>
        <w:spacing w:after="80"/>
      </w:pPr>
      <w:r>
        <w:t xml:space="preserve">Worst 5-day period ≥ −6% (current model: −10.92%).</w:t>
      </w:r>
    </w:p>
    <w:p>
      <w:pPr>
        <w:pStyle w:val="ListParagraph"/>
        <w:numPr>
          <w:ilvl w:val="0"/>
          <w:numId w:val="2"/>
        </w:numPr>
        <w:spacing w:after="80"/>
      </w:pPr>
      <w:r>
        <w:t xml:space="preserve">Quality gate is rejecting &gt; 40% of momentum-only top picks (sanity check that the gate is meaningful).</w:t>
      </w:r>
    </w:p>
    <w:p>
      <w:pPr>
        <w:pStyle w:val="ListParagraph"/>
        <w:numPr>
          <w:ilvl w:val="0"/>
          <w:numId w:val="2"/>
        </w:numPr>
        <w:spacing w:after="80"/>
      </w:pPr>
      <w:r>
        <w:t xml:space="preserve">Regime detector flipped at least once in 2024 backtest (sanity check).</w:t>
      </w:r>
    </w:p>
    <w:p>
      <w:pPr>
        <w:pStyle w:val="ListParagraph"/>
        <w:numPr>
          <w:ilvl w:val="0"/>
          <w:numId w:val="2"/>
        </w:numPr>
        <w:spacing w:after="80"/>
      </w:pPr>
      <w:r>
        <w:t xml:space="preserve">Paper trading: 8–12 weeks live signal generation, recorded daily, with weekly review of mismatch between generated signal and actual execution prices.</w:t>
      </w:r>
    </w:p>
    <w:p>
      <w:pPr>
        <w:pStyle w:val="Heading2"/>
        <w:spacing w:after="140" w:before="240"/>
      </w:pPr>
      <w:r>
        <w:rPr>
          <w:b/>
          <w:bCs/>
          <w:color w:val="1F3A5F"/>
          <w:sz w:val="28"/>
          <w:szCs w:val="28"/>
        </w:rPr>
        <w:t xml:space="preserve">8.2  Sizing Rules for Limited Capital (₹1–5 Lakh starting)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4060"/>
      </w:tblGrid>
      <w:tr>
        <w:tc>
          <w:tcPr>
            <w:tcW w:type="dxa" w:w="320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Rule</w:t>
            </w:r>
          </w:p>
        </w:tc>
        <w:tc>
          <w:tcPr>
            <w:tcW w:type="dxa" w:w="210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Value</w:t>
            </w:r>
          </w:p>
        </w:tc>
        <w:tc>
          <w:tcPr>
            <w:tcW w:type="dxa" w:w="406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Why</w:t>
            </w:r>
          </w:p>
        </w:tc>
      </w:tr>
      <w:tr>
        <w:tc>
          <w:tcPr>
            <w:tcW w:type="dxa" w:w="32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Maximum names in portfolio</w:t>
            </w:r>
          </w:p>
        </w:tc>
        <w:tc>
          <w:tcPr>
            <w:tcW w:type="dxa" w:w="21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8–12 (not 20)</w:t>
            </w:r>
          </w:p>
        </w:tc>
        <w:tc>
          <w:tcPr>
            <w:tcW w:type="dxa" w:w="406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Below ~₹2 L total, brokerage and slippage eat too much on tiny positions</w:t>
            </w:r>
          </w:p>
        </w:tc>
      </w:tr>
      <w:tr>
        <w:tc>
          <w:tcPr>
            <w:tcW w:type="dxa" w:w="32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Maximum single position</w:t>
            </w:r>
          </w:p>
        </w:tc>
        <w:tc>
          <w:tcPr>
            <w:tcW w:type="dxa" w:w="21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10% of capital</w:t>
            </w:r>
          </w:p>
        </w:tc>
        <w:tc>
          <w:tcPr>
            <w:tcW w:type="dxa" w:w="406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Even one stop-out hurts at this size</w:t>
            </w:r>
          </w:p>
        </w:tc>
      </w:tr>
      <w:tr>
        <w:tc>
          <w:tcPr>
            <w:tcW w:type="dxa" w:w="32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Maximum sector concentration</w:t>
            </w:r>
          </w:p>
        </w:tc>
        <w:tc>
          <w:tcPr>
            <w:tcW w:type="dxa" w:w="21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30%</w:t>
            </w:r>
          </w:p>
        </w:tc>
        <w:tc>
          <w:tcPr>
            <w:tcW w:type="dxa" w:w="406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Slightly looser than V5 ideal — accepting concentration risk to keep names tradable</w:t>
            </w:r>
          </w:p>
        </w:tc>
      </w:tr>
      <w:tr>
        <w:tc>
          <w:tcPr>
            <w:tcW w:type="dxa" w:w="32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Minimum market cap of any pick</w:t>
            </w:r>
          </w:p>
        </w:tc>
        <w:tc>
          <w:tcPr>
            <w:tcW w:type="dxa" w:w="21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₹1,000 Cr</w:t>
            </w:r>
          </w:p>
        </w:tc>
        <w:tc>
          <w:tcPr>
            <w:tcW w:type="dxa" w:w="406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Liquidity floor higher than the strategy default; small caps below this fill badly on retail tickets</w:t>
            </w:r>
          </w:p>
        </w:tc>
      </w:tr>
      <w:tr>
        <w:tc>
          <w:tcPr>
            <w:tcW w:type="dxa" w:w="32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Maximum total gross exposure</w:t>
            </w:r>
          </w:p>
        </w:tc>
        <w:tc>
          <w:tcPr>
            <w:tcW w:type="dxa" w:w="21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Start at 50%, scale to 80% only after 8 weeks of green paper trading</w:t>
            </w:r>
          </w:p>
        </w:tc>
        <w:tc>
          <w:tcPr>
            <w:tcW w:type="dxa" w:w="406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Behavioural risk control — don't max-leverage on day one</w:t>
            </w:r>
          </w:p>
        </w:tc>
      </w:tr>
      <w:tr>
        <w:tc>
          <w:tcPr>
            <w:tcW w:type="dxa" w:w="32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Max loss per trade (R)</w:t>
            </w:r>
          </w:p>
        </w:tc>
        <w:tc>
          <w:tcPr>
            <w:tcW w:type="dxa" w:w="21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1.0% of capital</w:t>
            </w:r>
          </w:p>
        </w:tc>
        <w:tc>
          <w:tcPr>
            <w:tcW w:type="dxa" w:w="406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On ₹2 L, that's ₹2,000 max loss per name</w:t>
            </w:r>
          </w:p>
        </w:tc>
      </w:tr>
      <w:tr>
        <w:tc>
          <w:tcPr>
            <w:tcW w:type="dxa" w:w="32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Daily aggregate stop</w:t>
            </w:r>
          </w:p>
        </w:tc>
        <w:tc>
          <w:tcPr>
            <w:tcW w:type="dxa" w:w="21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If 3+ stops fire in one day, pause new entries for next session</w:t>
            </w:r>
          </w:p>
        </w:tc>
        <w:tc>
          <w:tcPr>
            <w:tcW w:type="dxa" w:w="406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Prevents revenge-trading</w:t>
            </w:r>
          </w:p>
        </w:tc>
      </w:tr>
    </w:tbl>
    <w:p>
      <w:pPr>
        <w:pStyle w:val="Heading2"/>
        <w:spacing w:after="140" w:before="240"/>
      </w:pPr>
      <w:r>
        <w:rPr>
          <w:b/>
          <w:bCs/>
          <w:color w:val="1F3A5F"/>
          <w:sz w:val="28"/>
          <w:szCs w:val="28"/>
        </w:rPr>
        <w:t xml:space="preserve">8.3  Operational Hygiene</w:t>
      </w:r>
    </w:p>
    <w:p>
      <w:pPr>
        <w:pStyle w:val="ListParagraph"/>
        <w:numPr>
          <w:ilvl w:val="0"/>
          <w:numId w:val="2"/>
        </w:numPr>
        <w:spacing w:after="80"/>
      </w:pPr>
      <w:r>
        <w:t xml:space="preserve">Use limit orders (within 0.5% of LTP), never market orders, on positions &lt; ₹5,000 Cr market cap.</w:t>
      </w:r>
    </w:p>
    <w:p>
      <w:pPr>
        <w:pStyle w:val="ListParagraph"/>
        <w:numPr>
          <w:ilvl w:val="0"/>
          <w:numId w:val="2"/>
        </w:numPr>
        <w:spacing w:after="80"/>
      </w:pPr>
      <w:r>
        <w:t xml:space="preserve">Trade execution windows: 09:30–10:00 (after opening volatility) and 14:30–15:00 (before close). Avoid 11:00–14:00 lull and 15:25–15:30 closing auction.</w:t>
      </w:r>
    </w:p>
    <w:p>
      <w:pPr>
        <w:pStyle w:val="ListParagraph"/>
        <w:numPr>
          <w:ilvl w:val="0"/>
          <w:numId w:val="2"/>
        </w:numPr>
        <w:spacing w:after="80"/>
      </w:pPr>
      <w:r>
        <w:t xml:space="preserve">Skip Friday afternoon entries — weekend gap risk on news.</w:t>
      </w:r>
    </w:p>
    <w:p>
      <w:pPr>
        <w:pStyle w:val="ListParagraph"/>
        <w:numPr>
          <w:ilvl w:val="0"/>
          <w:numId w:val="2"/>
        </w:numPr>
        <w:spacing w:after="80"/>
      </w:pPr>
      <w:r>
        <w:t xml:space="preserve">Maintain a trade journal: for every signal, log {ticker, conviction, regime, factor score, quality score, entry plan, actual fill, stop, outcome}. Review monthly.</w:t>
      </w:r>
    </w:p>
    <w:p>
      <w:pPr>
        <w:pStyle w:val="ListParagraph"/>
        <w:numPr>
          <w:ilvl w:val="0"/>
          <w:numId w:val="2"/>
        </w:numPr>
        <w:spacing w:after="80"/>
      </w:pPr>
      <w:r>
        <w:t xml:space="preserve">Telegram broadcast format upgrade: include conviction (1–10), regime state, recommended R-size, and stop level. Recipients should know whether a pick is a 9-conviction risk-ON or a 6-conviction toehold.</w:t>
      </w:r>
    </w:p>
    <w:p>
      <w:pPr>
        <w:pStyle w:val="Heading2"/>
        <w:spacing w:after="140" w:before="240"/>
      </w:pPr>
      <w:r>
        <w:rPr>
          <w:b/>
          <w:bCs/>
          <w:color w:val="1F3A5F"/>
          <w:sz w:val="28"/>
          <w:szCs w:val="28"/>
        </w:rPr>
        <w:t xml:space="preserve">8.4  Monthly Review Protocol</w:t>
      </w:r>
    </w:p>
    <w:p>
      <w:pPr>
        <w:pStyle w:val="ListParagraph"/>
        <w:numPr>
          <w:ilvl w:val="0"/>
          <w:numId w:val="2"/>
        </w:numPr>
        <w:spacing w:after="80"/>
      </w:pPr>
      <w:r>
        <w:t xml:space="preserve">Realized vs paper PnL — slippage attribution.</w:t>
      </w:r>
    </w:p>
    <w:p>
      <w:pPr>
        <w:pStyle w:val="ListParagraph"/>
        <w:numPr>
          <w:ilvl w:val="0"/>
          <w:numId w:val="2"/>
        </w:numPr>
        <w:spacing w:after="80"/>
      </w:pPr>
      <w:r>
        <w:t xml:space="preserve">Stop-loss hit rate by sector — sectors where 50%+ stops fire indicate factor decay or wrong segment.</w:t>
      </w:r>
    </w:p>
    <w:p>
      <w:pPr>
        <w:pStyle w:val="ListParagraph"/>
        <w:numPr>
          <w:ilvl w:val="0"/>
          <w:numId w:val="2"/>
        </w:numPr>
        <w:spacing w:after="80"/>
      </w:pPr>
      <w:r>
        <w:t xml:space="preserve">Quality gate effectiveness — % of failed names that were 'saved by the gate' (would-have-bought-but-rejected names that subsequently underperformed).</w:t>
      </w:r>
    </w:p>
    <w:p>
      <w:pPr>
        <w:pStyle w:val="ListParagraph"/>
        <w:numPr>
          <w:ilvl w:val="0"/>
          <w:numId w:val="2"/>
        </w:numPr>
        <w:spacing w:after="80"/>
      </w:pPr>
      <w:r>
        <w:t xml:space="preserve">Regime detector accuracy — was it in the right state when needed?</w:t>
      </w:r>
    </w:p>
    <w:p>
      <w:pPr>
        <w:pStyle w:val="ListParagraph"/>
        <w:numPr>
          <w:ilvl w:val="0"/>
          <w:numId w:val="2"/>
        </w:numPr>
        <w:spacing w:after="80"/>
      </w:pPr>
      <w:r>
        <w:t xml:space="preserve">Pause trading if 3 consecutive months of negative IR vs Nifty 500 TRI. Re-validate, do not 'override' the system.</w:t>
      </w:r>
    </w:p>
    <w:p>
      <w:r>
        <w:br w:type="page"/>
      </w:r>
    </w:p>
    <w:p>
      <w:pPr>
        <w:pStyle w:val="Heading1"/>
        <w:spacing w:after="200" w:before="300"/>
      </w:pPr>
      <w:r>
        <w:rPr>
          <w:b/>
          <w:bCs/>
          <w:color w:val="1F3A5F"/>
          <w:sz w:val="36"/>
          <w:szCs w:val="36"/>
        </w:rPr>
        <w:t xml:space="preserve">9. Specific Python Modules to Build</w:t>
      </w:r>
    </w:p>
    <w:p>
      <w:pPr>
        <w:spacing w:after="120" w:before="0"/>
      </w:pPr>
      <w:r>
        <w:t xml:space="preserve">These are the modules I will write next, in priority order. Each is a drop-in replacement for or new addition to the existing scripts/ folder.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900"/>
        <w:gridCol w:w="1200"/>
      </w:tblGrid>
      <w:tr>
        <w:tc>
          <w:tcPr>
            <w:tcW w:type="dxa" w:w="250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Module</w:t>
            </w:r>
          </w:p>
        </w:tc>
        <w:tc>
          <w:tcPr>
            <w:tcW w:type="dxa" w:w="300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Purpose</w:t>
            </w:r>
          </w:p>
        </w:tc>
        <w:tc>
          <w:tcPr>
            <w:tcW w:type="dxa" w:w="290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Replaces / Adds</w:t>
            </w:r>
          </w:p>
        </w:tc>
        <w:tc>
          <w:tcPr>
            <w:tcW w:type="dxa" w:w="1200"/>
            <w:tcBorders>
              <w:top w:val="single" w:color="B7B7B7" w:sz="6"/>
              <w:left w:val="single" w:color="B7B7B7" w:sz="6"/>
              <w:bottom w:val="single" w:color="B7B7B7" w:sz="6"/>
              <w:right w:val="single" w:color="B7B7B7" w:sz="6"/>
            </w:tcBorders>
            <w:shd w:fill="DCE6F1" w:val="clear"/>
            <w:tcMar>
              <w:top w:type="dxa" w:w="80"/>
              <w:left w:type="dxa" w:w="120"/>
              <w:bottom w:type="dxa" w:w="80"/>
              <w:right w:type="dxa" w:w="120"/>
            </w:tcMar>
          </w:tcPr>
          <w:p>
            <w:r>
              <w:rPr>
                <w:b/>
                <w:bCs/>
                <w:sz w:val="20"/>
                <w:szCs w:val="20"/>
              </w:rPr>
              <w:t xml:space="preserve">Priority</w:t>
            </w:r>
          </w:p>
        </w:tc>
      </w:tr>
      <w:tr>
        <w:tc>
          <w:tcPr>
            <w:tcW w:type="dxa" w:w="25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pit_corrections.py</w:t>
            </w:r>
          </w:p>
        </w:tc>
        <w:tc>
          <w:tcPr>
            <w:tcW w:type="dxa" w:w="30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Apply 1-day lag to factor → trade pipeline; rebuild forward returns from T-open</w:t>
            </w:r>
          </w:p>
        </w:tc>
        <w:tc>
          <w:tcPr>
            <w:tcW w:type="dxa" w:w="29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Modifies build_factor_database_v2.py, backtest_factor_screen.py</w:t>
            </w:r>
          </w:p>
        </w:tc>
        <w:tc>
          <w:tcPr>
            <w:tcW w:type="dxa" w:w="12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P0 (blocker)</w:t>
            </w:r>
          </w:p>
        </w:tc>
      </w:tr>
      <w:tr>
        <w:tc>
          <w:tcPr>
            <w:tcW w:type="dxa" w:w="25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risk_overlay_fixed.py</w:t>
            </w:r>
          </w:p>
        </w:tc>
        <w:tc>
          <w:tcPr>
            <w:tcW w:type="dxa" w:w="30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Properly enforced iterative cap-and-redistribute; reports any cap violations as errors</w:t>
            </w:r>
          </w:p>
        </w:tc>
        <w:tc>
          <w:tcPr>
            <w:tcW w:type="dxa" w:w="29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Replaces portfolio_risk_overlay.py</w:t>
            </w:r>
          </w:p>
        </w:tc>
        <w:tc>
          <w:tcPr>
            <w:tcW w:type="dxa" w:w="12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P0 (blocker)</w:t>
            </w:r>
          </w:p>
        </w:tc>
      </w:tr>
      <w:tr>
        <w:tc>
          <w:tcPr>
            <w:tcW w:type="dxa" w:w="25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realistic_cost_model.py</w:t>
            </w:r>
          </w:p>
        </w:tc>
        <w:tc>
          <w:tcPr>
            <w:tcW w:type="dxa" w:w="30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Per-stock cost function with slippage scaling on participation</w:t>
            </w:r>
          </w:p>
        </w:tc>
        <w:tc>
          <w:tcPr>
            <w:tcW w:type="dxa" w:w="29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Replaces flat ROUND_TRIP_COST</w:t>
            </w:r>
          </w:p>
        </w:tc>
        <w:tc>
          <w:tcPr>
            <w:tcW w:type="dxa" w:w="12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P0</w:t>
            </w:r>
          </w:p>
        </w:tc>
      </w:tr>
      <w:tr>
        <w:tc>
          <w:tcPr>
            <w:tcW w:type="dxa" w:w="25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fundamentals_fetcher.py</w:t>
            </w:r>
          </w:p>
        </w:tc>
        <w:tc>
          <w:tcPr>
            <w:tcW w:type="dxa" w:w="30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Daily scraper for Screener.in + BSE filings + NSE ASM/GSM lists</w:t>
            </w:r>
          </w:p>
        </w:tc>
        <w:tc>
          <w:tcPr>
            <w:tcW w:type="dxa" w:w="29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New</w:t>
            </w:r>
          </w:p>
        </w:tc>
        <w:tc>
          <w:tcPr>
            <w:tcW w:type="dxa" w:w="12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P1</w:t>
            </w:r>
          </w:p>
        </w:tc>
      </w:tr>
      <w:tr>
        <w:tc>
          <w:tcPr>
            <w:tcW w:type="dxa" w:w="25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quality_gate.py</w:t>
            </w:r>
          </w:p>
        </w:tc>
        <w:tc>
          <w:tcPr>
            <w:tcW w:type="dxa" w:w="30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Apply mandatory fundamental &amp; event filters; returns reduced universe</w:t>
            </w:r>
          </w:p>
        </w:tc>
        <w:tc>
          <w:tcPr>
            <w:tcW w:type="dxa" w:w="29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New</w:t>
            </w:r>
          </w:p>
        </w:tc>
        <w:tc>
          <w:tcPr>
            <w:tcW w:type="dxa" w:w="12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P1</w:t>
            </w:r>
          </w:p>
        </w:tc>
      </w:tr>
      <w:tr>
        <w:tc>
          <w:tcPr>
            <w:tcW w:type="dxa" w:w="25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multifactor_score.py</w:t>
            </w:r>
          </w:p>
        </w:tc>
        <w:tc>
          <w:tcPr>
            <w:tcW w:type="dxa" w:w="30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Five-sleeve composite with winsorization &amp; sector-relative value</w:t>
            </w:r>
          </w:p>
        </w:tc>
        <w:tc>
          <w:tcPr>
            <w:tcW w:type="dxa" w:w="29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Replaces FACTOR_SCORE block in build_factor_database_v2.py</w:t>
            </w:r>
          </w:p>
        </w:tc>
        <w:tc>
          <w:tcPr>
            <w:tcW w:type="dxa" w:w="12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P1</w:t>
            </w:r>
          </w:p>
        </w:tc>
      </w:tr>
      <w:tr>
        <w:tc>
          <w:tcPr>
            <w:tcW w:type="dxa" w:w="25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regime_detector.py</w:t>
            </w:r>
          </w:p>
        </w:tc>
        <w:tc>
          <w:tcPr>
            <w:tcW w:type="dxa" w:w="30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Daily regime state with debouncing</w:t>
            </w:r>
          </w:p>
        </w:tc>
        <w:tc>
          <w:tcPr>
            <w:tcW w:type="dxa" w:w="29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New</w:t>
            </w:r>
          </w:p>
        </w:tc>
        <w:tc>
          <w:tcPr>
            <w:tcW w:type="dxa" w:w="12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P2</w:t>
            </w:r>
          </w:p>
        </w:tc>
      </w:tr>
      <w:tr>
        <w:tc>
          <w:tcPr>
            <w:tcW w:type="dxa" w:w="25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exit_engine.py</w:t>
            </w:r>
          </w:p>
        </w:tc>
        <w:tc>
          <w:tcPr>
            <w:tcW w:type="dxa" w:w="30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ATR stops, trailing, time stops, kill switch, position-level PnL</w:t>
            </w:r>
          </w:p>
        </w:tc>
        <w:tc>
          <w:tcPr>
            <w:tcW w:type="dxa" w:w="29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New</w:t>
            </w:r>
          </w:p>
        </w:tc>
        <w:tc>
          <w:tcPr>
            <w:tcW w:type="dxa" w:w="12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P2</w:t>
            </w:r>
          </w:p>
        </w:tc>
      </w:tr>
      <w:tr>
        <w:tc>
          <w:tcPr>
            <w:tcW w:type="dxa" w:w="25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confidence_score.py</w:t>
            </w:r>
          </w:p>
        </w:tc>
        <w:tc>
          <w:tcPr>
            <w:tcW w:type="dxa" w:w="30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Per-pick 1–10 score; used by sizing and Telegram broadcast</w:t>
            </w:r>
          </w:p>
        </w:tc>
        <w:tc>
          <w:tcPr>
            <w:tcW w:type="dxa" w:w="29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New</w:t>
            </w:r>
          </w:p>
        </w:tc>
        <w:tc>
          <w:tcPr>
            <w:tcW w:type="dxa" w:w="1200"/>
            <w:tcBorders>
              <w:top w:val="single" w:color="B7B7B7" w:sz="6"/>
              <w:left w:val="single" w:color="B7B7B7" w:sz="6"/>
              <w:bottom w:val="single" w:color="B7B7B7" w:sz="6"/>
              <w:right w:val="single" w:color="B7B7B7" w:sz="6"/>
            </w:tcBorders>
            <w:tcMar>
              <w:top w:type="dxa" w:w="80"/>
              <w:left w:type="dxa" w:w="120"/>
              <w:bottom w:type="dxa" w:w="80"/>
              <w:right w:type="dxa" w:w="120"/>
            </w:tcMar>
          </w:tcPr>
          <w:p>
            <w:r>
              <w:rPr>
                <w:sz w:val="20"/>
                <w:szCs w:val="20"/>
              </w:rPr>
              <w:t xml:space="preserve">P2</w:t>
            </w:r>
          </w:p>
        </w:tc>
      </w:tr>
      <w:tr>
        <w:tc>
          <w:tcPr>
            <w:tcW w:type="dxa" w:w="25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v5_walk_forward.py</w:t>
            </w:r>
          </w:p>
        </w:tc>
        <w:tc>
          <w:tcPr>
            <w:tcW w:type="dxa" w:w="30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End-to-end V5 walk-forward with full metric battery</w:t>
            </w:r>
          </w:p>
        </w:tc>
        <w:tc>
          <w:tcPr>
            <w:tcW w:type="dxa" w:w="29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Replaces walk_forward_validation.py</w:t>
            </w:r>
          </w:p>
        </w:tc>
        <w:tc>
          <w:tcPr>
            <w:tcW w:type="dxa" w:w="1200"/>
            <w:tcBorders>
              <w:top w:val="single" w:color="B7B7B7" w:sz="6"/>
              <w:left w:val="single" w:color="B7B7B7" w:sz="6"/>
              <w:bottom w:val="single" w:color="B7B7B7" w:sz="6"/>
              <w:right w:val="single" w:color="B7B7B7" w:sz="6"/>
            </w:tcBorders>
            <w:shd w:fill="F2F2F2" w:val="clear"/>
            <w:tcMar>
              <w:top w:type="dxa" w:w="80"/>
              <w:left w:type="dxa" w:w="120"/>
              <w:bottom w:type="dxa" w:w="80"/>
              <w:right w:type="dxa" w:w="120"/>
            </w:tcMar>
          </w:tcPr>
          <w:p>
            <w:r>
              <w:rPr>
                <w:sz w:val="20"/>
                <w:szCs w:val="20"/>
              </w:rPr>
              <w:t xml:space="preserve">P3</w:t>
            </w:r>
          </w:p>
        </w:tc>
      </w:tr>
    </w:tbl>
    <w:p>
      <w:pPr>
        <w:spacing w:after="120" w:before="0"/>
      </w:pPr>
      <w:r>
        <w:t xml:space="preserve">I will deliver these as a runnable Python package with a README that maps each module to the architecture diagram in Section 3.2. They will be developed against the data you already have so you can run them locally without changing the master_history.csv. Where Screener.in scraping is involved, I'll add request throttling and a cache to be a good web citizen and to not get IP-banned.</w:t>
      </w:r>
    </w:p>
    <w:p>
      <w:r>
        <w:br w:type="page"/>
      </w:r>
    </w:p>
    <w:p>
      <w:pPr>
        <w:pStyle w:val="Heading1"/>
        <w:spacing w:after="200" w:before="300"/>
      </w:pPr>
      <w:r>
        <w:rPr>
          <w:b/>
          <w:bCs/>
          <w:color w:val="1F3A5F"/>
          <w:sz w:val="36"/>
          <w:szCs w:val="36"/>
        </w:rPr>
        <w:t xml:space="preserve">10. Honest Caveats — Probability of Success</w:t>
      </w:r>
    </w:p>
    <w:p>
      <w:pPr>
        <w:spacing w:after="120" w:before="0"/>
      </w:pPr>
      <w:r>
        <w:t xml:space="preserve">Speaking as someone with no commission on whether you trade this or not:</w:t>
      </w:r>
    </w:p>
    <w:p>
      <w:pPr>
        <w:pStyle w:val="ListParagraph"/>
        <w:numPr>
          <w:ilvl w:val="0"/>
          <w:numId w:val="2"/>
        </w:numPr>
        <w:spacing w:after="80"/>
      </w:pPr>
      <w:r>
        <w:t xml:space="preserve">Most systematic retail equity strategies fail after costs over a 5-year window. The market has tens of thousands of momentum traders all running similar logic; the alpha is competed away.</w:t>
      </w:r>
    </w:p>
    <w:p>
      <w:pPr>
        <w:pStyle w:val="ListParagraph"/>
        <w:numPr>
          <w:ilvl w:val="0"/>
          <w:numId w:val="2"/>
        </w:numPr>
        <w:spacing w:after="80"/>
      </w:pPr>
      <w:r>
        <w:t xml:space="preserve">Even good institutional momentum strategies post Sharpe ratios of 0.6–0.9. The current V4 is 0.22; a successful V5 might hit 0.5–0.8. That is a CAGR of roughly 14–22% with a 15–22% volatility and 12–18% drawdowns. Realistic, not magical.</w:t>
      </w:r>
    </w:p>
    <w:p>
      <w:pPr>
        <w:pStyle w:val="ListParagraph"/>
        <w:numPr>
          <w:ilvl w:val="0"/>
          <w:numId w:val="2"/>
        </w:numPr>
        <w:spacing w:after="80"/>
      </w:pPr>
      <w:r>
        <w:t xml:space="preserve">After-tax (20% STCG on weekly book) and after realistic costs, the after-everything CAGR is roughly 60–75% of the pre-cost CAGR. A 20% pre-cost system delivers 14–16% in your pocket.</w:t>
      </w:r>
    </w:p>
    <w:p>
      <w:pPr>
        <w:pStyle w:val="ListParagraph"/>
        <w:numPr>
          <w:ilvl w:val="0"/>
          <w:numId w:val="2"/>
        </w:numPr>
        <w:spacing w:after="80"/>
      </w:pPr>
      <w:r>
        <w:t xml:space="preserve">Indian small-cap momentum has structural cycles. There will be 12–18 month windows (like 2024) where this kind of system underperforms badly. If you cannot psychologically sit through that with conviction, do not deploy it — the worst time to abandon a system is at its drawdown low, and that is when most retail does it.</w:t>
      </w:r>
    </w:p>
    <w:p>
      <w:pPr>
        <w:pStyle w:val="ListParagraph"/>
        <w:numPr>
          <w:ilvl w:val="0"/>
          <w:numId w:val="2"/>
        </w:numPr>
        <w:spacing w:after="80"/>
      </w:pPr>
      <w:r>
        <w:t xml:space="preserve">A simple Nifty 500 / Nifty Midcap 150 SIP, over 10 years, would likely outperform this system after-costs unless V5 is implemented well AND you maintain operational discipline.</w:t>
      </w:r>
    </w:p>
    <w:p>
      <w:pPr>
        <w:spacing w:after="120" w:before="160"/>
      </w:pPr>
      <w:r>
        <w:rPr>
          <w:i/>
          <w:iCs/>
          <w:color w:val="1F3A5F"/>
        </w:rPr>
        <w:t xml:space="preserve">The honest pitch for building V5 is not 'higher returns than passive' — it is 'comparable returns to passive, with lower drawdowns, with the option to scale up if it proves out, and with the educational value of operating a real system.' If those reasons resonate, the work in this blueprint is worth doing. If you are looking purely for the highest-return option, an SIP into a small/midcap index fund is probably better risk-adjusted.</w:t>
      </w:r>
    </w:p>
    <w:p>
      <w:r>
        <w:br w:type="page"/>
      </w:r>
    </w:p>
    <w:p>
      <w:pPr>
        <w:pStyle w:val="Heading1"/>
        <w:spacing w:after="200" w:before="300"/>
      </w:pPr>
      <w:r>
        <w:rPr>
          <w:b/>
          <w:bCs/>
          <w:color w:val="1F3A5F"/>
          <w:sz w:val="36"/>
          <w:szCs w:val="36"/>
        </w:rPr>
        <w:t xml:space="preserve">Disclaimer</w:t>
      </w:r>
    </w:p>
    <w:p>
      <w:pPr>
        <w:spacing w:after="120" w:before="0"/>
      </w:pPr>
      <w:r>
        <w:t xml:space="preserve">This document is an independent technical and quantitative audit prepared for the recipient's personal use. Nothing in this document constitutes investment advice or a recommendation to buy or sell any security. All backtests are subject to look-ahead bias, survivorship bias, data quality issues, and other limitations discussed herein. Past performance is not indicative of future results. The recipient is solely responsible for any investment decisions and outcomes. If you intend to manage external capital based on this system, you must register appropriately with SEBI (Investment Adviser or Research Analyst regulations) — broadcasting trade signals to a Telegram channel of paying or non-paying subscribers without registration may attract regulatory action.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i/>
        <w:iCs/>
        <w:color w:val="777777"/>
        <w:sz w:val="18"/>
        <w:szCs w:val="18"/>
      </w:rPr>
      <w:t xml:space="preserve">Automated Stock Picker Model — Audit &amp; Refinement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40" w:before="24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Stock Picker Model — Audit &amp; Refinement Blueprint</dc:title>
  <dc:creator>Cowork — Quantitative Audit</dc:creator>
  <cp:lastModifiedBy>Un-named</cp:lastModifiedBy>
  <cp:revision>1</cp:revision>
  <dcterms:created xsi:type="dcterms:W3CDTF">2026-05-27T08:38:58.017Z</dcterms:created>
  <dcterms:modified xsi:type="dcterms:W3CDTF">2026-05-27T08:38:58.017Z</dcterms:modified>
</cp:coreProperties>
</file>

<file path=docProps/custom.xml><?xml version="1.0" encoding="utf-8"?>
<Properties xmlns="http://schemas.openxmlformats.org/officeDocument/2006/custom-properties" xmlns:vt="http://schemas.openxmlformats.org/officeDocument/2006/docPropsVTypes"/>
</file>