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8950B" w14:textId="77777777" w:rsidR="00353A74" w:rsidRPr="00353A74" w:rsidRDefault="00353A74" w:rsidP="00353A74">
      <w:r w:rsidRPr="00353A74">
        <w:rPr>
          <w:b/>
          <w:bCs/>
        </w:rPr>
        <w:t>Executive Summary:</w:t>
      </w:r>
    </w:p>
    <w:p w14:paraId="521A9538" w14:textId="77777777" w:rsidR="00353A74" w:rsidRPr="00353A74" w:rsidRDefault="00353A74" w:rsidP="00353A74">
      <w:r w:rsidRPr="00353A74">
        <w:t>This report provides an in-depth analysis of the spend analytics data, with a focus on identifying key spending trends, understanding the distribution of expenses across various categories and vendors, and assessing monthly spend fluctuations. The period under review has exhibited dynamic spend patterns, with significant month-to-month variances, emphasizing the importance of strategic financial planning and vendor management.</w:t>
      </w:r>
    </w:p>
    <w:p w14:paraId="60DB7775" w14:textId="77777777" w:rsidR="00353A74" w:rsidRPr="00353A74" w:rsidRDefault="00353A74" w:rsidP="00353A74">
      <w:r w:rsidRPr="00353A74">
        <w:rPr>
          <w:b/>
          <w:bCs/>
        </w:rPr>
        <w:t>Total Spend Overview:</w:t>
      </w:r>
    </w:p>
    <w:p w14:paraId="5E82B5D8" w14:textId="41DFC671" w:rsidR="00353A74" w:rsidRPr="00353A74" w:rsidRDefault="00353A74" w:rsidP="00353A74">
      <w:pPr>
        <w:numPr>
          <w:ilvl w:val="0"/>
          <w:numId w:val="1"/>
        </w:numPr>
      </w:pPr>
      <w:r w:rsidRPr="00353A74">
        <w:rPr>
          <w:b/>
          <w:bCs/>
        </w:rPr>
        <w:t>Cumulative Spend:</w:t>
      </w:r>
      <w:r w:rsidRPr="00353A74">
        <w:t xml:space="preserve"> $272.38 million, indicating significant financial activity across several spend categories.</w:t>
      </w:r>
    </w:p>
    <w:p w14:paraId="5787005A" w14:textId="40CCA97B" w:rsidR="00353A74" w:rsidRPr="00353A74" w:rsidRDefault="00353A74" w:rsidP="00353A74">
      <w:pPr>
        <w:numPr>
          <w:ilvl w:val="0"/>
          <w:numId w:val="1"/>
        </w:numPr>
      </w:pPr>
      <w:r w:rsidRPr="00353A74">
        <w:rPr>
          <w:b/>
          <w:bCs/>
        </w:rPr>
        <w:t>Average Spend per Vendor:</w:t>
      </w:r>
      <w:r w:rsidRPr="00353A74">
        <w:t xml:space="preserve"> $2.10 million, suggesting substantial transactions with key vendors.</w:t>
      </w:r>
    </w:p>
    <w:p w14:paraId="71255136" w14:textId="77777777" w:rsidR="00353A74" w:rsidRPr="00353A74" w:rsidRDefault="00353A74" w:rsidP="00353A74">
      <w:r w:rsidRPr="00353A74">
        <w:rPr>
          <w:b/>
          <w:bCs/>
        </w:rPr>
        <w:t>Monthly Spend Analysis:</w:t>
      </w:r>
    </w:p>
    <w:p w14:paraId="3FA980A0" w14:textId="77777777" w:rsidR="00353A74" w:rsidRPr="00353A74" w:rsidRDefault="00353A74" w:rsidP="00353A74">
      <w:pPr>
        <w:numPr>
          <w:ilvl w:val="0"/>
          <w:numId w:val="2"/>
        </w:numPr>
      </w:pPr>
      <w:r w:rsidRPr="00353A74">
        <w:t>There has been considerable variability in spending from month to month, with April 2019 and May 2020 marking the highest spikes in expenditure. These irregularities necessitate a deeper understanding of business activities influencing such variances.</w:t>
      </w:r>
    </w:p>
    <w:p w14:paraId="64B84547" w14:textId="77777777" w:rsidR="00353A74" w:rsidRPr="00353A74" w:rsidRDefault="00353A74" w:rsidP="00353A74">
      <w:r w:rsidRPr="00353A74">
        <w:rPr>
          <w:b/>
          <w:bCs/>
        </w:rPr>
        <w:t>Vendor Analysis:</w:t>
      </w:r>
    </w:p>
    <w:p w14:paraId="0C4695C1" w14:textId="77777777" w:rsidR="00353A74" w:rsidRPr="00353A74" w:rsidRDefault="00353A74" w:rsidP="00353A74">
      <w:pPr>
        <w:numPr>
          <w:ilvl w:val="0"/>
          <w:numId w:val="3"/>
        </w:numPr>
      </w:pPr>
      <w:r w:rsidRPr="00353A74">
        <w:rPr>
          <w:b/>
          <w:bCs/>
        </w:rPr>
        <w:t>Top Vendors by Spend:</w:t>
      </w:r>
      <w:r w:rsidRPr="00353A74">
        <w:t xml:space="preserve"> Screen Saver.com ($59.28 million), Sifton Properties Limited ($39.39 million), and Harvard Trust Company ($27.30 million), which points towards strategic partnerships or significant project-related outlays with these entities.</w:t>
      </w:r>
    </w:p>
    <w:p w14:paraId="0AEBC23E" w14:textId="77777777" w:rsidR="00353A74" w:rsidRPr="00353A74" w:rsidRDefault="00353A74" w:rsidP="00353A74">
      <w:pPr>
        <w:numPr>
          <w:ilvl w:val="0"/>
          <w:numId w:val="3"/>
        </w:numPr>
      </w:pPr>
      <w:r w:rsidRPr="00353A74">
        <w:rPr>
          <w:b/>
          <w:bCs/>
        </w:rPr>
        <w:t>Screen Saver.com</w:t>
      </w:r>
      <w:r w:rsidRPr="00353A74">
        <w:t xml:space="preserve"> specifically shows inconsistent spend patterns, with months of high spending interspersed with periods of minimal transactions.</w:t>
      </w:r>
    </w:p>
    <w:p w14:paraId="11876FAF" w14:textId="77777777" w:rsidR="00353A74" w:rsidRPr="00353A74" w:rsidRDefault="00353A74" w:rsidP="00353A74">
      <w:r w:rsidRPr="00353A74">
        <w:rPr>
          <w:b/>
          <w:bCs/>
        </w:rPr>
        <w:t>Category Analysis:</w:t>
      </w:r>
    </w:p>
    <w:p w14:paraId="13D45808" w14:textId="77777777" w:rsidR="00353A74" w:rsidRPr="00353A74" w:rsidRDefault="00353A74" w:rsidP="00353A74">
      <w:pPr>
        <w:numPr>
          <w:ilvl w:val="0"/>
          <w:numId w:val="4"/>
        </w:numPr>
      </w:pPr>
      <w:r w:rsidRPr="00353A74">
        <w:rPr>
          <w:b/>
          <w:bCs/>
        </w:rPr>
        <w:t>High Spend Categories:</w:t>
      </w:r>
      <w:r w:rsidRPr="00353A74">
        <w:t xml:space="preserve"> Raw Material (23.79% of total), Buy- Products (13.59%), and Wages (12.35%) constitute the highest shares of spending, highlighting their operational importance.</w:t>
      </w:r>
    </w:p>
    <w:p w14:paraId="5441DB02" w14:textId="77777777" w:rsidR="00353A74" w:rsidRPr="00353A74" w:rsidRDefault="00353A74" w:rsidP="00353A74">
      <w:pPr>
        <w:numPr>
          <w:ilvl w:val="0"/>
          <w:numId w:val="4"/>
        </w:numPr>
      </w:pPr>
      <w:r w:rsidRPr="00353A74">
        <w:rPr>
          <w:b/>
          <w:bCs/>
        </w:rPr>
        <w:t>Variability in Spend:</w:t>
      </w:r>
      <w:r w:rsidRPr="00353A74">
        <w:t xml:space="preserve"> Raw Material and Buy- Products categories exhibited the highest variance, suggesting fluctuating procurement needs or pricing, while Wages and Marketing were more consistent.</w:t>
      </w:r>
    </w:p>
    <w:p w14:paraId="7D7BCD17" w14:textId="77777777" w:rsidR="00353A74" w:rsidRPr="00353A74" w:rsidRDefault="00353A74" w:rsidP="00353A74">
      <w:r w:rsidRPr="00353A74">
        <w:rPr>
          <w:b/>
          <w:bCs/>
        </w:rPr>
        <w:t>Geographical Spend Distribution:</w:t>
      </w:r>
    </w:p>
    <w:p w14:paraId="1177E4BE" w14:textId="77777777" w:rsidR="00353A74" w:rsidRPr="00353A74" w:rsidRDefault="00353A74" w:rsidP="00353A74">
      <w:pPr>
        <w:numPr>
          <w:ilvl w:val="0"/>
          <w:numId w:val="5"/>
        </w:numPr>
      </w:pPr>
      <w:r w:rsidRPr="00353A74">
        <w:rPr>
          <w:b/>
          <w:bCs/>
        </w:rPr>
        <w:t>Minnesota</w:t>
      </w:r>
      <w:r w:rsidRPr="00353A74">
        <w:t xml:space="preserve"> and </w:t>
      </w:r>
      <w:r w:rsidRPr="00353A74">
        <w:rPr>
          <w:b/>
          <w:bCs/>
        </w:rPr>
        <w:t>Nevada</w:t>
      </w:r>
      <w:r w:rsidRPr="00353A74">
        <w:t xml:space="preserve"> top the list for vendor locations by spend, which could reflect key operational hubs or strategic sourcing decisions. Nevada's average spend per transaction is notably higher than other locations.</w:t>
      </w:r>
    </w:p>
    <w:p w14:paraId="3F8F0A64" w14:textId="77777777" w:rsidR="00353A74" w:rsidRPr="00353A74" w:rsidRDefault="00353A74" w:rsidP="00353A74">
      <w:r w:rsidRPr="00353A74">
        <w:rPr>
          <w:b/>
          <w:bCs/>
        </w:rPr>
        <w:t>Insights and Recommendations:</w:t>
      </w:r>
    </w:p>
    <w:p w14:paraId="6D8E6F19" w14:textId="77777777" w:rsidR="00353A74" w:rsidRPr="00353A74" w:rsidRDefault="00353A74" w:rsidP="00353A74">
      <w:pPr>
        <w:numPr>
          <w:ilvl w:val="0"/>
          <w:numId w:val="6"/>
        </w:numPr>
      </w:pPr>
      <w:r w:rsidRPr="00353A74">
        <w:rPr>
          <w:b/>
          <w:bCs/>
        </w:rPr>
        <w:t>Financial Planning:</w:t>
      </w:r>
      <w:r w:rsidRPr="00353A74">
        <w:t xml:space="preserve"> The volatility observed in spending patterns, especially in key categories, underscores the need for robust financial forecasting and a flexible budgeting approach to accommodate these fluctuations.</w:t>
      </w:r>
    </w:p>
    <w:p w14:paraId="0C490AF2" w14:textId="77777777" w:rsidR="00353A74" w:rsidRPr="00353A74" w:rsidRDefault="00353A74" w:rsidP="00353A74">
      <w:pPr>
        <w:numPr>
          <w:ilvl w:val="0"/>
          <w:numId w:val="6"/>
        </w:numPr>
      </w:pPr>
      <w:r w:rsidRPr="00353A74">
        <w:rPr>
          <w:b/>
          <w:bCs/>
        </w:rPr>
        <w:t>Vendor Dependency:</w:t>
      </w:r>
      <w:r w:rsidRPr="00353A74">
        <w:t xml:space="preserve"> The company’s reliance on certain vendors, notably Screen Saver.com, should be reviewed to mitigate risks associated with vendor concentration.</w:t>
      </w:r>
    </w:p>
    <w:p w14:paraId="693598F0" w14:textId="77777777" w:rsidR="00353A74" w:rsidRPr="00353A74" w:rsidRDefault="00353A74" w:rsidP="00353A74">
      <w:pPr>
        <w:numPr>
          <w:ilvl w:val="0"/>
          <w:numId w:val="6"/>
        </w:numPr>
      </w:pPr>
      <w:r w:rsidRPr="00353A74">
        <w:rPr>
          <w:b/>
          <w:bCs/>
        </w:rPr>
        <w:lastRenderedPageBreak/>
        <w:t>Procurement Strategy:</w:t>
      </w:r>
      <w:r w:rsidRPr="00353A74">
        <w:t xml:space="preserve"> The variance in spend across categories and the geographical distribution of vendor locations call for a comprehensive review of the procurement strategy to ensure alignment with the company's objectives and market positioning.</w:t>
      </w:r>
    </w:p>
    <w:p w14:paraId="483923C7" w14:textId="77777777" w:rsidR="00353A74" w:rsidRPr="00353A74" w:rsidRDefault="00353A74" w:rsidP="00353A74">
      <w:pPr>
        <w:numPr>
          <w:ilvl w:val="0"/>
          <w:numId w:val="6"/>
        </w:numPr>
      </w:pPr>
      <w:r w:rsidRPr="00353A74">
        <w:rPr>
          <w:b/>
          <w:bCs/>
        </w:rPr>
        <w:t>Strategic Initiatives:</w:t>
      </w:r>
      <w:r w:rsidRPr="00353A74">
        <w:t xml:space="preserve"> Investigate the root causes of the spend spikes in April 2019 and May 2020 to determine if these were driven by strategic initiatives or one-time events.</w:t>
      </w:r>
    </w:p>
    <w:p w14:paraId="531E550B" w14:textId="77777777" w:rsidR="00353A74" w:rsidRPr="00353A74" w:rsidRDefault="00353A74" w:rsidP="00353A74">
      <w:r w:rsidRPr="00353A74">
        <w:rPr>
          <w:b/>
          <w:bCs/>
        </w:rPr>
        <w:t>Conclusion:</w:t>
      </w:r>
    </w:p>
    <w:p w14:paraId="4DB17956" w14:textId="77777777" w:rsidR="00353A74" w:rsidRPr="00353A74" w:rsidRDefault="00353A74" w:rsidP="00353A74">
      <w:r w:rsidRPr="00353A74">
        <w:t>The spend analytics indicate a dynamic and complex financial landscape with a need for strategic management of resources. The insights gleaned from the data highlight areas for operational improvement and risk mitigation. Ongoing analysis will be crucial for sustained fiscal health and the ability to adapt to market and internal business changes.</w:t>
      </w:r>
    </w:p>
    <w:p w14:paraId="32929412" w14:textId="77777777" w:rsidR="00000000" w:rsidRDefault="00000000"/>
    <w:sectPr w:rsidR="0067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137B"/>
    <w:multiLevelType w:val="multilevel"/>
    <w:tmpl w:val="140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95934"/>
    <w:multiLevelType w:val="multilevel"/>
    <w:tmpl w:val="B05E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4F4529"/>
    <w:multiLevelType w:val="multilevel"/>
    <w:tmpl w:val="F0E0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8916B8"/>
    <w:multiLevelType w:val="multilevel"/>
    <w:tmpl w:val="B09E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F12B8"/>
    <w:multiLevelType w:val="multilevel"/>
    <w:tmpl w:val="98B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987352"/>
    <w:multiLevelType w:val="multilevel"/>
    <w:tmpl w:val="BD56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042829">
    <w:abstractNumId w:val="5"/>
  </w:num>
  <w:num w:numId="2" w16cid:durableId="1816530594">
    <w:abstractNumId w:val="0"/>
  </w:num>
  <w:num w:numId="3" w16cid:durableId="1660649062">
    <w:abstractNumId w:val="1"/>
  </w:num>
  <w:num w:numId="4" w16cid:durableId="1481071720">
    <w:abstractNumId w:val="4"/>
  </w:num>
  <w:num w:numId="5" w16cid:durableId="2138788827">
    <w:abstractNumId w:val="2"/>
  </w:num>
  <w:num w:numId="6" w16cid:durableId="17080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A1"/>
    <w:rsid w:val="00353A74"/>
    <w:rsid w:val="003648FE"/>
    <w:rsid w:val="00367E56"/>
    <w:rsid w:val="004616A1"/>
    <w:rsid w:val="007674FD"/>
    <w:rsid w:val="00960DDB"/>
    <w:rsid w:val="00EC3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1701"/>
  <w15:chartTrackingRefBased/>
  <w15:docId w15:val="{0144FF23-71F1-4B27-8F9D-655FD101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02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More</dc:creator>
  <cp:keywords/>
  <dc:description/>
  <cp:lastModifiedBy>Shubham More</cp:lastModifiedBy>
  <cp:revision>3</cp:revision>
  <dcterms:created xsi:type="dcterms:W3CDTF">2024-04-27T01:51:00Z</dcterms:created>
  <dcterms:modified xsi:type="dcterms:W3CDTF">2024-04-27T02:03:00Z</dcterms:modified>
</cp:coreProperties>
</file>