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000000"/>
              <w:top w:sz="11.199999999999989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14" w:val="left"/>
              </w:tabs>
              <w:autoSpaceDE w:val="0"/>
              <w:widowControl/>
              <w:spacing w:line="240" w:lineRule="auto" w:before="212" w:after="0"/>
              <w:ind w:left="2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14170" cy="6921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692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Name: J. Sumanth Royal. </w:t>
            </w:r>
          </w:p>
          <w:p>
            <w:pPr>
              <w:autoSpaceDN w:val="0"/>
              <w:autoSpaceDE w:val="0"/>
              <w:widowControl/>
              <w:spacing w:line="306" w:lineRule="exact" w:before="230" w:after="0"/>
              <w:ind w:left="2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PROFESSIONAL SUMMARY: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6" w:lineRule="exact" w:before="188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Have total 5.7 years of experience in Information Technology with 3.10 years of experience on Workday platform </w:t>
            </w:r>
          </w:p>
          <w:p>
            <w:pPr>
              <w:autoSpaceDN w:val="0"/>
              <w:autoSpaceDE w:val="0"/>
              <w:widowControl/>
              <w:spacing w:line="294" w:lineRule="exact" w:before="86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extensive familiarity with Workday integrations.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4" w:lineRule="exact" w:before="76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Extensively worked on Workday data conversion and Workday integrations.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4" w:lineRule="exact" w:before="76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Technically proficient in customizations, enhancements and Reports using various tools like Report writer, EIB, </w:t>
            </w:r>
          </w:p>
          <w:p>
            <w:pPr>
              <w:autoSpaceDN w:val="0"/>
              <w:autoSpaceDE w:val="0"/>
              <w:widowControl/>
              <w:spacing w:line="294" w:lineRule="exact" w:before="88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Core Connector, DT and Workday Studio.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6" w:lineRule="exact" w:before="72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Good understanding of Integrations including Web Services, Workday Architecture, Business Process </w:t>
            </w:r>
          </w:p>
          <w:p>
            <w:pPr>
              <w:autoSpaceDN w:val="0"/>
              <w:autoSpaceDE w:val="0"/>
              <w:widowControl/>
              <w:spacing w:line="296" w:lineRule="exact" w:before="86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Framework.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6" w:lineRule="exact" w:before="72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Having good experience and knowledge in Inbound &amp; Outbound Integrations through EIB.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6" w:lineRule="exact" w:before="74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Experienced in developing Custom Reports using Advanced Reports, Matrix, Trending and Composite.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4" w:lineRule="exact" w:before="76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Good working knowledge in technologies XML, XSLT, SOAP, Web services.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4" w:lineRule="exact" w:before="80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Involved in transformation of XML into XSLT for presenting data for different web Services.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4" w:lineRule="exact" w:before="80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Prioritizing, reproducing and verifying bug fixes in different Workday integrations, Reports.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4" w:lineRule="exact" w:before="76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 experience in configuring Business Processes, Security and Developing Reports.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4" w:lineRule="exact" w:before="78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creating Complex Calculated Fields using Single Instance, lookup related Value, Lookup As of date </w:t>
            </w:r>
          </w:p>
          <w:p>
            <w:pPr>
              <w:autoSpaceDN w:val="0"/>
              <w:autoSpaceDE w:val="0"/>
              <w:widowControl/>
              <w:spacing w:line="294" w:lineRule="exact" w:before="88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fields in Custom reports in Workday HCM.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4" w:lineRule="exact" w:before="76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Performed validation testing and end to end testing and also involved in integration testing.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4" w:lineRule="exact" w:before="78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Excellent interpersonal and communication skills with the ability to work in a team and a stand-alone </w:t>
            </w:r>
          </w:p>
          <w:p>
            <w:pPr>
              <w:autoSpaceDN w:val="0"/>
              <w:autoSpaceDE w:val="0"/>
              <w:widowControl/>
              <w:spacing w:line="296" w:lineRule="exact" w:before="84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environment. </w:t>
            </w:r>
          </w:p>
          <w:p>
            <w:pPr>
              <w:autoSpaceDN w:val="0"/>
              <w:autoSpaceDE w:val="0"/>
              <w:widowControl/>
              <w:spacing w:line="306" w:lineRule="exact" w:before="84" w:after="0"/>
              <w:ind w:left="2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EDUCATION: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4" w:lineRule="exact" w:before="318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B. Tech (ECE) from NBKRIST, Nellore, 2014. </w:t>
            </w:r>
          </w:p>
          <w:p>
            <w:pPr>
              <w:autoSpaceDN w:val="0"/>
              <w:autoSpaceDE w:val="0"/>
              <w:widowControl/>
              <w:spacing w:line="306" w:lineRule="exact" w:before="466" w:after="352"/>
              <w:ind w:left="2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TECHNICAL SKILLS: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2.0" w:type="dxa"/>
            </w:tblPr>
            <w:tblGrid>
              <w:gridCol w:w="5627"/>
              <w:gridCol w:w="5627"/>
            </w:tblGrid>
            <w:tr>
              <w:trPr>
                <w:trHeight w:hRule="exact" w:val="550"/>
              </w:trPr>
              <w:tc>
                <w:tcPr>
                  <w:tcW w:type="dxa" w:w="1966"/>
                  <w:tcBorders>
                    <w:start w:sz="3.2000000000000455" w:val="single" w:color="#000000"/>
                    <w:top w:sz="4.0" w:val="single" w:color="#000000"/>
                    <w:end w:sz="3.200000000000045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ERP </w:t>
                  </w:r>
                </w:p>
              </w:tc>
              <w:tc>
                <w:tcPr>
                  <w:tcW w:type="dxa" w:w="8518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4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Report writer, Calculated fields, EIB and Workday Studio, Core connector, Web services,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Document Transformation. </w:t>
                  </w:r>
                </w:p>
              </w:tc>
            </w:tr>
            <w:tr>
              <w:trPr>
                <w:trHeight w:hRule="exact" w:val="402"/>
              </w:trPr>
              <w:tc>
                <w:tcPr>
                  <w:tcW w:type="dxa" w:w="1966"/>
                  <w:tcBorders>
                    <w:start w:sz="3.2000000000000455" w:val="single" w:color="#000000"/>
                    <w:top w:sz="4.0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Languages </w:t>
                  </w:r>
                </w:p>
              </w:tc>
              <w:tc>
                <w:tcPr>
                  <w:tcW w:type="dxa" w:w="8518"/>
                  <w:tcBorders>
                    <w:start w:sz="3.2000000000000455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Xml, XSLT, X-Path. </w:t>
                  </w:r>
                </w:p>
              </w:tc>
            </w:tr>
            <w:tr>
              <w:trPr>
                <w:trHeight w:hRule="exact" w:val="420"/>
              </w:trPr>
              <w:tc>
                <w:tcPr>
                  <w:tcW w:type="dxa" w:w="1966"/>
                  <w:tcBorders>
                    <w:start w:sz="3.2000000000000455" w:val="single" w:color="#000000"/>
                    <w:top w:sz="3.199999999999818" w:val="single" w:color="#000000"/>
                    <w:end w:sz="3.2000000000000455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Operating systems </w:t>
                  </w:r>
                </w:p>
              </w:tc>
              <w:tc>
                <w:tcPr>
                  <w:tcW w:type="dxa" w:w="8518"/>
                  <w:tcBorders>
                    <w:start w:sz="3.2000000000000455" w:val="single" w:color="#000000"/>
                    <w:top w:sz="3.199999999999818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Windows XP, 7, 8, 10.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228" w:after="0"/>
              <w:ind w:left="2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WORK EXPERIENCE: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6" w:lineRule="exact" w:before="314" w:after="0"/>
              <w:ind w:left="57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Working as Workday Technical Consultant in FX ABS Software Solutions Pvt. Ltd from November 2015 to till </w:t>
            </w:r>
          </w:p>
          <w:p>
            <w:pPr>
              <w:autoSpaceDN w:val="0"/>
              <w:autoSpaceDE w:val="0"/>
              <w:widowControl/>
              <w:spacing w:line="294" w:lineRule="exact" w:before="86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date. </w:t>
            </w:r>
          </w:p>
          <w:p>
            <w:pPr>
              <w:autoSpaceDN w:val="0"/>
              <w:autoSpaceDE w:val="0"/>
              <w:widowControl/>
              <w:spacing w:line="306" w:lineRule="exact" w:before="88" w:after="0"/>
              <w:ind w:left="2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PROJECT DETAILS: 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 w:space="720" w:num="1" w:equalWidth="0"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000000"/>
              <w:top w:sz="11.199999999999989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346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52" w:after="0"/>
                    <w:ind w:left="4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Client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52" w:after="0"/>
                    <w:ind w:left="0" w:right="28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</w:p>
              </w:tc>
              <w:tc>
                <w:tcPr>
                  <w:tcW w:type="dxa" w:w="5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52" w:after="0"/>
                    <w:ind w:left="3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First Solar Inc. 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4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Role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0" w:right="28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</w:p>
              </w:tc>
              <w:tc>
                <w:tcPr>
                  <w:tcW w:type="dxa" w:w="5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3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Workday Technical Consultant 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1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14" w:after="0"/>
                    <w:ind w:left="4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Duration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14" w:after="0"/>
                    <w:ind w:left="0" w:right="28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</w:p>
              </w:tc>
              <w:tc>
                <w:tcPr>
                  <w:tcW w:type="dxa" w:w="5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6" w:lineRule="exact" w:before="14" w:after="0"/>
                    <w:ind w:left="3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Oct 2019to till date.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78" w:lineRule="exact" w:before="258" w:after="0"/>
              <w:ind w:left="21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Description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:- First Solar, Inc. is an American manufacturer of Solar Panels, and a provider of utility-scale PV power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plants and supporting services that include finance, construction, maintenance and end-of-life panel recycling. 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2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Responsibilities: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4" w:lineRule="exact" w:before="72" w:after="0"/>
              <w:ind w:left="572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Involved in creating the inbound integration using Workday studio and Workday out SOAP, router component to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load the currency rates into workday system.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7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Coordinate with users in UAT phase.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0" w:lineRule="exact" w:before="4" w:after="0"/>
              <w:ind w:left="572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Created the new outbound integrations to sending the time off corrections information from workday to ADP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payroll system.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7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Modified the XSLT code As per CR-request and adding the new XSLT code for Different info types.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2" w:lineRule="exact" w:before="2" w:after="0"/>
              <w:ind w:left="572" w:right="72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Create the new workday studio programs to sending AI-Statement to worker documents using BIRT layout.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Creating the custom reports as per the client requirement and preparing the UTP documents.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0" w:lineRule="exact" w:before="6" w:after="0"/>
              <w:ind w:left="572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Created Workday Studio inbound studio programs to load compensation information from ADP to workday.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Hands-on experience In Migrating the Xslt Code, Reports from Lower tenet to Sandbox and Production using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Object Transporter.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0" w:lineRule="exact" w:before="6" w:after="0"/>
              <w:ind w:left="572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Created EIB Inbound integrations for loading the employees personal Information like, Emergency contacts,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Compensation, One time payments, Bank account information, cost center information.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7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Hands-on experience in creating the calculated fields using different functions for complete logics.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7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Supporting the Different teams in UAT phase as well as with test factory teams during integration testing phase.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306" w:lineRule="exact" w:before="0" w:after="0"/>
              <w:ind w:left="2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PROJECT DETAILS: 2 </w:t>
            </w:r>
          </w:p>
          <w:p>
            <w:pPr>
              <w:autoSpaceDN w:val="0"/>
              <w:tabs>
                <w:tab w:pos="932" w:val="left"/>
                <w:tab w:pos="3092" w:val="left"/>
                <w:tab w:pos="3814" w:val="left"/>
              </w:tabs>
              <w:autoSpaceDE w:val="0"/>
              <w:widowControl/>
              <w:spacing w:line="268" w:lineRule="exact" w:before="98" w:after="0"/>
              <w:ind w:left="212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Client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Catalent Pharma Solutions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Role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Workday Integration Consultant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August 2017 to Oct 2019.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Duration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382E2C"/>
                <w:sz w:val="22"/>
              </w:rPr>
              <w:t xml:space="preserve">Catalent is the leading global provider of advanced delivery technologies, development, and manufacturing solutions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382E2C"/>
                <w:sz w:val="22"/>
              </w:rPr>
              <w:t xml:space="preserve">drugs, biologics, cell and gene therapies, and consumer health products. With over 85 years serving the industry, Catalent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382E2C"/>
                <w:sz w:val="22"/>
              </w:rPr>
              <w:t xml:space="preserve">has the proven expertise, superior technologies and flexible solutions at the right scale to help ensure successful product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382E2C"/>
                <w:sz w:val="22"/>
              </w:rPr>
              <w:t>development, launch, tech transfer and reliable global supply.</w:t>
            </w:r>
          </w:p>
          <w:p>
            <w:pPr>
              <w:autoSpaceDN w:val="0"/>
              <w:autoSpaceDE w:val="0"/>
              <w:widowControl/>
              <w:spacing w:line="306" w:lineRule="exact" w:before="0" w:after="0"/>
              <w:ind w:left="2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Responsibilities: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0" w:lineRule="exact" w:before="76" w:after="0"/>
              <w:ind w:left="572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Created Custom reports like Simple, Advanced Reports as per the client requirements and shared with the security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groups.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57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Calculated Fields to create Report level and Global Calculated Fields.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2" w:lineRule="exact" w:before="4" w:after="0"/>
              <w:ind w:left="572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Good experience with Core Connector worker to work on employee demographics and build Benefit integrations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Account provisioning integrations.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2" w:lineRule="exact" w:before="0" w:after="0"/>
              <w:ind w:left="572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Created complex Inbound/Outbound integrations using workday studio, core/cloud connectors, using EIB’s,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document transformation process.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7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Participate in integration testing and peer testing.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94" w:lineRule="exact" w:before="0" w:after="0"/>
              <w:ind w:left="572" w:right="144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Developed Core connector and Document Transformation integrations to get changes file of CSV format from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XML Output.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7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Used sequence generators, generating templates and validating inbound integration system results.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7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Alert notifications creation and schedule reports as per user’s request.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72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Day to day support for Workday HCM, Integrations and Reporting issues. </w:t>
            </w:r>
          </w:p>
          <w:p>
            <w:pPr>
              <w:autoSpaceDN w:val="0"/>
              <w:autoSpaceDE w:val="0"/>
              <w:widowControl/>
              <w:spacing w:line="304" w:lineRule="exact" w:before="292" w:after="214"/>
              <w:ind w:left="57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PROJECT DETAILS: 3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394"/>
              </w:trPr>
              <w:tc>
                <w:tcPr>
                  <w:tcW w:type="dxa" w:w="1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60" w:after="0"/>
                    <w:ind w:left="0" w:right="76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Client 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60" w:after="0"/>
                    <w:ind w:left="0" w:right="28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</w:p>
              </w:tc>
              <w:tc>
                <w:tcPr>
                  <w:tcW w:type="dxa" w:w="4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60" w:after="0"/>
                    <w:ind w:left="3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General Electric.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 w:space="720" w:num="1" w:equalWidth="0">
            <w:col w:w="11302" w:space="0"/>
            <w:col w:w="11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000000"/>
              <w:top w:sz="11.199999999999989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2.00000000000003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346"/>
              </w:trPr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52" w:after="0"/>
                    <w:ind w:left="0" w:right="14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Designation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52" w:after="0"/>
                    <w:ind w:left="0" w:right="28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</w:p>
              </w:tc>
              <w:tc>
                <w:tcPr>
                  <w:tcW w:type="dxa" w:w="7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52" w:after="0"/>
                    <w:ind w:left="3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Oracle DBA. 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4" w:after="0"/>
                    <w:ind w:left="0" w:right="42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Duration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4" w:after="0"/>
                    <w:ind w:left="0" w:right="28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: </w:t>
                  </w:r>
                </w:p>
              </w:tc>
              <w:tc>
                <w:tcPr>
                  <w:tcW w:type="dxa" w:w="7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4" w:after="0"/>
                    <w:ind w:left="3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Nov 2015 to Aug 2017. </w:t>
                  </w:r>
                </w:p>
              </w:tc>
            </w:tr>
            <w:tr>
              <w:trPr>
                <w:trHeight w:hRule="exact" w:val="440"/>
              </w:trPr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134" w:after="0"/>
                    <w:ind w:left="12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Responsibilities: </w:t>
                  </w:r>
                </w:p>
              </w:tc>
              <w:tc>
                <w:tcPr>
                  <w:tcW w:type="dxa" w:w="89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146" w:after="0"/>
                    <w:ind w:left="1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Worked as an Oracle DBA. </w:t>
                  </w:r>
                </w:p>
              </w:tc>
            </w:tr>
            <w:tr>
              <w:trPr>
                <w:trHeight w:hRule="exact" w:val="3228"/>
              </w:trPr>
              <w:tc>
                <w:tcPr>
                  <w:tcW w:type="dxa" w:w="1106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 xml:space="preserve">Description: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General Electric Company is an American multinational conglomerate incorporated in New York City and 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head quartered in Boston. As of 2018, the company operates through the following segments: aviation, healthcare, power,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renewable energy, digital industry, additive manufacturing and venture capital and finance. Installing Oracle software.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480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Creating Oracle databases.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480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Performing upgrades of the database and software to new release levels.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480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Starting up and shutting down the database.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480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Managing the database's storage structures.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480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Managing users and security.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480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Managing schema objects, such as tables, indexes, and views.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480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Making database backups and performing recovery when necessary. </w:t>
                  </w:r>
                </w:p>
                <w:p>
                  <w:pPr>
                    <w:autoSpaceDN w:val="0"/>
                    <w:autoSpaceDE w:val="0"/>
                    <w:widowControl/>
                    <w:spacing w:line="256" w:lineRule="exact" w:before="38" w:after="0"/>
                    <w:ind w:left="480" w:right="144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Proactively monitoring the database's health and taking preventive or corrective action as required. 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➢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Monitoring and tuning performance.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40" w:right="458" w:bottom="240" w:left="480" w:header="720" w:footer="720" w:gutter="0"/>
      <w:cols w:space="720" w:num="1" w:equalWidth="0">
        <w:col w:w="11302" w:space="0"/>
        <w:col w:w="11302" w:space="0"/>
        <w:col w:w="113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