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BFF6CC" w14:textId="77777777" w:rsidR="003504AB" w:rsidRPr="003504AB" w:rsidRDefault="003504AB" w:rsidP="003504AB">
      <w:pPr>
        <w:rPr>
          <w:b/>
          <w:bCs/>
        </w:rPr>
      </w:pPr>
      <w:r w:rsidRPr="003504AB">
        <w:rPr>
          <w:b/>
          <w:bCs/>
        </w:rPr>
        <w:t>Report on Trading Strategy Using Technical Analysis for ETH/USDT</w:t>
      </w:r>
    </w:p>
    <w:p w14:paraId="016B99D9" w14:textId="77777777" w:rsidR="003504AB" w:rsidRPr="003504AB" w:rsidRDefault="003504AB" w:rsidP="003504AB">
      <w:pPr>
        <w:rPr>
          <w:b/>
          <w:bCs/>
        </w:rPr>
      </w:pPr>
      <w:r w:rsidRPr="003504AB">
        <w:rPr>
          <w:b/>
          <w:bCs/>
        </w:rPr>
        <w:t>Overview</w:t>
      </w:r>
    </w:p>
    <w:p w14:paraId="17F9D3FB" w14:textId="77777777" w:rsidR="003504AB" w:rsidRPr="003504AB" w:rsidRDefault="003504AB" w:rsidP="003504AB">
      <w:r w:rsidRPr="003504AB">
        <w:t xml:space="preserve">This report summarizes the trading strategy implemented on the ETH/USDT cryptocurrency pair using technical analysis, risk management, and </w:t>
      </w:r>
      <w:proofErr w:type="spellStart"/>
      <w:r w:rsidRPr="003504AB">
        <w:t>backtesting</w:t>
      </w:r>
      <w:proofErr w:type="spellEnd"/>
      <w:r w:rsidRPr="003504AB">
        <w:t xml:space="preserve"> techniques. The strategy uses a machine learning-driven approach with technical indicators such as Simple Moving Averages (SMA), Relative Strength Index (RSI), and Moving Average Convergence Divergence (MACD) to generate buy and sell signals. It further integrates risk management techniques, including position sizing and stop-loss mechanisms, and evaluates the portfolio's performance through key metrics like the Sharpe ratio, Sortino ratio, maximum drawdown, annualized return, and cumulative return.</w:t>
      </w:r>
    </w:p>
    <w:p w14:paraId="6645F5DC" w14:textId="77777777" w:rsidR="003504AB" w:rsidRPr="003504AB" w:rsidRDefault="003504AB" w:rsidP="003504AB">
      <w:pPr>
        <w:rPr>
          <w:b/>
          <w:bCs/>
        </w:rPr>
      </w:pPr>
      <w:r w:rsidRPr="003504AB">
        <w:rPr>
          <w:b/>
          <w:bCs/>
        </w:rPr>
        <w:t>Feature Engineering</w:t>
      </w:r>
    </w:p>
    <w:p w14:paraId="24F5EEAC" w14:textId="77777777" w:rsidR="003504AB" w:rsidRPr="003504AB" w:rsidRDefault="003504AB" w:rsidP="003504AB">
      <w:r w:rsidRPr="003504AB">
        <w:t>The primary technical indicators used to predict price movements include:</w:t>
      </w:r>
    </w:p>
    <w:p w14:paraId="09D2144E" w14:textId="77777777" w:rsidR="003504AB" w:rsidRPr="003504AB" w:rsidRDefault="003504AB" w:rsidP="003504AB">
      <w:pPr>
        <w:numPr>
          <w:ilvl w:val="0"/>
          <w:numId w:val="1"/>
        </w:numPr>
      </w:pPr>
      <w:r w:rsidRPr="003504AB">
        <w:rPr>
          <w:b/>
          <w:bCs/>
        </w:rPr>
        <w:t>SMA (Simple Moving Average)</w:t>
      </w:r>
      <w:r w:rsidRPr="003504AB">
        <w:t>: Both 10-period and 30-period SMAs were calculated to capture short-term and long-term price trends.</w:t>
      </w:r>
    </w:p>
    <w:p w14:paraId="5B61A351" w14:textId="77777777" w:rsidR="003504AB" w:rsidRPr="003504AB" w:rsidRDefault="003504AB" w:rsidP="003504AB">
      <w:pPr>
        <w:numPr>
          <w:ilvl w:val="0"/>
          <w:numId w:val="1"/>
        </w:numPr>
      </w:pPr>
      <w:r w:rsidRPr="003504AB">
        <w:rPr>
          <w:b/>
          <w:bCs/>
        </w:rPr>
        <w:t>RSI (Relative Strength Index)</w:t>
      </w:r>
      <w:r w:rsidRPr="003504AB">
        <w:t>: The 14-period RSI helps identify oversold (RSI &lt; 30) and overbought (RSI &gt; 70) market conditions.</w:t>
      </w:r>
    </w:p>
    <w:p w14:paraId="4BC32FFE" w14:textId="77777777" w:rsidR="003504AB" w:rsidRPr="003504AB" w:rsidRDefault="003504AB" w:rsidP="003504AB">
      <w:pPr>
        <w:numPr>
          <w:ilvl w:val="0"/>
          <w:numId w:val="1"/>
        </w:numPr>
      </w:pPr>
      <w:r w:rsidRPr="003504AB">
        <w:rPr>
          <w:b/>
          <w:bCs/>
        </w:rPr>
        <w:t>MACD (Moving Average Convergence Divergence)</w:t>
      </w:r>
      <w:r w:rsidRPr="003504AB">
        <w:t xml:space="preserve">: The MACD difference, which highlights the momentum, is used to refine trend-following </w:t>
      </w:r>
      <w:proofErr w:type="spellStart"/>
      <w:r w:rsidRPr="003504AB">
        <w:t>behavior</w:t>
      </w:r>
      <w:proofErr w:type="spellEnd"/>
      <w:r w:rsidRPr="003504AB">
        <w:t>.</w:t>
      </w:r>
    </w:p>
    <w:p w14:paraId="1A150DC0" w14:textId="77777777" w:rsidR="003504AB" w:rsidRPr="003504AB" w:rsidRDefault="003504AB" w:rsidP="003504AB">
      <w:pPr>
        <w:numPr>
          <w:ilvl w:val="0"/>
          <w:numId w:val="1"/>
        </w:numPr>
      </w:pPr>
      <w:r w:rsidRPr="003504AB">
        <w:rPr>
          <w:b/>
          <w:bCs/>
        </w:rPr>
        <w:t>Momentum and Spreads</w:t>
      </w:r>
      <w:r w:rsidRPr="003504AB">
        <w:t>: Calculated price spread between high and low, open and close, and daily momentum to enhance the model's predictive power.</w:t>
      </w:r>
    </w:p>
    <w:p w14:paraId="34BD367F" w14:textId="77777777" w:rsidR="003504AB" w:rsidRPr="003504AB" w:rsidRDefault="003504AB" w:rsidP="003504AB">
      <w:pPr>
        <w:rPr>
          <w:b/>
          <w:bCs/>
        </w:rPr>
      </w:pPr>
      <w:r w:rsidRPr="003504AB">
        <w:rPr>
          <w:b/>
          <w:bCs/>
        </w:rPr>
        <w:t>Signal Generation</w:t>
      </w:r>
    </w:p>
    <w:p w14:paraId="59E0855F" w14:textId="77777777" w:rsidR="003504AB" w:rsidRPr="003504AB" w:rsidRDefault="003504AB" w:rsidP="003504AB">
      <w:r w:rsidRPr="003504AB">
        <w:t>The trading signals were generated based on the crossovers of SMAs and RSI:</w:t>
      </w:r>
    </w:p>
    <w:p w14:paraId="1569622F" w14:textId="77777777" w:rsidR="003504AB" w:rsidRPr="003504AB" w:rsidRDefault="003504AB" w:rsidP="003504AB">
      <w:pPr>
        <w:numPr>
          <w:ilvl w:val="0"/>
          <w:numId w:val="2"/>
        </w:numPr>
      </w:pPr>
      <w:r w:rsidRPr="003504AB">
        <w:rPr>
          <w:b/>
          <w:bCs/>
        </w:rPr>
        <w:t>Buy Signal</w:t>
      </w:r>
      <w:r w:rsidRPr="003504AB">
        <w:t>: Triggered when the short-term 10-period SMA crosses above the long-term 30-period SMA, coupled with an oversold RSI (RSI &lt; 30).</w:t>
      </w:r>
    </w:p>
    <w:p w14:paraId="06E8624B" w14:textId="77777777" w:rsidR="003504AB" w:rsidRPr="003504AB" w:rsidRDefault="003504AB" w:rsidP="003504AB">
      <w:pPr>
        <w:numPr>
          <w:ilvl w:val="0"/>
          <w:numId w:val="2"/>
        </w:numPr>
      </w:pPr>
      <w:r w:rsidRPr="003504AB">
        <w:rPr>
          <w:b/>
          <w:bCs/>
        </w:rPr>
        <w:t>Sell Signal</w:t>
      </w:r>
      <w:r w:rsidRPr="003504AB">
        <w:t>: Triggered when the 10-period SMA crosses below the 30-period SMA, coupled with an overbought RSI (RSI &gt; 70).</w:t>
      </w:r>
    </w:p>
    <w:p w14:paraId="1C0F9A16" w14:textId="77777777" w:rsidR="003504AB" w:rsidRPr="003504AB" w:rsidRDefault="003504AB" w:rsidP="003504AB">
      <w:r w:rsidRPr="003504AB">
        <w:t>This simple rule-based strategy attempts to capture upswings when the market is showing signs of upward momentum (bullish crossover) and exit positions when bearish signals (downward crossover) are detected.</w:t>
      </w:r>
    </w:p>
    <w:p w14:paraId="1D96F25F" w14:textId="77777777" w:rsidR="003504AB" w:rsidRPr="003504AB" w:rsidRDefault="003504AB" w:rsidP="003504AB">
      <w:pPr>
        <w:rPr>
          <w:b/>
          <w:bCs/>
        </w:rPr>
      </w:pPr>
      <w:r w:rsidRPr="003504AB">
        <w:rPr>
          <w:b/>
          <w:bCs/>
        </w:rPr>
        <w:t>Risk Management and Position Sizing</w:t>
      </w:r>
    </w:p>
    <w:p w14:paraId="42DCD8B7" w14:textId="77777777" w:rsidR="003504AB" w:rsidRPr="003504AB" w:rsidRDefault="003504AB" w:rsidP="003504AB">
      <w:r w:rsidRPr="003504AB">
        <w:t>A fixed percentage of risk per trade (1%) was applied using a stop-loss mechanism:</w:t>
      </w:r>
    </w:p>
    <w:p w14:paraId="2D72B2C8" w14:textId="77777777" w:rsidR="003504AB" w:rsidRPr="003504AB" w:rsidRDefault="003504AB" w:rsidP="003504AB">
      <w:pPr>
        <w:numPr>
          <w:ilvl w:val="0"/>
          <w:numId w:val="3"/>
        </w:numPr>
      </w:pPr>
      <w:r w:rsidRPr="003504AB">
        <w:rPr>
          <w:b/>
          <w:bCs/>
        </w:rPr>
        <w:t>Stop Loss</w:t>
      </w:r>
      <w:r w:rsidRPr="003504AB">
        <w:t>: Set at 2% below the entry price to mitigate excessive loss.</w:t>
      </w:r>
    </w:p>
    <w:p w14:paraId="24417561" w14:textId="77777777" w:rsidR="003504AB" w:rsidRPr="003504AB" w:rsidRDefault="003504AB" w:rsidP="003504AB">
      <w:pPr>
        <w:numPr>
          <w:ilvl w:val="0"/>
          <w:numId w:val="3"/>
        </w:numPr>
      </w:pPr>
      <w:r w:rsidRPr="003504AB">
        <w:rPr>
          <w:b/>
          <w:bCs/>
        </w:rPr>
        <w:t>Position Sizing</w:t>
      </w:r>
      <w:r w:rsidRPr="003504AB">
        <w:t>: The position size was dynamically adjusted based on the risk per trade and portfolio value, ensuring trades are proportional to risk levels. The risk per trade was determined by the difference between the stop loss and entry price.</w:t>
      </w:r>
    </w:p>
    <w:p w14:paraId="7E40D217" w14:textId="77777777" w:rsidR="003504AB" w:rsidRPr="003504AB" w:rsidRDefault="003504AB" w:rsidP="003504AB">
      <w:pPr>
        <w:rPr>
          <w:b/>
          <w:bCs/>
        </w:rPr>
      </w:pPr>
      <w:proofErr w:type="spellStart"/>
      <w:r w:rsidRPr="003504AB">
        <w:rPr>
          <w:b/>
          <w:bCs/>
        </w:rPr>
        <w:t>Backtest</w:t>
      </w:r>
      <w:proofErr w:type="spellEnd"/>
      <w:r w:rsidRPr="003504AB">
        <w:rPr>
          <w:b/>
          <w:bCs/>
        </w:rPr>
        <w:t xml:space="preserve"> Performance Metrics</w:t>
      </w:r>
    </w:p>
    <w:p w14:paraId="17C8C3FA" w14:textId="77777777" w:rsidR="003504AB" w:rsidRPr="003504AB" w:rsidRDefault="003504AB" w:rsidP="003504AB">
      <w:pPr>
        <w:numPr>
          <w:ilvl w:val="0"/>
          <w:numId w:val="4"/>
        </w:numPr>
      </w:pPr>
      <w:r w:rsidRPr="003504AB">
        <w:rPr>
          <w:b/>
          <w:bCs/>
        </w:rPr>
        <w:t>Sharpe Ratio</w:t>
      </w:r>
      <w:r w:rsidRPr="003504AB">
        <w:t xml:space="preserve">: </w:t>
      </w:r>
      <w:r w:rsidRPr="003504AB">
        <w:rPr>
          <w:b/>
          <w:bCs/>
        </w:rPr>
        <w:t>0.0550</w:t>
      </w:r>
    </w:p>
    <w:p w14:paraId="0C131EF9" w14:textId="77777777" w:rsidR="003504AB" w:rsidRPr="003504AB" w:rsidRDefault="003504AB" w:rsidP="003504AB">
      <w:pPr>
        <w:numPr>
          <w:ilvl w:val="1"/>
          <w:numId w:val="4"/>
        </w:numPr>
      </w:pPr>
      <w:r w:rsidRPr="003504AB">
        <w:lastRenderedPageBreak/>
        <w:t xml:space="preserve">The Sharpe ratio measures the strategy's risk-adjusted return. The low Sharpe ratio indicates that the returns are low compared to the volatility (risk) taken, </w:t>
      </w:r>
      <w:proofErr w:type="spellStart"/>
      <w:r w:rsidRPr="003504AB">
        <w:t>signaling</w:t>
      </w:r>
      <w:proofErr w:type="spellEnd"/>
      <w:r w:rsidRPr="003504AB">
        <w:t xml:space="preserve"> the need for strategy optimization.</w:t>
      </w:r>
    </w:p>
    <w:p w14:paraId="5497DF11" w14:textId="77777777" w:rsidR="003504AB" w:rsidRPr="003504AB" w:rsidRDefault="003504AB" w:rsidP="003504AB">
      <w:pPr>
        <w:numPr>
          <w:ilvl w:val="0"/>
          <w:numId w:val="4"/>
        </w:numPr>
      </w:pPr>
      <w:r w:rsidRPr="003504AB">
        <w:rPr>
          <w:b/>
          <w:bCs/>
        </w:rPr>
        <w:t>Sortino Ratio</w:t>
      </w:r>
      <w:r w:rsidRPr="003504AB">
        <w:t xml:space="preserve">: </w:t>
      </w:r>
      <w:r w:rsidRPr="003504AB">
        <w:rPr>
          <w:b/>
          <w:bCs/>
        </w:rPr>
        <w:t>0.0023</w:t>
      </w:r>
    </w:p>
    <w:p w14:paraId="61557A3F" w14:textId="77777777" w:rsidR="003504AB" w:rsidRPr="003504AB" w:rsidRDefault="003504AB" w:rsidP="003504AB">
      <w:pPr>
        <w:numPr>
          <w:ilvl w:val="1"/>
          <w:numId w:val="4"/>
        </w:numPr>
      </w:pPr>
      <w:r w:rsidRPr="003504AB">
        <w:t>The Sortino ratio, which only considers downside risk, is extremely low, suggesting that downside volatility significantly impacted the strategy’s performance. It indicates the risk of underperformance is too high compared to the achieved return.</w:t>
      </w:r>
    </w:p>
    <w:p w14:paraId="273FB262" w14:textId="77777777" w:rsidR="003504AB" w:rsidRPr="003504AB" w:rsidRDefault="003504AB" w:rsidP="003504AB">
      <w:pPr>
        <w:numPr>
          <w:ilvl w:val="0"/>
          <w:numId w:val="4"/>
        </w:numPr>
      </w:pPr>
      <w:r w:rsidRPr="003504AB">
        <w:rPr>
          <w:b/>
          <w:bCs/>
        </w:rPr>
        <w:t>Max Drawdown</w:t>
      </w:r>
      <w:r w:rsidRPr="003504AB">
        <w:t xml:space="preserve">: </w:t>
      </w:r>
      <w:r w:rsidRPr="003504AB">
        <w:rPr>
          <w:b/>
          <w:bCs/>
        </w:rPr>
        <w:t>-0.1282</w:t>
      </w:r>
    </w:p>
    <w:p w14:paraId="51AB17DE" w14:textId="77777777" w:rsidR="003504AB" w:rsidRPr="003504AB" w:rsidRDefault="003504AB" w:rsidP="003504AB">
      <w:pPr>
        <w:numPr>
          <w:ilvl w:val="1"/>
          <w:numId w:val="4"/>
        </w:numPr>
      </w:pPr>
      <w:r w:rsidRPr="003504AB">
        <w:t>A maximum drawdown of 12.82% implies that the strategy experienced a notable dip in portfolio value at some point. The strategy managed to recover but was exposed to a substantial risk of loss during the period.</w:t>
      </w:r>
    </w:p>
    <w:p w14:paraId="2BBF7751" w14:textId="77777777" w:rsidR="003504AB" w:rsidRPr="003504AB" w:rsidRDefault="003504AB" w:rsidP="003504AB">
      <w:pPr>
        <w:numPr>
          <w:ilvl w:val="0"/>
          <w:numId w:val="4"/>
        </w:numPr>
      </w:pPr>
      <w:r w:rsidRPr="003504AB">
        <w:rPr>
          <w:b/>
          <w:bCs/>
        </w:rPr>
        <w:t>Annualized Return</w:t>
      </w:r>
      <w:r w:rsidRPr="003504AB">
        <w:t xml:space="preserve">: </w:t>
      </w:r>
      <w:r w:rsidRPr="003504AB">
        <w:rPr>
          <w:b/>
          <w:bCs/>
        </w:rPr>
        <w:t>0.01%</w:t>
      </w:r>
    </w:p>
    <w:p w14:paraId="6B5125D5" w14:textId="77777777" w:rsidR="003504AB" w:rsidRPr="003504AB" w:rsidRDefault="003504AB" w:rsidP="003504AB">
      <w:pPr>
        <w:numPr>
          <w:ilvl w:val="1"/>
          <w:numId w:val="4"/>
        </w:numPr>
      </w:pPr>
      <w:r w:rsidRPr="003504AB">
        <w:t xml:space="preserve">The annualized return of 0.01% demonstrates that the strategy yielded minimal returns over the </w:t>
      </w:r>
      <w:proofErr w:type="spellStart"/>
      <w:r w:rsidRPr="003504AB">
        <w:t>backtest</w:t>
      </w:r>
      <w:proofErr w:type="spellEnd"/>
      <w:r w:rsidRPr="003504AB">
        <w:t xml:space="preserve"> period when extrapolated on an annual basis. While it did grow the portfolio, the returns were essentially flat over time.</w:t>
      </w:r>
    </w:p>
    <w:p w14:paraId="23253A31" w14:textId="77777777" w:rsidR="003504AB" w:rsidRPr="003504AB" w:rsidRDefault="003504AB" w:rsidP="003504AB">
      <w:pPr>
        <w:numPr>
          <w:ilvl w:val="0"/>
          <w:numId w:val="4"/>
        </w:numPr>
      </w:pPr>
      <w:r w:rsidRPr="003504AB">
        <w:rPr>
          <w:b/>
          <w:bCs/>
        </w:rPr>
        <w:t>Cumulative Return</w:t>
      </w:r>
      <w:r w:rsidRPr="003504AB">
        <w:t xml:space="preserve">: </w:t>
      </w:r>
      <w:r w:rsidRPr="003504AB">
        <w:rPr>
          <w:b/>
          <w:bCs/>
        </w:rPr>
        <w:t>204.98%</w:t>
      </w:r>
    </w:p>
    <w:p w14:paraId="66362D29" w14:textId="77777777" w:rsidR="003504AB" w:rsidRPr="003504AB" w:rsidRDefault="003504AB" w:rsidP="003504AB">
      <w:pPr>
        <w:numPr>
          <w:ilvl w:val="1"/>
          <w:numId w:val="4"/>
        </w:numPr>
      </w:pPr>
      <w:r w:rsidRPr="003504AB">
        <w:t xml:space="preserve">The cumulative return of 204.98% indicates that the portfolio grew from $10,000 to $30,498.03 over the </w:t>
      </w:r>
      <w:proofErr w:type="spellStart"/>
      <w:r w:rsidRPr="003504AB">
        <w:t>backtest</w:t>
      </w:r>
      <w:proofErr w:type="spellEnd"/>
      <w:r w:rsidRPr="003504AB">
        <w:t xml:space="preserve"> period, suggesting that, despite the low annualized return, there were periods of significant gain, possibly driven by high volatility in the cryptocurrency market.</w:t>
      </w:r>
    </w:p>
    <w:p w14:paraId="476F630C" w14:textId="77777777" w:rsidR="003504AB" w:rsidRPr="003504AB" w:rsidRDefault="003504AB" w:rsidP="003504AB">
      <w:pPr>
        <w:rPr>
          <w:b/>
          <w:bCs/>
        </w:rPr>
      </w:pPr>
      <w:r w:rsidRPr="003504AB">
        <w:rPr>
          <w:b/>
          <w:bCs/>
        </w:rPr>
        <w:t>Findings</w:t>
      </w:r>
    </w:p>
    <w:p w14:paraId="1737A571" w14:textId="77777777" w:rsidR="003504AB" w:rsidRPr="003504AB" w:rsidRDefault="003504AB" w:rsidP="003504AB">
      <w:pPr>
        <w:numPr>
          <w:ilvl w:val="0"/>
          <w:numId w:val="5"/>
        </w:numPr>
      </w:pPr>
      <w:r w:rsidRPr="003504AB">
        <w:rPr>
          <w:b/>
          <w:bCs/>
        </w:rPr>
        <w:t>Low Risk-Adjusted Return</w:t>
      </w:r>
      <w:r w:rsidRPr="003504AB">
        <w:t>: The Sharpe and Sortino ratios indicate that the strategy's returns were not sufficiently high given the risk taken. This is particularly important in cryptocurrency markets, which are known for their volatility.</w:t>
      </w:r>
    </w:p>
    <w:p w14:paraId="4CD2B0F9" w14:textId="77777777" w:rsidR="003504AB" w:rsidRPr="003504AB" w:rsidRDefault="003504AB" w:rsidP="003504AB">
      <w:pPr>
        <w:numPr>
          <w:ilvl w:val="0"/>
          <w:numId w:val="5"/>
        </w:numPr>
      </w:pPr>
      <w:r w:rsidRPr="003504AB">
        <w:rPr>
          <w:b/>
          <w:bCs/>
        </w:rPr>
        <w:t>High Cumulative Return</w:t>
      </w:r>
      <w:r w:rsidRPr="003504AB">
        <w:t>: Despite low annualized returns, the strategy’s cumulative performance over time demonstrates that it captured some profitable trends, leading to an overall growth in portfolio value.</w:t>
      </w:r>
    </w:p>
    <w:p w14:paraId="49DC20E4" w14:textId="77777777" w:rsidR="003504AB" w:rsidRPr="003504AB" w:rsidRDefault="003504AB" w:rsidP="003504AB">
      <w:pPr>
        <w:numPr>
          <w:ilvl w:val="0"/>
          <w:numId w:val="5"/>
        </w:numPr>
      </w:pPr>
      <w:r w:rsidRPr="003504AB">
        <w:rPr>
          <w:b/>
          <w:bCs/>
        </w:rPr>
        <w:t>Drawdowns</w:t>
      </w:r>
      <w:r w:rsidRPr="003504AB">
        <w:t>: Significant drawdowns are observed, highlighting the importance of refining risk management and position-sizing techniques to reduce potential losses during market downturns.</w:t>
      </w:r>
    </w:p>
    <w:p w14:paraId="1CE69BE7" w14:textId="77777777" w:rsidR="003504AB" w:rsidRPr="003504AB" w:rsidRDefault="003504AB" w:rsidP="003504AB">
      <w:pPr>
        <w:rPr>
          <w:b/>
          <w:bCs/>
        </w:rPr>
      </w:pPr>
      <w:r w:rsidRPr="003504AB">
        <w:rPr>
          <w:b/>
          <w:bCs/>
        </w:rPr>
        <w:t>Recommendations</w:t>
      </w:r>
    </w:p>
    <w:p w14:paraId="55F7B4EC" w14:textId="77777777" w:rsidR="003504AB" w:rsidRPr="003504AB" w:rsidRDefault="003504AB" w:rsidP="003504AB">
      <w:pPr>
        <w:numPr>
          <w:ilvl w:val="0"/>
          <w:numId w:val="6"/>
        </w:numPr>
      </w:pPr>
      <w:r w:rsidRPr="003504AB">
        <w:rPr>
          <w:b/>
          <w:bCs/>
        </w:rPr>
        <w:t>Improve Signal Criteria</w:t>
      </w:r>
      <w:r w:rsidRPr="003504AB">
        <w:t>: The strategy could benefit from incorporating more sophisticated signal generation methods, such as combining volume-based indicators or using machine learning classifiers to refine entry/exit points.</w:t>
      </w:r>
    </w:p>
    <w:p w14:paraId="1AE4B0EE" w14:textId="77777777" w:rsidR="003504AB" w:rsidRPr="003504AB" w:rsidRDefault="003504AB" w:rsidP="003504AB">
      <w:pPr>
        <w:numPr>
          <w:ilvl w:val="0"/>
          <w:numId w:val="6"/>
        </w:numPr>
      </w:pPr>
      <w:r w:rsidRPr="003504AB">
        <w:rPr>
          <w:b/>
          <w:bCs/>
        </w:rPr>
        <w:t>Enhance Risk Management</w:t>
      </w:r>
      <w:r w:rsidRPr="003504AB">
        <w:t>:</w:t>
      </w:r>
    </w:p>
    <w:p w14:paraId="52646337" w14:textId="77777777" w:rsidR="003504AB" w:rsidRPr="003504AB" w:rsidRDefault="003504AB" w:rsidP="003504AB">
      <w:pPr>
        <w:numPr>
          <w:ilvl w:val="1"/>
          <w:numId w:val="6"/>
        </w:numPr>
      </w:pPr>
      <w:r w:rsidRPr="003504AB">
        <w:t xml:space="preserve">Introduce a dynamic stop-loss strategy that adjusts based on volatility or trailing stop-loss to lock in profits during </w:t>
      </w:r>
      <w:proofErr w:type="spellStart"/>
      <w:r w:rsidRPr="003504AB">
        <w:t>favorable</w:t>
      </w:r>
      <w:proofErr w:type="spellEnd"/>
      <w:r w:rsidRPr="003504AB">
        <w:t xml:space="preserve"> market trends.</w:t>
      </w:r>
    </w:p>
    <w:p w14:paraId="703F1D21" w14:textId="77777777" w:rsidR="003504AB" w:rsidRPr="003504AB" w:rsidRDefault="003504AB" w:rsidP="003504AB">
      <w:pPr>
        <w:numPr>
          <w:ilvl w:val="1"/>
          <w:numId w:val="6"/>
        </w:numPr>
      </w:pPr>
      <w:r w:rsidRPr="003504AB">
        <w:lastRenderedPageBreak/>
        <w:t>Reduce risk per trade below 1% in highly volatile markets like crypto to preserve capital.</w:t>
      </w:r>
    </w:p>
    <w:p w14:paraId="404D6743" w14:textId="77777777" w:rsidR="003504AB" w:rsidRPr="003504AB" w:rsidRDefault="003504AB" w:rsidP="003504AB">
      <w:pPr>
        <w:numPr>
          <w:ilvl w:val="0"/>
          <w:numId w:val="6"/>
        </w:numPr>
      </w:pPr>
      <w:r w:rsidRPr="003504AB">
        <w:rPr>
          <w:b/>
          <w:bCs/>
        </w:rPr>
        <w:t>Portfolio Diversification</w:t>
      </w:r>
      <w:r w:rsidRPr="003504AB">
        <w:t>: Consider running the strategy across multiple cryptocurrency pairs or asset classes to smooth returns and reduce drawdown impact.</w:t>
      </w:r>
    </w:p>
    <w:p w14:paraId="747F3AF2" w14:textId="77777777" w:rsidR="003504AB" w:rsidRPr="003504AB" w:rsidRDefault="003504AB" w:rsidP="003504AB">
      <w:pPr>
        <w:numPr>
          <w:ilvl w:val="0"/>
          <w:numId w:val="6"/>
        </w:numPr>
      </w:pPr>
      <w:r w:rsidRPr="003504AB">
        <w:rPr>
          <w:b/>
          <w:bCs/>
        </w:rPr>
        <w:t>Use of Additional Metrics</w:t>
      </w:r>
      <w:r w:rsidRPr="003504AB">
        <w:t>: Along with the Sharpe and Sortino ratios, including metrics like the Calmar ratio (which adjusts returns for drawdown) or omega ratio (a generalization of the Sharpe ratio) could provide more detailed risk/return insights.</w:t>
      </w:r>
    </w:p>
    <w:p w14:paraId="50054C4D" w14:textId="77777777" w:rsidR="003504AB" w:rsidRPr="003504AB" w:rsidRDefault="003504AB" w:rsidP="003504AB">
      <w:pPr>
        <w:numPr>
          <w:ilvl w:val="0"/>
          <w:numId w:val="6"/>
        </w:numPr>
      </w:pPr>
      <w:r w:rsidRPr="003504AB">
        <w:rPr>
          <w:b/>
          <w:bCs/>
        </w:rPr>
        <w:t>Further Testing</w:t>
      </w:r>
      <w:r w:rsidRPr="003504AB">
        <w:t>: Test the strategy on different timeframes and with more extensive datasets to ensure robustness. Additionally, implement cross-validation techniques to avoid overfitting.</w:t>
      </w:r>
    </w:p>
    <w:p w14:paraId="764CFF82" w14:textId="77777777" w:rsidR="003504AB" w:rsidRPr="003504AB" w:rsidRDefault="003504AB" w:rsidP="003504AB">
      <w:pPr>
        <w:rPr>
          <w:b/>
          <w:bCs/>
        </w:rPr>
      </w:pPr>
      <w:r w:rsidRPr="003504AB">
        <w:rPr>
          <w:b/>
          <w:bCs/>
        </w:rPr>
        <w:t>Conclusion</w:t>
      </w:r>
    </w:p>
    <w:p w14:paraId="02F320C1" w14:textId="77777777" w:rsidR="003504AB" w:rsidRPr="003504AB" w:rsidRDefault="003504AB" w:rsidP="003504AB">
      <w:r w:rsidRPr="003504AB">
        <w:t>While the strategy managed to more than triple the initial portfolio value, the low risk-adjusted return metrics and high drawdown indicate that improvements are necessary to optimize for long-term success. By refining the signal logic and risk management approach, the strategy can become more resilient and better suited for volatile markets like cryptocurrency.</w:t>
      </w:r>
    </w:p>
    <w:p w14:paraId="443C4FC6" w14:textId="77777777" w:rsidR="00E12C6A" w:rsidRDefault="00E12C6A"/>
    <w:sectPr w:rsidR="00E12C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A03BB9"/>
    <w:multiLevelType w:val="multilevel"/>
    <w:tmpl w:val="B1DE2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5228AA"/>
    <w:multiLevelType w:val="multilevel"/>
    <w:tmpl w:val="63D660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2882B59"/>
    <w:multiLevelType w:val="multilevel"/>
    <w:tmpl w:val="79948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1D44F8"/>
    <w:multiLevelType w:val="multilevel"/>
    <w:tmpl w:val="2E1C38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5BD033D"/>
    <w:multiLevelType w:val="multilevel"/>
    <w:tmpl w:val="CF42C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4D790B"/>
    <w:multiLevelType w:val="multilevel"/>
    <w:tmpl w:val="BA583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0381493">
    <w:abstractNumId w:val="0"/>
  </w:num>
  <w:num w:numId="2" w16cid:durableId="1558661753">
    <w:abstractNumId w:val="5"/>
  </w:num>
  <w:num w:numId="3" w16cid:durableId="989675000">
    <w:abstractNumId w:val="4"/>
  </w:num>
  <w:num w:numId="4" w16cid:durableId="113255237">
    <w:abstractNumId w:val="1"/>
  </w:num>
  <w:num w:numId="5" w16cid:durableId="1042755692">
    <w:abstractNumId w:val="2"/>
  </w:num>
  <w:num w:numId="6" w16cid:durableId="2811138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4AB"/>
    <w:rsid w:val="003504AB"/>
    <w:rsid w:val="005D27F5"/>
    <w:rsid w:val="007E2E58"/>
    <w:rsid w:val="00E12C6A"/>
    <w:rsid w:val="00EC4EA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3FB89"/>
  <w15:chartTrackingRefBased/>
  <w15:docId w15:val="{EC7B3FA3-9954-48B2-839B-0CB413FFA9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0970059">
      <w:bodyDiv w:val="1"/>
      <w:marLeft w:val="0"/>
      <w:marRight w:val="0"/>
      <w:marTop w:val="0"/>
      <w:marBottom w:val="0"/>
      <w:divBdr>
        <w:top w:val="none" w:sz="0" w:space="0" w:color="auto"/>
        <w:left w:val="none" w:sz="0" w:space="0" w:color="auto"/>
        <w:bottom w:val="none" w:sz="0" w:space="0" w:color="auto"/>
        <w:right w:val="none" w:sz="0" w:space="0" w:color="auto"/>
      </w:divBdr>
      <w:divsChild>
        <w:div w:id="308555264">
          <w:marLeft w:val="0"/>
          <w:marRight w:val="0"/>
          <w:marTop w:val="0"/>
          <w:marBottom w:val="0"/>
          <w:divBdr>
            <w:top w:val="none" w:sz="0" w:space="0" w:color="auto"/>
            <w:left w:val="none" w:sz="0" w:space="0" w:color="auto"/>
            <w:bottom w:val="none" w:sz="0" w:space="0" w:color="auto"/>
            <w:right w:val="none" w:sz="0" w:space="0" w:color="auto"/>
          </w:divBdr>
          <w:divsChild>
            <w:div w:id="855270688">
              <w:marLeft w:val="0"/>
              <w:marRight w:val="0"/>
              <w:marTop w:val="0"/>
              <w:marBottom w:val="0"/>
              <w:divBdr>
                <w:top w:val="none" w:sz="0" w:space="0" w:color="auto"/>
                <w:left w:val="none" w:sz="0" w:space="0" w:color="auto"/>
                <w:bottom w:val="none" w:sz="0" w:space="0" w:color="auto"/>
                <w:right w:val="none" w:sz="0" w:space="0" w:color="auto"/>
              </w:divBdr>
              <w:divsChild>
                <w:div w:id="1043792510">
                  <w:marLeft w:val="0"/>
                  <w:marRight w:val="0"/>
                  <w:marTop w:val="0"/>
                  <w:marBottom w:val="0"/>
                  <w:divBdr>
                    <w:top w:val="none" w:sz="0" w:space="0" w:color="auto"/>
                    <w:left w:val="none" w:sz="0" w:space="0" w:color="auto"/>
                    <w:bottom w:val="none" w:sz="0" w:space="0" w:color="auto"/>
                    <w:right w:val="none" w:sz="0" w:space="0" w:color="auto"/>
                  </w:divBdr>
                  <w:divsChild>
                    <w:div w:id="157507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640419">
          <w:marLeft w:val="0"/>
          <w:marRight w:val="0"/>
          <w:marTop w:val="0"/>
          <w:marBottom w:val="0"/>
          <w:divBdr>
            <w:top w:val="none" w:sz="0" w:space="0" w:color="auto"/>
            <w:left w:val="none" w:sz="0" w:space="0" w:color="auto"/>
            <w:bottom w:val="none" w:sz="0" w:space="0" w:color="auto"/>
            <w:right w:val="none" w:sz="0" w:space="0" w:color="auto"/>
          </w:divBdr>
          <w:divsChild>
            <w:div w:id="899362691">
              <w:marLeft w:val="0"/>
              <w:marRight w:val="0"/>
              <w:marTop w:val="0"/>
              <w:marBottom w:val="0"/>
              <w:divBdr>
                <w:top w:val="none" w:sz="0" w:space="0" w:color="auto"/>
                <w:left w:val="none" w:sz="0" w:space="0" w:color="auto"/>
                <w:bottom w:val="none" w:sz="0" w:space="0" w:color="auto"/>
                <w:right w:val="none" w:sz="0" w:space="0" w:color="auto"/>
              </w:divBdr>
              <w:divsChild>
                <w:div w:id="1554346851">
                  <w:marLeft w:val="0"/>
                  <w:marRight w:val="0"/>
                  <w:marTop w:val="0"/>
                  <w:marBottom w:val="0"/>
                  <w:divBdr>
                    <w:top w:val="none" w:sz="0" w:space="0" w:color="auto"/>
                    <w:left w:val="none" w:sz="0" w:space="0" w:color="auto"/>
                    <w:bottom w:val="none" w:sz="0" w:space="0" w:color="auto"/>
                    <w:right w:val="none" w:sz="0" w:space="0" w:color="auto"/>
                  </w:divBdr>
                  <w:divsChild>
                    <w:div w:id="116138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7616292">
      <w:bodyDiv w:val="1"/>
      <w:marLeft w:val="0"/>
      <w:marRight w:val="0"/>
      <w:marTop w:val="0"/>
      <w:marBottom w:val="0"/>
      <w:divBdr>
        <w:top w:val="none" w:sz="0" w:space="0" w:color="auto"/>
        <w:left w:val="none" w:sz="0" w:space="0" w:color="auto"/>
        <w:bottom w:val="none" w:sz="0" w:space="0" w:color="auto"/>
        <w:right w:val="none" w:sz="0" w:space="0" w:color="auto"/>
      </w:divBdr>
      <w:divsChild>
        <w:div w:id="1697004126">
          <w:marLeft w:val="0"/>
          <w:marRight w:val="0"/>
          <w:marTop w:val="0"/>
          <w:marBottom w:val="0"/>
          <w:divBdr>
            <w:top w:val="none" w:sz="0" w:space="0" w:color="auto"/>
            <w:left w:val="none" w:sz="0" w:space="0" w:color="auto"/>
            <w:bottom w:val="none" w:sz="0" w:space="0" w:color="auto"/>
            <w:right w:val="none" w:sz="0" w:space="0" w:color="auto"/>
          </w:divBdr>
          <w:divsChild>
            <w:div w:id="1817062976">
              <w:marLeft w:val="0"/>
              <w:marRight w:val="0"/>
              <w:marTop w:val="0"/>
              <w:marBottom w:val="0"/>
              <w:divBdr>
                <w:top w:val="none" w:sz="0" w:space="0" w:color="auto"/>
                <w:left w:val="none" w:sz="0" w:space="0" w:color="auto"/>
                <w:bottom w:val="none" w:sz="0" w:space="0" w:color="auto"/>
                <w:right w:val="none" w:sz="0" w:space="0" w:color="auto"/>
              </w:divBdr>
              <w:divsChild>
                <w:div w:id="844630209">
                  <w:marLeft w:val="0"/>
                  <w:marRight w:val="0"/>
                  <w:marTop w:val="0"/>
                  <w:marBottom w:val="0"/>
                  <w:divBdr>
                    <w:top w:val="none" w:sz="0" w:space="0" w:color="auto"/>
                    <w:left w:val="none" w:sz="0" w:space="0" w:color="auto"/>
                    <w:bottom w:val="none" w:sz="0" w:space="0" w:color="auto"/>
                    <w:right w:val="none" w:sz="0" w:space="0" w:color="auto"/>
                  </w:divBdr>
                  <w:divsChild>
                    <w:div w:id="96504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2371419">
          <w:marLeft w:val="0"/>
          <w:marRight w:val="0"/>
          <w:marTop w:val="0"/>
          <w:marBottom w:val="0"/>
          <w:divBdr>
            <w:top w:val="none" w:sz="0" w:space="0" w:color="auto"/>
            <w:left w:val="none" w:sz="0" w:space="0" w:color="auto"/>
            <w:bottom w:val="none" w:sz="0" w:space="0" w:color="auto"/>
            <w:right w:val="none" w:sz="0" w:space="0" w:color="auto"/>
          </w:divBdr>
          <w:divsChild>
            <w:div w:id="1928269705">
              <w:marLeft w:val="0"/>
              <w:marRight w:val="0"/>
              <w:marTop w:val="0"/>
              <w:marBottom w:val="0"/>
              <w:divBdr>
                <w:top w:val="none" w:sz="0" w:space="0" w:color="auto"/>
                <w:left w:val="none" w:sz="0" w:space="0" w:color="auto"/>
                <w:bottom w:val="none" w:sz="0" w:space="0" w:color="auto"/>
                <w:right w:val="none" w:sz="0" w:space="0" w:color="auto"/>
              </w:divBdr>
              <w:divsChild>
                <w:div w:id="441802365">
                  <w:marLeft w:val="0"/>
                  <w:marRight w:val="0"/>
                  <w:marTop w:val="0"/>
                  <w:marBottom w:val="0"/>
                  <w:divBdr>
                    <w:top w:val="none" w:sz="0" w:space="0" w:color="auto"/>
                    <w:left w:val="none" w:sz="0" w:space="0" w:color="auto"/>
                    <w:bottom w:val="none" w:sz="0" w:space="0" w:color="auto"/>
                    <w:right w:val="none" w:sz="0" w:space="0" w:color="auto"/>
                  </w:divBdr>
                  <w:divsChild>
                    <w:div w:id="113934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865</Words>
  <Characters>4936</Characters>
  <Application>Microsoft Office Word</Application>
  <DocSecurity>0</DocSecurity>
  <Lines>41</Lines>
  <Paragraphs>11</Paragraphs>
  <ScaleCrop>false</ScaleCrop>
  <Company/>
  <LinksUpToDate>false</LinksUpToDate>
  <CharactersWithSpaces>5790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Modi</dc:creator>
  <cp:keywords/>
  <dc:description/>
  <cp:lastModifiedBy>Shubham Modi</cp:lastModifiedBy>
  <cp:revision>2</cp:revision>
  <dcterms:created xsi:type="dcterms:W3CDTF">2024-10-11T18:19:00Z</dcterms:created>
  <dcterms:modified xsi:type="dcterms:W3CDTF">2024-10-11T18:19:00Z</dcterms:modified>
</cp:coreProperties>
</file>