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Calculating turbine efficiency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https://www4.eere.energy.gov/manufacturing/tech_deployment/amo_steam_tool/equipTurbine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http://www.egr.msu.edu/~lira/supp/chap3supp.pdf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Hybrid Systems: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https://energy.gov/sites/prod/files/2016/06/f32/QTR2015-4K-Hybrid-Nuclear-Renewable-Energy-Systems.pdf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Gas cooled fast reactor (GFR) slides: 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https://www.iaea.org/INPRO/cooperation/5th_GIF_Meeting/GFR_Stainsby.pdf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Firebrick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http://fhr.nuc.berkeley.edu/wp-content/uploads/2016/04/FIRES-LBNL-13April2016-3.pdf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Secondary Processes: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https://www.nrel.gov/docs/fy17osti/66763.pdf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aea.org/INPRO/cooperation/5th_GIF_Meeting/GFR_Stainsby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4.eere.energy.gov/manufacturing/tech_deployment/amo_steam_tool/equipTurbine" TargetMode="External"/><Relationship Id="rId7" Type="http://schemas.openxmlformats.org/officeDocument/2006/relationships/hyperlink" Target="http://www.egr.msu.edu/~lira/supp/chap3supp.pdf" TargetMode="External"/><Relationship Id="rId8" Type="http://schemas.openxmlformats.org/officeDocument/2006/relationships/hyperlink" Target="https://energy.gov/sites/prod/files/2016/06/f32/QTR2015-4K-Hybrid-Nuclear-Renewable-Energy-System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