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</w:rPr>
      </w:pPr>
      <w:r>
        <w:br w:type="textWrapping"/>
      </w:r>
      <w:r>
        <w:rPr>
          <w:b/>
          <w:bCs/>
        </w:rPr>
        <w:br w:type="textWrapping"/>
      </w:r>
      <w:r>
        <w:rPr>
          <w:rFonts w:hint="default"/>
          <w:b/>
          <w:bCs/>
          <w:sz w:val="32"/>
          <w:szCs w:val="32"/>
        </w:rPr>
        <w:t>Deliverables:</w:t>
      </w:r>
      <w:r>
        <w:rPr>
          <w:sz w:val="32"/>
          <w:szCs w:val="32"/>
        </w:rPr>
        <w:br w:type="textWrapping"/>
      </w:r>
      <w:r>
        <w:br w:type="textWrapping"/>
      </w:r>
      <w:r>
        <w:br w:type="textWrapping"/>
      </w:r>
      <w:r>
        <w:rPr>
          <w:rFonts w:hint="default"/>
        </w:rPr>
        <w:t>1. Multi-Tenant Deployment &amp; Dynamic Domain Mapping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b/>
          <w:bCs/>
        </w:rPr>
        <w:br w:type="textWrapping"/>
      </w:r>
      <w:r>
        <w:rPr>
          <w:rFonts w:hint="default"/>
          <w:b/>
          <w:bCs/>
        </w:rPr>
        <w:t>Deliverables:</w:t>
      </w:r>
    </w:p>
    <w:p>
      <w:r>
        <w:rPr>
          <w:rFonts w:hint="default"/>
        </w:rPr>
        <w:t>• kubectl get all -n &lt;namespace&gt; for all users.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9865" cy="302260"/>
            <wp:effectExtent l="0" t="0" r="698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• Proof of access via curl/browser.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"https://user1.example.com/"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https://user</w:t>
      </w:r>
      <w:r>
        <w:rPr>
          <w:rStyle w:val="6"/>
          <w:rFonts w:hint="default"/>
        </w:rPr>
        <w:t>1</w:t>
      </w:r>
      <w:r>
        <w:rPr>
          <w:rStyle w:val="6"/>
          <w:rFonts w:hint="default"/>
        </w:rPr>
        <w:t>.example.com/</w:t>
      </w:r>
      <w:r>
        <w:rPr>
          <w:rStyle w:val="6"/>
          <w:rFonts w:hint="default"/>
        </w:rPr>
        <w:br w:type="textWrapping"/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6055" cy="2090420"/>
            <wp:effectExtent l="0" t="0" r="1079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"Https://user2.example.com/"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Https://user</w:t>
      </w:r>
      <w:r>
        <w:rPr>
          <w:rStyle w:val="6"/>
          <w:rFonts w:hint="default"/>
        </w:rPr>
        <w:t>2</w:t>
      </w:r>
      <w:r>
        <w:rPr>
          <w:rStyle w:val="6"/>
          <w:rFonts w:hint="default"/>
        </w:rPr>
        <w:t>.example.com/</w:t>
      </w:r>
      <w:r>
        <w:rPr>
          <w:rStyle w:val="6"/>
          <w:rFonts w:hint="default"/>
        </w:rPr>
        <w:br w:type="textWrapping"/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6055" cy="1928495"/>
            <wp:effectExtent l="0" t="0" r="1079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28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"https://user3.example.com/"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https://user3.example.com/</w:t>
      </w:r>
      <w:r>
        <w:rPr>
          <w:rStyle w:val="6"/>
          <w:rFonts w:hint="default"/>
        </w:rPr>
        <w:br w:type="textWrapping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drawing>
          <wp:inline distT="0" distB="0" distL="114300" distR="114300">
            <wp:extent cx="5266055" cy="1747520"/>
            <wp:effectExtent l="0" t="0" r="1079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4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/>
          <w:b/>
          <w:bCs/>
          <w:sz w:val="24"/>
          <w:szCs w:val="24"/>
        </w:rPr>
        <w:t>• Short explanation of dynamic domain mapping approach.</w:t>
      </w:r>
      <w:r>
        <w:br w:type="textWrapping"/>
      </w:r>
      <w:r>
        <w:rPr>
          <w:sz w:val="18"/>
          <w:szCs w:val="18"/>
        </w:rPr>
        <w:br w:type="textWrapping"/>
      </w:r>
      <w:r>
        <w:rPr>
          <w:rFonts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7"/>
          <w:sz w:val="18"/>
          <w:szCs w:val="18"/>
        </w:rPr>
        <w:t>Per-tenant ingress</w:t>
      </w:r>
      <w:r>
        <w:rPr>
          <w:sz w:val="18"/>
          <w:szCs w:val="18"/>
        </w:rPr>
        <w:t xml:space="preserve">: Every user has their own </w:t>
      </w:r>
      <w:r>
        <w:rPr>
          <w:rStyle w:val="5"/>
          <w:sz w:val="18"/>
          <w:szCs w:val="18"/>
        </w:rPr>
        <w:t>Ingress</w:t>
      </w:r>
      <w:r>
        <w:rPr>
          <w:sz w:val="18"/>
          <w:szCs w:val="18"/>
        </w:rPr>
        <w:t xml:space="preserve"> resource within a dedicated namespace, allowing independent domain configuration. </w:t>
      </w:r>
    </w:p>
    <w:p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7"/>
          <w:sz w:val="18"/>
          <w:szCs w:val="18"/>
        </w:rPr>
        <w:t>Shared gateway</w:t>
      </w:r>
      <w:r>
        <w:rPr>
          <w:sz w:val="18"/>
          <w:szCs w:val="18"/>
        </w:rPr>
        <w:t xml:space="preserve">: A central NGINX Ingress Controller routes incoming requests by reading the </w:t>
      </w:r>
      <w:r>
        <w:rPr>
          <w:rStyle w:val="5"/>
          <w:sz w:val="18"/>
          <w:szCs w:val="18"/>
        </w:rPr>
        <w:t>Host</w:t>
      </w:r>
      <w:r>
        <w:rPr>
          <w:sz w:val="18"/>
          <w:szCs w:val="18"/>
        </w:rPr>
        <w:t xml:space="preserve"> header (e.g., </w:t>
      </w:r>
      <w:r>
        <w:rPr>
          <w:rStyle w:val="5"/>
          <w:sz w:val="18"/>
          <w:szCs w:val="18"/>
        </w:rPr>
        <w:t>user1.example.com</w:t>
      </w:r>
      <w:r>
        <w:rPr>
          <w:sz w:val="18"/>
          <w:szCs w:val="18"/>
        </w:rPr>
        <w:t xml:space="preserve">) and directing traffic to the correct namespace. </w:t>
      </w:r>
    </w:p>
    <w:p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7"/>
          <w:sz w:val="18"/>
          <w:szCs w:val="18"/>
        </w:rPr>
        <w:t>Hot-swappable setup</w:t>
      </w:r>
      <w:r>
        <w:rPr>
          <w:sz w:val="18"/>
          <w:szCs w:val="18"/>
        </w:rPr>
        <w:t xml:space="preserve">: New domains can be added seamlessly by applying a new ingress manifest—no need for cluster-wide changes or restarts. </w:t>
      </w:r>
    </w:p>
    <w:p>
      <w:pPr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Fonts w:hint="default" w:ascii="Symbol" w:hAnsi="Symbol" w:eastAsia="Symbol" w:cs="Symbol"/>
          <w:sz w:val="18"/>
          <w:szCs w:val="18"/>
        </w:rPr>
        <w:t>·</w:t>
      </w:r>
      <w:r>
        <w:rPr>
          <w:rFonts w:hint="eastAsia" w:ascii="SimSun" w:hAnsi="SimSun" w:eastAsia="SimSun" w:cs="SimSun"/>
          <w:sz w:val="18"/>
          <w:szCs w:val="18"/>
        </w:rPr>
        <w:t xml:space="preserve">  </w:t>
      </w:r>
      <w:r>
        <w:rPr>
          <w:rStyle w:val="7"/>
          <w:sz w:val="18"/>
          <w:szCs w:val="18"/>
        </w:rPr>
        <w:t>Namespace isolation</w:t>
      </w:r>
      <w:r>
        <w:rPr>
          <w:sz w:val="18"/>
          <w:szCs w:val="18"/>
        </w:rPr>
        <w:t>: Each tenant manages their own TLS/SSL secrets, ensuring secure and isolated certificate handling.</w:t>
      </w:r>
    </w:p>
    <w:p/>
    <w:p/>
    <w:p>
      <w:pPr>
        <w:rPr>
          <w:b/>
          <w:bCs/>
          <w:sz w:val="28"/>
          <w:szCs w:val="28"/>
        </w:rPr>
      </w:pPr>
    </w:p>
    <w:p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2. CI/CD Pipeline with Rollback &amp; Event Trigger</w:t>
      </w:r>
    </w:p>
    <w:p>
      <w:pPr>
        <w:rPr>
          <w:b/>
          <w:bCs/>
          <w:sz w:val="28"/>
          <w:szCs w:val="28"/>
        </w:rPr>
      </w:pPr>
    </w:p>
    <w:p/>
    <w:p/>
    <w:p/>
    <w:p/>
    <w:p/>
    <w:p>
      <w:r>
        <w:rPr>
          <w:rFonts w:hint="default"/>
        </w:rPr>
        <w:t>Logs/screenshots of successful deployment, rollback, and event trigger.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73040" cy="2332990"/>
            <wp:effectExtent l="0" t="0" r="381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2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>
      <w:pPr>
        <w:keepNext w:val="0"/>
        <w:keepLines w:val="0"/>
        <w:widowControl/>
        <w:suppressLineNumbers w:val="0"/>
        <w:shd w:val="clear" w:fill="002B36"/>
        <w:spacing w:line="285" w:lineRule="atLeast"/>
        <w:jc w:val="left"/>
        <w:rPr>
          <w:rFonts w:ascii="monospace" w:hAnsi="monospace" w:eastAsia="monospace" w:cs="monospace"/>
          <w:b w:val="0"/>
          <w:color w:val="FFFFFF" w:themeColor="background1"/>
          <w:sz w:val="21"/>
          <w:szCs w:val="21"/>
          <w14:textFill>
            <w14:solidFill>
              <w14:schemeClr w14:val="bg1"/>
            </w14:solidFill>
          </w14:textFill>
        </w:rPr>
      </w:pPr>
      <w:r>
        <w:rPr>
          <w:rFonts w:hint="default" w:ascii="monospace" w:hAnsi="monospace" w:eastAsia="monospace" w:cs="monospace"/>
          <w:b/>
          <w:color w:val="FFFFFF" w:themeColor="background1"/>
          <w:kern w:val="0"/>
          <w:sz w:val="21"/>
          <w:szCs w:val="21"/>
          <w:shd w:val="clear" w:fill="002B36"/>
          <w:lang w:val="en-US" w:eastAsia="zh-CN" w:bidi="ar"/>
          <w14:textFill>
            <w14:solidFill>
              <w14:schemeClr w14:val="bg1"/>
            </w14:solidFill>
          </w14:textFill>
        </w:rPr>
        <w:t>Event Trigger Proof (Kafka Logs)</w:t>
      </w:r>
    </w:p>
    <w:p/>
    <w:p>
      <w:r>
        <w:drawing>
          <wp:inline distT="0" distB="0" distL="114300" distR="114300">
            <wp:extent cx="5267325" cy="1847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/>
          <w:sz w:val="24"/>
          <w:szCs w:val="24"/>
        </w:rPr>
        <w:t>3. Scaling, Resource Optimization &amp; Observability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0"/>
          <w:szCs w:val="20"/>
        </w:rPr>
        <w:t>• Screenshots/logs showing scaling and HPA metrics.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8595" cy="711200"/>
            <wp:effectExtent l="0" t="0" r="825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sz w:val="28"/>
          <w:szCs w:val="28"/>
        </w:rPr>
        <w:t>• Notes explaining scaling strategy and resource allocation.</w:t>
      </w:r>
    </w:p>
    <w:p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7"/>
          <w:sz w:val="20"/>
          <w:szCs w:val="20"/>
        </w:rPr>
        <w:t>1. Scaling Strategy (Horizontal Autoscaling)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We use the </w:t>
      </w:r>
      <w:r>
        <w:rPr>
          <w:rStyle w:val="5"/>
          <w:sz w:val="20"/>
          <w:szCs w:val="20"/>
        </w:rPr>
        <w:t>HorizontalPodAutoscaler</w:t>
      </w:r>
      <w:r>
        <w:rPr>
          <w:sz w:val="20"/>
          <w:szCs w:val="20"/>
        </w:rPr>
        <w:t xml:space="preserve"> (v2) to dynamically adjust capacity based on real-time CPU utilization. The system is configured to maintain an average CPU usage of </w:t>
      </w:r>
      <w:r>
        <w:rPr>
          <w:rStyle w:val="7"/>
          <w:sz w:val="20"/>
          <w:szCs w:val="20"/>
        </w:rPr>
        <w:t>50%</w:t>
      </w:r>
      <w:r>
        <w:rPr>
          <w:sz w:val="20"/>
          <w:szCs w:val="20"/>
        </w:rPr>
        <w:t xml:space="preserve">, automatically scaling workloads from </w:t>
      </w:r>
      <w:r>
        <w:rPr>
          <w:rStyle w:val="7"/>
          <w:sz w:val="20"/>
          <w:szCs w:val="20"/>
        </w:rPr>
        <w:t>1 to 5 replicas</w:t>
      </w:r>
      <w:r>
        <w:rPr>
          <w:sz w:val="20"/>
          <w:szCs w:val="20"/>
        </w:rPr>
        <w:t xml:space="preserve"> during traffic spikes. To ensure high availability, a </w:t>
      </w:r>
      <w:r>
        <w:rPr>
          <w:rStyle w:val="5"/>
          <w:sz w:val="20"/>
          <w:szCs w:val="20"/>
        </w:rPr>
        <w:t>PodDisruptionBudget</w:t>
      </w:r>
      <w:r>
        <w:rPr>
          <w:sz w:val="20"/>
          <w:szCs w:val="20"/>
        </w:rPr>
        <w:t xml:space="preserve"> with </w:t>
      </w:r>
      <w:r>
        <w:rPr>
          <w:rStyle w:val="5"/>
          <w:sz w:val="20"/>
          <w:szCs w:val="20"/>
        </w:rPr>
        <w:t>minAvailable: 1</w:t>
      </w:r>
      <w:r>
        <w:rPr>
          <w:sz w:val="20"/>
          <w:szCs w:val="20"/>
        </w:rPr>
        <w:t xml:space="preserve"> is applied per tenant, guaranteeing that at least one pod remains operational during updates or scaling events.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sz w:val="20"/>
          <w:szCs w:val="20"/>
        </w:rPr>
        <w:t>2. Resource Allocation (Multi-Tenant Containment)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Each tenant is isolated within its own namespace (e.g., </w:t>
      </w:r>
      <w:r>
        <w:rPr>
          <w:rStyle w:val="5"/>
          <w:sz w:val="20"/>
          <w:szCs w:val="20"/>
        </w:rPr>
        <w:t>user1</w:t>
      </w:r>
      <w:r>
        <w:rPr>
          <w:sz w:val="20"/>
          <w:szCs w:val="20"/>
        </w:rPr>
        <w:t xml:space="preserve">, </w:t>
      </w:r>
      <w:r>
        <w:rPr>
          <w:rStyle w:val="5"/>
          <w:sz w:val="20"/>
          <w:szCs w:val="20"/>
        </w:rPr>
        <w:t>user2</w:t>
      </w:r>
      <w:r>
        <w:rPr>
          <w:sz w:val="20"/>
          <w:szCs w:val="20"/>
        </w:rPr>
        <w:t xml:space="preserve">), providing clear logical separation. We enforce strict resource boundaries using </w:t>
      </w:r>
      <w:r>
        <w:rPr>
          <w:rStyle w:val="5"/>
          <w:sz w:val="20"/>
          <w:szCs w:val="20"/>
        </w:rPr>
        <w:t>ResourceQuotas</w:t>
      </w:r>
      <w:r>
        <w:rPr>
          <w:sz w:val="20"/>
          <w:szCs w:val="20"/>
        </w:rPr>
        <w:t xml:space="preserve"> at the namespace level (for example, 2 CPUs and 2Gi RAM), preventing any single tenant from monopolizing cluster resources. Additionally, pods are configured with well-defined resource </w:t>
      </w:r>
      <w:r>
        <w:rPr>
          <w:rStyle w:val="7"/>
          <w:sz w:val="20"/>
          <w:szCs w:val="20"/>
        </w:rPr>
        <w:t>requests</w:t>
      </w:r>
      <w:r>
        <w:rPr>
          <w:sz w:val="20"/>
          <w:szCs w:val="20"/>
        </w:rPr>
        <w:t xml:space="preserve"> (guaranteed allocation) and </w:t>
      </w:r>
      <w:r>
        <w:rPr>
          <w:rStyle w:val="7"/>
          <w:sz w:val="20"/>
          <w:szCs w:val="20"/>
        </w:rPr>
        <w:t>limits</w:t>
      </w:r>
      <w:r>
        <w:rPr>
          <w:sz w:val="20"/>
          <w:szCs w:val="20"/>
        </w:rPr>
        <w:t xml:space="preserve"> (maximum usage), ensuring predictable performance and stable scheduling, even in constrained environments like Minikube.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rFonts w:hint="default"/>
          <w:b/>
          <w:bCs/>
          <w:sz w:val="28"/>
          <w:szCs w:val="28"/>
        </w:rPr>
        <w:t>4. Kafka Event-Driven Pipeline</w:t>
      </w:r>
      <w:r>
        <w:rPr>
          <w:rFonts w:hint="default"/>
          <w:b/>
          <w:bCs/>
          <w:sz w:val="28"/>
          <w:szCs w:val="28"/>
        </w:rPr>
        <w:br w:type="textWrapping"/>
      </w:r>
      <w:r>
        <w:rPr>
          <w:rFonts w:hint="default"/>
          <w:b/>
          <w:bCs/>
          <w:sz w:val="18"/>
          <w:szCs w:val="18"/>
        </w:rPr>
        <w:br w:type="textWrapping"/>
      </w:r>
      <w:r>
        <w:rPr>
          <w:rFonts w:hint="default"/>
          <w:b/>
          <w:bCs/>
          <w:sz w:val="18"/>
          <w:szCs w:val="18"/>
        </w:rPr>
        <w:t>Screenshot showing events published/consumed.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6055" cy="969010"/>
            <wp:effectExtent l="0" t="0" r="1079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/>
        </w:rPr>
        <w:t>Kafka integration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58435" cy="2839085"/>
            <wp:effectExtent l="0" t="0" r="18415" b="184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default"/>
        </w:rPr>
        <w:t>Observability dashboards</w:t>
      </w:r>
      <w:r>
        <w:br w:type="textWrapping"/>
      </w:r>
      <w:r>
        <w:drawing>
          <wp:inline distT="0" distB="0" distL="114300" distR="114300">
            <wp:extent cx="5265420" cy="2696845"/>
            <wp:effectExtent l="0" t="0" r="11430" b="8255"/>
            <wp:docPr id="9" name="Picture 9" descr="grafana_dashboard_verification_177718707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fana_dashboard_verification_1777187074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4FA6DF"/>
    <w:rsid w:val="FD4FA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2026-04-26T18:09:00Z</dcterms:created>
  <dc:creator>jinks</dc:creator>
  <cp:lastModifiedBy>jinks</cp:lastModifiedBy>
  <dcterms:modified xsi:type="dcterms:W3CDTF">2026-04-26T19:39:43Z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