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C2E5" w14:textId="799FAC80" w:rsidR="000D15FF" w:rsidRDefault="00A17162" w:rsidP="00A17162">
      <w:pPr>
        <w:jc w:val="center"/>
        <w:rPr>
          <w:lang w:val="en-US"/>
        </w:rPr>
      </w:pPr>
      <w:r>
        <w:rPr>
          <w:lang w:val="en-US"/>
        </w:rPr>
        <w:t>Shubham Pal Capgemini Ecommerce</w:t>
      </w:r>
    </w:p>
    <w:p w14:paraId="6F23A2DD" w14:textId="66A7ACD7" w:rsidR="00A17162" w:rsidRPr="00A17162" w:rsidRDefault="00A17162" w:rsidP="00A1716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07C2A6C" wp14:editId="41E41934">
            <wp:extent cx="5731510" cy="3326765"/>
            <wp:effectExtent l="0" t="0" r="2540" b="6985"/>
            <wp:docPr id="878511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43127" wp14:editId="6F273827">
            <wp:extent cx="5731510" cy="3592195"/>
            <wp:effectExtent l="0" t="0" r="2540" b="8255"/>
            <wp:docPr id="1459770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E5652" wp14:editId="3713B905">
            <wp:extent cx="5731510" cy="4636135"/>
            <wp:effectExtent l="0" t="0" r="2540" b="0"/>
            <wp:docPr id="178732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267A0" wp14:editId="43F05E67">
            <wp:extent cx="5731510" cy="3584575"/>
            <wp:effectExtent l="0" t="0" r="2540" b="0"/>
            <wp:docPr id="1915705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E24D1" wp14:editId="127AD282">
            <wp:extent cx="5731510" cy="3891280"/>
            <wp:effectExtent l="0" t="0" r="2540" b="0"/>
            <wp:docPr id="146244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7162" w:rsidRPr="00A1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62"/>
    <w:rsid w:val="000D02EC"/>
    <w:rsid w:val="000D15FF"/>
    <w:rsid w:val="00453E5E"/>
    <w:rsid w:val="00910708"/>
    <w:rsid w:val="00A17162"/>
    <w:rsid w:val="00E8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F94B"/>
  <w15:chartTrackingRefBased/>
  <w15:docId w15:val="{21D7922C-5D6D-45D7-9F78-2FAFE220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6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Pal</dc:creator>
  <cp:keywords/>
  <dc:description/>
  <cp:lastModifiedBy>Shubham Pal</cp:lastModifiedBy>
  <cp:revision>1</cp:revision>
  <dcterms:created xsi:type="dcterms:W3CDTF">2026-04-18T09:22:00Z</dcterms:created>
  <dcterms:modified xsi:type="dcterms:W3CDTF">2026-04-18T09:24:00Z</dcterms:modified>
</cp:coreProperties>
</file>