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Public Sans" w:cs="Public Sans" w:eastAsia="Public Sans" w:hAnsi="Public Sans"/>
          <w:b/>
          <w:bCs/>
          <w:color w:val="151A1D"/>
          <w:sz w:val="32"/>
          <w:szCs w:val="32"/>
        </w:rPr>
        <w:t xml:space="preserve">Clinical Natural Language Technology for Health Care</w:t>
      </w:r>
    </w:p>
    <w:p>
      <w:pPr>
        <w:spacing w:after="20"/>
      </w:pPr>
      <w:r>
        <w:rPr>
          <w:rFonts w:ascii="Public Sans" w:cs="Public Sans" w:eastAsia="Public Sans" w:hAnsi="Public Sans"/>
          <w:color w:val="6A757C"/>
          <w:sz w:val="22"/>
          <w:szCs w:val="22"/>
        </w:rPr>
        <w:t xml:space="preserve">Past, Present, and Future — NLP, OCR, Computer Vision, LLMs, and LMMs</w:t>
      </w:r>
    </w:p>
    <w:p>
      <w:pPr>
        <w:spacing w:after="20"/>
      </w:pPr>
      <w:r>
        <w:rPr>
          <w:color w:val="353D42"/>
          <w:sz w:val="20"/>
          <w:szCs w:val="20"/>
        </w:rPr>
        <w:t xml:space="preserve">Shubham Pareek — Columbia University</w:t>
      </w:r>
    </w:p>
    <w:p>
      <w:pPr>
        <w:spacing w:after="40"/>
      </w:pPr>
      <w:r>
        <w:rPr>
          <w:color w:val="353D42"/>
          <w:sz w:val="20"/>
          <w:szCs w:val="20"/>
        </w:rPr>
        <w:t xml:space="preserve">Cotiviti Intern Assessment — Topic 1</w:t>
      </w:r>
    </w:p>
    <w:p>
      <w:pPr>
        <w:pBdr>
          <w:bottom w:val="single" w:color="0E7466" w:sz="6" w:space="1"/>
        </w:pBdr>
        <w:spacing w:after="160"/>
      </w:pPr>
      <w:r>
        <w:rPr>
          <w:sz w:val="2"/>
          <w:szCs w:val="2"/>
        </w:rPr>
        <w:t xml:space="preserve"/>
      </w:r>
    </w:p>
    <w:p>
      <w:pPr>
        <w:pStyle w:val="Heading1"/>
      </w:pPr>
      <w:r>
        <w:t xml:space="preserve">Defining the Topic</w:t>
      </w:r>
    </w:p>
    <w:p>
      <w:pPr>
        <w:spacing w:after="120" w:line="264"/>
        <w:jc w:val="both"/>
      </w:pPr>
      <w:r>
        <w:t xml:space="preserve">Clinical natural language technology is the set of computational methods that turn unstructured clinical language — physician notes, patient-reported narratives, discharge summaries, scanned documents, and images with text — into structured, computable data. Because roughly 80% of clinical data is unstructured text, this capability is how health care converts narrative into decisions, payments, and quality measures. The field spans five capability layers. </w:t>
      </w:r>
      <w:r>
        <w:rPr>
          <w:b/>
          <w:bCs/>
        </w:rPr>
        <w:t xml:space="preserve">Natural language processing (NLP)</w:t>
      </w:r>
      <w:r>
        <w:t xml:space="preserve"> parses free text into concepts (symptoms, medications, diagnoses), assertions (present, absent, uncertain), and relations, forming the foundation of the field. </w:t>
      </w:r>
      <w:r>
        <w:rPr>
          <w:b/>
          <w:bCs/>
        </w:rPr>
        <w:t xml:space="preserve">Optical character recognition (OCR)</w:t>
      </w:r>
      <w:r>
        <w:t xml:space="preserve"> converts scanned faxes, PDFs, and printed or handwritten documents into machine-readable text, still essential because roughly half of provider–payer exchange remains fax and PDF. </w:t>
      </w:r>
      <w:r>
        <w:rPr>
          <w:b/>
          <w:bCs/>
        </w:rPr>
        <w:t xml:space="preserve">Computer vision (CV)</w:t>
      </w:r>
      <w:r>
        <w:t xml:space="preserve"> extracts signal from medical images and from document layout — tables, form fields, stamps, and signatures — and is increasingly fused with OCR into “document AI.” </w:t>
      </w:r>
      <w:r>
        <w:rPr>
          <w:b/>
          <w:bCs/>
        </w:rPr>
        <w:t xml:space="preserve">Large language models (LLMs)</w:t>
      </w:r>
      <w:r>
        <w:t xml:space="preserve"> — transformer models from BERT to GPT-4-class systems — summarize, abstract, and reason over clinical text with far less task-specific engineering. Finally, </w:t>
      </w:r>
      <w:r>
        <w:rPr>
          <w:b/>
          <w:bCs/>
        </w:rPr>
        <w:t xml:space="preserve">large multimodal models (LMMs)</w:t>
      </w:r>
      <w:r>
        <w:t xml:space="preserve"> jointly reason over text, images, and structured data (for example, a chart note alongside its X-ray and labs), representing the current research frontier.</w:t>
      </w:r>
    </w:p>
    <w:p>
      <w:pPr>
        <w:pStyle w:val="Heading1"/>
      </w:pPr>
      <w:r>
        <w:t xml:space="preserve">Past, Present, and Future</w:t>
      </w:r>
    </w:p>
    <w:p>
      <w:pPr>
        <w:spacing w:after="120" w:line="264"/>
        <w:jc w:val="both"/>
      </w:pPr>
      <w:r>
        <w:t xml:space="preserve">In the </w:t>
      </w:r>
      <w:r>
        <w:rPr>
          <w:b/>
          <w:bCs/>
        </w:rPr>
        <w:t xml:space="preserve">past</w:t>
      </w:r>
      <w:r>
        <w:t xml:space="preserve"> (rule-based and statistical era, roughly 2000–2015), systems relied on dictionary and ontology lookup against the UMLS, exemplified by MetaMap (Aronson &amp; Lang, 2010) and cTAKES (Savova et al., 2010), together with hand-built rules, negation detection, and assertion classification refined through community shared tasks such as the i2b2/VA challenges (Uzuner et al., 2011). These systems were transparent, auditable, and cheap to run, but brittle to phrasing and costly to maintain. The </w:t>
      </w:r>
      <w:r>
        <w:rPr>
          <w:b/>
          <w:bCs/>
        </w:rPr>
        <w:t xml:space="preserve">present</w:t>
      </w:r>
      <w:r>
        <w:t xml:space="preserve"> (transformer era, roughly 2018 to now) is defined by contextual embeddings — BERT (Devlin et al., 2019) and its clinical descendants BioBERT (Lee et al., 2020) and ClinicalBERT (Alsentzer et al., 2019), trained on corpora such as MIMIC-III (Johnson et al., 2016). Generative LLMs now support summarization, coding assistance, and ambient documentation, with Med-PaLM reaching passing-level medical question answering (Singhal et al., 2023), while vision models such as CheXNet classify radiographs (Rajpurkar et al., 2017). These gains come with hallucination, opacity, privacy exposure, cost, and reduced auditability. The </w:t>
      </w:r>
      <w:r>
        <w:rPr>
          <w:b/>
          <w:bCs/>
        </w:rPr>
        <w:t xml:space="preserve">future</w:t>
      </w:r>
      <w:r>
        <w:t xml:space="preserve"> points toward LMMs reasoning jointly over notes, images, labs, and claims; retrieval-grounded, agentic pipelines that cite source spans; and hybrid deterministic-plus-neural systems that pair neural recall with deterministic guardrails. Across all of these, governance-first deployment — de-identification, provenance, human-in-the-loop review, and evaluation harnesses — becomes the organizing constraint.</w:t>
      </w:r>
    </w:p>
    <w:p>
      <w:pPr>
        <w:pStyle w:val="Heading1"/>
      </w:pPr>
      <w:r>
        <w:t xml:space="preserve">Trends</w:t>
      </w:r>
    </w:p>
    <w:p>
      <w:pPr>
        <w:spacing w:after="120" w:line="264"/>
        <w:jc w:val="both"/>
      </w:pPr>
      <w:r>
        <w:t xml:space="preserve">Five trends stand out. First, value is </w:t>
      </w:r>
      <w:r>
        <w:rPr>
          <w:b/>
          <w:bCs/>
        </w:rPr>
        <w:t xml:space="preserve">shifting from extraction to generation</w:t>
      </w:r>
      <w:r>
        <w:t xml:space="preserve">: the payoff is moving from tagging concepts toward summarizing and drafting — ambient scribes, prior-authorization letters, and appeal narratives. Second, </w:t>
      </w:r>
      <w:r>
        <w:rPr>
          <w:b/>
          <w:bCs/>
        </w:rPr>
        <w:t xml:space="preserve">multimodal and document AI are converging</w:t>
      </w:r>
      <w:r>
        <w:t xml:space="preserve">, as OCR, CV, and NLP merge into a single document-understanding stack suited to the fax-and-PDF reality of payer operations. Third, </w:t>
      </w:r>
      <w:r>
        <w:rPr>
          <w:b/>
          <w:bCs/>
        </w:rPr>
        <w:t xml:space="preserve">grounding and provenance are becoming requirements, not features</w:t>
      </w:r>
      <w:r>
        <w:t xml:space="preserve">; regulators, clinicians, and auditors demand source-linked evidence, and ungrounded generation is a liability. Fourth, </w:t>
      </w:r>
      <w:r>
        <w:rPr>
          <w:b/>
          <w:bCs/>
        </w:rPr>
        <w:t xml:space="preserve">hybrid architectures win in regulated settings</w:t>
      </w:r>
      <w:r>
        <w:t xml:space="preserve">, wrapping deterministic guardrails around neural models to keep outputs auditable and safe. Fifth, </w:t>
      </w:r>
      <w:r>
        <w:rPr>
          <w:b/>
          <w:bCs/>
        </w:rPr>
        <w:t xml:space="preserve">privacy-preserving and on-premises deployment</w:t>
      </w:r>
      <w:r>
        <w:t xml:space="preserve"> — de-identification, local models, and data-residency controls — is becoming table stakes for protected health information.</w:t>
      </w:r>
    </w:p>
    <w:p>
      <w:pPr>
        <w:pStyle w:val="Heading1"/>
      </w:pPr>
      <w:r>
        <w:t xml:space="preserve">Opportunities and Threats for Cotiviti</w:t>
      </w:r>
    </w:p>
    <w:p>
      <w:pPr>
        <w:spacing w:after="120" w:line="264"/>
        <w:jc w:val="both"/>
      </w:pPr>
      <w:r>
        <w:t xml:space="preserve">For Cotiviti’s lines of business, the </w:t>
      </w:r>
      <w:r>
        <w:rPr>
          <w:b/>
          <w:bCs/>
        </w:rPr>
        <w:t xml:space="preserve">opportunities</w:t>
      </w:r>
      <w:r>
        <w:t xml:space="preserve"> are substantial. In risk-adjustment coding, NLP over charts can surface supported and unsupported diagnosis (HCC) codes, improving accuracy and compliance. In payment integrity and clinical validation, models can read medical records at scale to validate claims against documentation and triage DRG and clinical review. In quality measurement, extraction can recover HEDIS-style numerator and denominator evidence that structured claims miss. Grounded summarization can also support provider and member communication around policy, contracts, and appeals, while document AI can structure the inbound fax and PDF backlog. The </w:t>
      </w:r>
      <w:r>
        <w:rPr>
          <w:b/>
          <w:bCs/>
        </w:rPr>
        <w:t xml:space="preserve">threats</w:t>
      </w:r>
      <w:r>
        <w:t xml:space="preserve"> mirror these gains: hallucination and fabricated evidence create compliance and audit exposure; PHI and regulatory risk (HIPAA de-identification and 21st Century Cures information-blocking rules) constrain data use (ONC, 2020; U.S. HHS, 2012); black-box models widen an auditability gap that is hard to defend in payment disputes; data drift and population bias degrade performance; and frontier-model compute cost and vendor lock-in raise concerns at claims scale.</w:t>
      </w:r>
    </w:p>
    <w:p>
      <w:pPr>
        <w:pStyle w:val="Heading1"/>
      </w:pPr>
      <w:r>
        <w:t xml:space="preserve">Strategic Options for Cotiviti</w:t>
      </w:r>
    </w:p>
    <w:p>
      <w:pPr>
        <w:spacing w:after="120" w:line="264"/>
        <w:jc w:val="both"/>
      </w:pPr>
      <w:r>
        <w:t xml:space="preserve">Three tiers of investment present themselves. </w:t>
      </w:r>
      <w:r>
        <w:rPr>
          <w:b/>
          <w:bCs/>
        </w:rPr>
        <w:t xml:space="preserve">Option A — hybrid, provenance-first extraction</w:t>
      </w:r>
      <w:r>
        <w:t xml:space="preserve"> pairs a deterministic rule-and-dictionary layer for auditable structured signals with optional local neural recall, so that every output carries a visible source span; it applies directly to risk adjustment and clinical validation and is low-risk. </w:t>
      </w:r>
      <w:r>
        <w:rPr>
          <w:b/>
          <w:bCs/>
        </w:rPr>
        <w:t xml:space="preserve">Option B — grounded summarization and drafting</w:t>
      </w:r>
      <w:r>
        <w:t xml:space="preserve"> adds retrieval-grounded LLM assistance for appeal letters, clinical review narratives, and policy comparison, always source-linked and human-approved (medium-risk). </w:t>
      </w:r>
      <w:r>
        <w:rPr>
          <w:b/>
          <w:bCs/>
        </w:rPr>
        <w:t xml:space="preserve">Option C — a multimodal document AI platform</w:t>
      </w:r>
      <w:r>
        <w:t xml:space="preserve"> unifies OCR, CV, and NLP to structure the inbound fax, PDF, and record stream feeding all downstream analytics (higher-investment, strategic). </w:t>
      </w:r>
    </w:p>
    <w:p>
      <w:pPr>
        <w:spacing w:after="120" w:line="264"/>
        <w:jc w:val="both"/>
      </w:pPr>
      <w:r>
        <w:rPr>
          <w:b/>
          <w:bCs/>
          <w:color w:val="151A1D"/>
        </w:rPr>
        <w:t xml:space="preserve">Recommendation: </w:t>
      </w:r>
      <w:r>
        <w:t xml:space="preserve">Cotiviti should start at Option A, which is fast, auditable, and defensible, then layer in Option B wherever human review already exists, and treat Option C as the longer-horizon platform bet. Governance — de-identification, provenance, an evaluation harness, and human-in-the-loop review — is a horizontal requirement across all three, not a separate workstream.</w:t>
      </w:r>
    </w:p>
    <w:p>
      <w:pPr>
        <w:pStyle w:val="Heading1"/>
      </w:pPr>
      <w:r>
        <w:t xml:space="preserve">Proof of Concept — VisitPrep</w:t>
      </w:r>
    </w:p>
    <w:p>
      <w:pPr>
        <w:spacing w:after="120" w:line="264"/>
        <w:jc w:val="both"/>
      </w:pPr>
      <w:r>
        <w:t xml:space="preserve">VisitPrep, the proof of concept in this repository, demonstrates Option A end to end. It is a local Next.js/TypeScript application that moves an unstructured patient note through deterministic, rule-based NLP extraction (a 14-symptom dictionary with assertion, severity, and injection-context tagging), into trend analytics, and finally into a template-based, doctor-ready summary. Auditable extraction is kept separate from presentation, every signal carries an evidence span and confidence score, and the report is built from computed data rather than live UI state. On a curated synthetic set of 150 entries and 156 signals, evaluation reported precision, recall, and F1 of 1.00, severity accuracy of 0.94, zero negation false positives, and evidence-span coverage of 1.00. In the interest of honesty, these numbers are measured on a synthetic dataset the rules were tuned against; they demonstrate correctness of the pipeline, not real-world generalization. Consistent with clinical safety boundaries, the system offers no diagnosis, treatment, or triage, uses hedged language such as “reported” and “may be useful to discuss,” relies only on synthetic data, and makes no external LLM calls.</w:t>
      </w:r>
    </w:p>
    <w:p>
      <w:r>
        <w:br w:type="page"/>
      </w:r>
    </w:p>
    <w:p>
      <w:pPr>
        <w:pStyle w:val="Heading1"/>
      </w:pPr>
      <w:r>
        <w:t xml:space="preserve">References</w:t>
      </w:r>
    </w:p>
    <w:p>
      <w:pPr>
        <w:spacing w:after="120" w:line="264"/>
        <w:ind w:left="720" w:hanging="720"/>
      </w:pPr>
      <w:r>
        <w:t xml:space="preserve">Aronson, A. R., &amp; Lang, F. M. (2010). An overview of MetaMap: Historical perspective and recent advances. </w:t>
      </w:r>
      <w:r>
        <w:rPr>
          <w:i/>
          <w:iCs/>
        </w:rPr>
        <w:t xml:space="preserve">Journal of the American Medical Informatics Association, 17</w:t>
      </w:r>
      <w:r>
        <w:t xml:space="preserve">(3), 229–236.</w:t>
      </w:r>
    </w:p>
    <w:p>
      <w:pPr>
        <w:spacing w:after="120" w:line="264"/>
        <w:ind w:left="720" w:hanging="720"/>
      </w:pPr>
      <w:r>
        <w:t xml:space="preserve">Alsentzer, E., Murphy, J. R., Boag, W., Weng, W.-H., Jin, D., Naumann, T., &amp; McDermott, M. B. A. (2019). Publicly available clinical BERT embeddings. </w:t>
      </w:r>
      <w:r>
        <w:rPr>
          <w:i/>
          <w:iCs/>
        </w:rPr>
        <w:t xml:space="preserve">Proceedings of the 2nd Clinical NLP Workshop (NAACL 2019)</w:t>
      </w:r>
      <w:r>
        <w:t xml:space="preserve">, 72–78.</w:t>
      </w:r>
    </w:p>
    <w:p>
      <w:pPr>
        <w:spacing w:after="120" w:line="264"/>
        <w:ind w:left="720" w:hanging="720"/>
      </w:pPr>
      <w:r>
        <w:t xml:space="preserve">Devlin, J., Chang, M.-W., Lee, K., &amp; Toutanova, K. (2019). BERT: Pre-training of deep bidirectional transformers for language understanding. </w:t>
      </w:r>
      <w:r>
        <w:rPr>
          <w:i/>
          <w:iCs/>
        </w:rPr>
        <w:t xml:space="preserve">Proceedings of NAACL-HLT 2019</w:t>
      </w:r>
      <w:r>
        <w:t xml:space="preserve">, 4171–4186.</w:t>
      </w:r>
    </w:p>
    <w:p>
      <w:pPr>
        <w:spacing w:after="120" w:line="264"/>
        <w:ind w:left="720" w:hanging="720"/>
      </w:pPr>
      <w:r>
        <w:t xml:space="preserve">Johnson, A. E. W., Pollard, T. J., Shen, L., Lehman, L. H., Feng, M., Ghassemi, M., … Mark, R. G. (2016). MIMIC-III, a freely accessible critical care database. </w:t>
      </w:r>
      <w:r>
        <w:rPr>
          <w:i/>
          <w:iCs/>
        </w:rPr>
        <w:t xml:space="preserve">Scientific Data, 3</w:t>
      </w:r>
      <w:r>
        <w:t xml:space="preserve">, 160035.</w:t>
      </w:r>
    </w:p>
    <w:p>
      <w:pPr>
        <w:spacing w:after="120" w:line="264"/>
        <w:ind w:left="720" w:hanging="720"/>
      </w:pPr>
      <w:r>
        <w:t xml:space="preserve">Lee, J., Yoon, W., Kim, S., Kim, D., Kim, S., So, C. H., &amp; Kang, J. (2020). BioBERT: A pre-trained biomedical language representation model for biomedical text mining. </w:t>
      </w:r>
      <w:r>
        <w:rPr>
          <w:i/>
          <w:iCs/>
        </w:rPr>
        <w:t xml:space="preserve">Bioinformatics, 36</w:t>
      </w:r>
      <w:r>
        <w:t xml:space="preserve">(4), 1234–1240.</w:t>
      </w:r>
    </w:p>
    <w:p>
      <w:pPr>
        <w:spacing w:after="120" w:line="264"/>
        <w:ind w:left="720" w:hanging="720"/>
      </w:pPr>
      <w:r>
        <w:t xml:space="preserve">Office of the National Coordinator for Health Information Technology. (2020). </w:t>
      </w:r>
      <w:r>
        <w:rPr>
          <w:i/>
          <w:iCs/>
        </w:rPr>
        <w:t xml:space="preserve">21st Century Cures Act: Interoperability, information blocking, and the ONC health IT certification program</w:t>
      </w:r>
      <w:r>
        <w:t xml:space="preserve"> (Final Rule). U.S. Department of Health and Human Services.</w:t>
      </w:r>
    </w:p>
    <w:p>
      <w:pPr>
        <w:spacing w:after="120" w:line="264"/>
        <w:ind w:left="720" w:hanging="720"/>
      </w:pPr>
      <w:r>
        <w:t xml:space="preserve">Rajpurkar, P., Irvin, J., Zhu, K., Yang, B., Mehta, H., Duan, T., … Ng, A. Y. (2017). CheXNet: Radiologist-level pneumonia detection on chest X-rays with deep learning. </w:t>
      </w:r>
      <w:r>
        <w:rPr>
          <w:i/>
          <w:iCs/>
        </w:rPr>
        <w:t xml:space="preserve">arXiv:1711.05225</w:t>
      </w:r>
      <w:r>
        <w:t xml:space="preserve">.</w:t>
      </w:r>
    </w:p>
    <w:p>
      <w:pPr>
        <w:spacing w:after="120" w:line="264"/>
        <w:ind w:left="720" w:hanging="720"/>
      </w:pPr>
      <w:r>
        <w:t xml:space="preserve">Savova, G. K., Masanz, J. J., Ogren, P. V., Zheng, J., Sohn, S., Kipper-Schuler, K. C., &amp; Chute, C. G. (2010). Mayo clinical Text Analysis and Knowledge Extraction System (cTAKES): Architecture, component evaluation and applications. </w:t>
      </w:r>
      <w:r>
        <w:rPr>
          <w:i/>
          <w:iCs/>
        </w:rPr>
        <w:t xml:space="preserve">Journal of the American Medical Informatics Association, 17</w:t>
      </w:r>
      <w:r>
        <w:t xml:space="preserve">(5), 507–513.</w:t>
      </w:r>
    </w:p>
    <w:p>
      <w:pPr>
        <w:spacing w:after="120" w:line="264"/>
        <w:ind w:left="720" w:hanging="720"/>
      </w:pPr>
      <w:r>
        <w:t xml:space="preserve">Singhal, K., Azizi, S., Tu, T., Mahdavi, S. S., Wei, J., Chung, H. W., … Natarajan, V. (2023). Large language models encode clinical knowledge. </w:t>
      </w:r>
      <w:r>
        <w:rPr>
          <w:i/>
          <w:iCs/>
        </w:rPr>
        <w:t xml:space="preserve">Nature, 620</w:t>
      </w:r>
      <w:r>
        <w:t xml:space="preserve">, 172–180.</w:t>
      </w:r>
    </w:p>
    <w:p>
      <w:pPr>
        <w:spacing w:after="120" w:line="264"/>
        <w:ind w:left="720" w:hanging="720"/>
      </w:pPr>
      <w:r>
        <w:t xml:space="preserve">U.S. Department of Health and Human Services. (2012). </w:t>
      </w:r>
      <w:r>
        <w:rPr>
          <w:i/>
          <w:iCs/>
        </w:rPr>
        <w:t xml:space="preserve">Guidance regarding methods for de-identification of protected health information in accordance with the HIPAA Privacy Rule</w:t>
      </w:r>
      <w:r>
        <w:t xml:space="preserve">.</w:t>
      </w:r>
    </w:p>
    <w:p>
      <w:pPr>
        <w:spacing w:after="120" w:line="264"/>
        <w:ind w:left="720" w:hanging="720"/>
      </w:pPr>
      <w:r>
        <w:t xml:space="preserve">Uzuner, Ö., South, B. R., Shen, S., &amp; DuVall, S. L. (2011). 2010 i2b2/VA challenge on concepts, assertions, and relations in clinical text. </w:t>
      </w:r>
      <w:r>
        <w:rPr>
          <w:i/>
          <w:iCs/>
        </w:rPr>
        <w:t xml:space="preserve">Journal of the American Medical Informatics Association, 18</w:t>
      </w:r>
      <w:r>
        <w:t xml:space="preserve">(5), 552–556.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ublic Sans" w:cs="Public Sans" w:eastAsia="Public Sans" w:hAnsi="Public Sans"/>
        <w:color w:val="353D4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200"/>
      <w:outlineLvl w:val="0"/>
    </w:pPr>
    <w:rPr>
      <w:rFonts w:ascii="Public Sans" w:cs="Public Sans" w:eastAsia="Public Sans" w:hAnsi="Public Sans"/>
      <w:b/>
      <w:bCs/>
      <w:color w:val="0E7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2026-07-06T18:41:03.433Z</dcterms:created>
  <dcterms:modified xsi:type="dcterms:W3CDTF">2026-07-06T18:41:03.457Z</dcterms:modified>
</cp:coreProperties>
</file>

<file path=docProps/custom.xml><?xml version="1.0" encoding="utf-8"?>
<Properties xmlns="http://schemas.openxmlformats.org/officeDocument/2006/custom-properties" xmlns:vt="http://schemas.openxmlformats.org/officeDocument/2006/docPropsVTypes"/>
</file>