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Public Sans" w:cs="Public Sans" w:eastAsia="Public Sans" w:hAnsi="Public Sans"/>
          <w:b/>
          <w:bCs/>
          <w:color w:val="0E7466"/>
          <w:sz w:val="40"/>
          <w:szCs w:val="40"/>
        </w:rPr>
        <w:t xml:space="preserve">VisitPrep</w:t>
      </w:r>
      <w:r>
        <w:rPr>
          <w:rFonts w:ascii="Public Sans" w:cs="Public Sans" w:eastAsia="Public Sans" w:hAnsi="Public Sans"/>
          <w:b/>
          <w:bCs/>
          <w:color w:val="151A1D"/>
          <w:sz w:val="32"/>
          <w:szCs w:val="32"/>
        </w:rPr>
        <w:t xml:space="preserve">  —  A Clinical Natural Language Technology Proof of Concept</w:t>
      </w:r>
    </w:p>
    <w:p>
      <w:pPr>
        <w:spacing w:after="20"/>
      </w:pPr>
      <w:r>
        <w:rPr>
          <w:rFonts w:ascii="Public Sans" w:cs="Public Sans" w:eastAsia="Public Sans" w:hAnsi="Public Sans"/>
          <w:color w:val="6A757C"/>
          <w:sz w:val="22"/>
          <w:szCs w:val="22"/>
        </w:rPr>
        <w:t xml:space="preserve">Past, Present &amp; Future · NLP · OCR · Computer Vision · LLM · LMM</w:t>
      </w:r>
    </w:p>
    <w:p>
      <w:pPr>
        <w:spacing w:after="20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Shubham Pareek — Columbia University</w:t>
      </w:r>
    </w:p>
    <w:p>
      <w:pPr>
        <w:pBdr>
          <w:bottom w:val="single" w:color="0E7466" w:sz="12" w:space="6"/>
        </w:pBdr>
        <w:spacing w:after="240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Intern Assessment — Topic 1: Clinical Natural Language Technology</w:t>
      </w:r>
    </w:p>
    <w:p>
      <w:pPr>
        <w:pStyle w:val="Heading1"/>
      </w:pPr>
      <w:r>
        <w:t xml:space="preserve">1. Introduction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Roughly four-fifths of the information generated in clinical care is unstructured text — physician notes, patient-reported narratives, discharge summaries, and scanned documents. 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Clinical Natural Language Technology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is the family of methods that turns that language into structured, computable data. For this assessment I built </w:t>
      </w: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VisitPrep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, a working proof of concept that demonstrates the full clinical-NLP value chain end to end and, deliberately, does so with transparent, deterministic, on-device processing rather than an opaque model.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VisitPrep converts a patient’s free-text daily health notes and wearable-style metrics into structured symptom signals, trend analytics, and a concise, source-grounded summary a clinician can review before a visit. The initial use case is a patient tracking side effects of GLP-1 / weight-loss injections. This report defines the topic, traces its past, present, and future, summarizes current trends, and then describes the project in technical depth, illustrated with the running interface.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 guiding design principle is </w:t>
      </w: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provenance-first extraction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: every structured signal and every sentence of the generated summary can be traced back to the exact patient phrase it came from. In a regulated domain, an auditable answer is worth more than a marginally more accurate but unexplainable one.</w:t>
      </w:r>
    </w:p>
    <w:p>
      <w:pPr>
        <w:pStyle w:val="Heading1"/>
      </w:pPr>
      <w:r>
        <w:t xml:space="preserve">2. Clinical NLP: the five capability layers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Clinical natural language technology spans five layers that increasingly build on one another: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NLP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— parsing free text into concepts (symptoms, medications, diagnoses), assertions (present, absent, uncertain), and relations. The foundation of the field.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OCR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— converting scanned faxes, PDFs, and handwritten or printed documents into machine-readable text; still essential because much clinical exchange remains fax and image based.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Computer Vision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— extracting signal from medical images and from document layout (tables, form fields, signatures), increasingly fused with OCR into “document understanding.”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LLM (Large Language Models)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— transformer models, from BERT to GPT-4-class systems, that summarize and reason over clinical text with far less task-specific engineering than earlier methods.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LMM (Large Multimodal Models)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— models that jointly reason over text, images, and structured data (a note together with its imaging and labs). This is the current research frontier.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VisitPrep operates primarily in the first layer, but its typed interfaces are designed so the others can be layered in without rewriting the system around them.</w:t>
      </w:r>
    </w:p>
    <w:p>
      <w:pPr>
        <w:pStyle w:val="Heading1"/>
      </w:pPr>
      <w:r>
        <w:t xml:space="preserve">3. Past, present, and future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Past (rule-based and statistical, c. 2000–2015).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Early clinical NLP relied on dictionary and ontology lookup against the Unified Medical Language System, in systems such as MetaMap (Aronson &amp; Lang, 2010) and cTAKES (Savova et al., 2010), combined with hand-built rules and negation detection. Shared tasks such as the i2b2/VA challenges (Uzuner et al., 2011) standardized evaluation. These systems were transparent and auditable but brittle to unfamiliar phrasing and costly to maintain.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Present (the transformer era, c. 2018–present).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Contextual models — BERT (Devlin et al., 2019) and its clinical descendants BioBERT (Lee et al., 2020) and ClinicalBERT (Alsentzer et al., 2019), trained on corpora such as MIMIC-III (Johnson et al., 2016) — raised accuracy sharply, and generative models such as Med-PaLM reached passing-level medical question answering (Singhal et al., 2023). In imaging, models such as CheXNet matched clinician-level performance on specific tasks (Rajpurkar et al., 2017). The trade-off is hallucination, opacity, privacy exposure, and cost.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Future (multimodal, agentic, and governed).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The trajectory points toward large multimodal models reasoning jointly over notes, images, and labs; retrieval-grounded and agentic pipelines that cite their sources; and hybrid systems that wrap neural recall in deterministic guardrails for auditability. Governance — de-identification, provenance, evaluation harnesses, and human oversight — becomes a first-class requirement rather than an afterthought. VisitPrep is a small, concrete instance of that hybrid, governed pattern.</w:t>
      </w:r>
    </w:p>
    <w:p>
      <w:pPr>
        <w:pStyle w:val="Heading1"/>
      </w:pPr>
      <w:r>
        <w:t xml:space="preserve">4. Current trends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 center of value is shifting from extraction to generation — summarizing and drafting, not only tagging concepts.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OCR, computer vision, and NLP are converging into a single document-understanding stack.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Provenance and grounding are becoming a requirement rather than a feature; ungrounded generation is a liability in clinical settings.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Hybrid architectures — deterministic guardrails around neural models — tend to win in regulated environments.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Privacy-preserving and on-device deployment is becoming table stakes wherever protected health information is involved.</w:t>
      </w:r>
    </w:p>
    <w:p>
      <w:pPr>
        <w:pStyle w:val="Heading1"/>
      </w:pPr>
      <w:r>
        <w:t xml:space="preserve">5. The project — VisitPrep architecture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VisitPrep is a local web application built with Next.js, React, and TypeScript, with Recharts for visualization and a purpose-built clinical design system. It performs the entire pipeline locally:</w:t>
      </w:r>
    </w:p>
    <w:p>
      <w:pPr>
        <w:spacing w:after="140" w:line="276"/>
        <w:jc w:val="both"/>
      </w:pPr>
      <w:r>
        <w:rPr>
          <w:rFonts w:ascii="IBM Plex Mono" w:cs="IBM Plex Mono" w:eastAsia="IBM Plex Mono" w:hAnsi="IBM Plex Mono"/>
          <w:color w:val="0E7466"/>
          <w:sz w:val="20"/>
          <w:szCs w:val="20"/>
        </w:rPr>
        <w:t xml:space="preserve">Unstructured patient note  →  structured symptom signals  →  trend analytics  →  doctor-ready summary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 codebase is organized into four layers, with the auditable extraction logic kept entirely separate from presentation: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Data layer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(src/types, src/lib/syntheticDataset.ts): explicit TypeScript models — JournalEntry, WearableMetrics, ExtractedClinicalSignal, PatientAnalyticsSummary, and DoctorReport. The demo runs on a synthetic dataset of five patients over thirty days (150 entries); wearable telemetry is kept separate from journal text, and the dataset shape is asserted at load time.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NLP extraction layer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(src/lib/nlp): deterministic, rule-based, and fully auditable (Section 6).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Analytics layer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(src/lib/analytics): derives frequencies, distributions, and trends from the extracted signals (Section 7).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Report layer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(src/lib/report): assembles the doctor-ready summary from computed data — never from live UI state — so an exported report is reproducible (Section 7).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 interface presents this as a clinician-style workspace. Figure 1 shows the Overview: the patient captures a note, the system extracts symptom signals locally, and key metrics, discussion prompts, and a persistent safety boundary frame the screen.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overview.png" descr="overview.png" title="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ublic Sans" w:cs="Public Sans" w:eastAsia="Public Sans" w:hAnsi="Public Sans"/>
          <w:i/>
          <w:iCs/>
          <w:color w:val="6A757C"/>
          <w:sz w:val="18"/>
          <w:szCs w:val="18"/>
        </w:rPr>
        <w:t xml:space="preserve">Figure 1. Overview — journal capture with local, deterministic signal extraction, KPI cards, and a persistent safety boundary.</w:t>
      </w:r>
    </w:p>
    <w:p>
      <w:pPr>
        <w:pStyle w:val="Heading1"/>
      </w:pPr>
      <w:r>
        <w:t xml:space="preserve">6. Inside the NLP extraction pipeline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Extraction is deterministic and runs per journal entry. Each step is designed so that its output can be traced to the source text.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Sentence spanning.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The note is split into sentence spans that retain absolute character offsets, so every downstream match points to exact source characters.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Dictionary matching.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A symptom dictionary of 14 symptoms across 7 categories (gastrointestinal, energy, mood, cardiovascular, sleep, appetite, and other) is matched using weighted aliases (for example, “nauseous,” “queasy,” “sick to my stomach” for nausea). Matching is word-boundary aware and tolerant of irregular whitespace in multi-word aliases.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Assertion detection.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Each mention is classified as present, absent, uncertain, or resolved, using a negation-cue lookback, hedging cues (“maybe,” “might be,” “felt like”), and resolution cues (“went away,” “no longer”). Crucially, the negation lookback is clause-aware: its scope stops at clause boundaries such as “but,” “however,” commas, and semicolons, so “No vomiting since breakfast, but I vomited after lunch” correctly resolves to a present mention.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Severity detection.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Severity (mild, moderate, severe) is read from phrases in the evidence sentence, with graceful fallbacks to nearby context and then to the patient’s daily self-rated severity.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Temporal and injection context.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Temporal tags (morning, overnight, post-injection) are attached, and injection relatedness is inferred from entry flags (injection or dose-change day) or in-sentence phrasing, approximating a symptom occurring within about 48 hours of an injection.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Evidence span and confidence.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Every signal carries its evidence sentence, character offsets, matched text, a human-readable severity reason, and a confidence score derived from the alias weight and adjusted by assertion status, severity, and injection context (clamped between 0.20 and 0.99).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Deduplication and ranking.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 The best candidate per symptom is chosen by assertion status (present outranks uncertain, resolved, then absent), then alias weight, then match length and position, so a genuine present mention is never displaced by an earlier negated one.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As part of building the pipeline I hardened the negation logic: I fixed substring false positives (so “no” no longer fires inside “normal”), added negation contractions (“don’t have,” “isn’t”), made the lookback clause-aware, made ranking assertion-aware, and tightened over-broad aliases. Figure 2 shows how the extracted signals appear per note in the Journal timeline, color-coded by severity and annotated with injection-day and severity markers.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journal.png" descr="journal.png" title="jour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ublic Sans" w:cs="Public Sans" w:eastAsia="Public Sans" w:hAnsi="Public Sans"/>
          <w:i/>
          <w:iCs/>
          <w:color w:val="6A757C"/>
          <w:sz w:val="18"/>
          <w:szCs w:val="18"/>
        </w:rPr>
        <w:t xml:space="preserve">Figure 2. Journal — a per-note timeline showing the symptom signals extracted from each note, color-coded by severity.</w:t>
      </w:r>
    </w:p>
    <w:p>
      <w:pPr>
        <w:pStyle w:val="Heading1"/>
      </w:pPr>
      <w:r>
        <w:t xml:space="preserve">7. Analytics and the doctor-ready report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 analytics layer aggregates the extracted signals into symptom and category frequencies, a top-symptom ranking, an injection-adjacent symptom breakdown, and a severity distribution. For each wearable metric it computes first-versus-last values and a week-one versus week-four average change — weight, sleep, steps, resting heart rate, active minutes, and strength-training minutes. Figure 3 shows these rendered as clinical, restrained charts.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nalytics.png" descr="analytics.png" title="analy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ublic Sans" w:cs="Public Sans" w:eastAsia="Public Sans" w:hAnsi="Public Sans"/>
          <w:i/>
          <w:iCs/>
          <w:color w:val="6A757C"/>
          <w:sz w:val="18"/>
          <w:szCs w:val="18"/>
        </w:rPr>
        <w:t xml:space="preserve">Figure 3. Analytics — symptom frequency, weight trend, sleep and resting heart rate, activity, and a symptom-severity timeline.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 report layer assembles a deterministic, doctor-ready summary: a 30-day snapshot, GLP-1 medication context (including which symptoms occurred in injection-adjacent windows), symptom and wearable highlights, and discussion prompts. The evidence it surfaces is chosen by a transparent, extractive selection algorithm: each entry is scored (roughly, signals × 2, plus moderate signals × 3, plus bonuses for injection and dose-change days), and the algorithm greedily selects entries that introduce a new symptom for diversity, capping the set. Each selected note is shown verbatim with the matched phrase highlighted, and a safety disclaimer is always included. Figure 4 shows the result.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doctor-report.png" descr="doctor-report.png" title="doctor-re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ublic Sans" w:cs="Public Sans" w:eastAsia="Public Sans" w:hAnsi="Public Sans"/>
          <w:i/>
          <w:iCs/>
          <w:color w:val="6A757C"/>
          <w:sz w:val="18"/>
          <w:szCs w:val="18"/>
        </w:rPr>
        <w:t xml:space="preserve">Figure 4. Doctor Report — a source-grounded summary; every claim traces to a note, with the matched phrase highlighted.</w:t>
      </w:r>
    </w:p>
    <w:p>
      <w:pPr>
        <w:pStyle w:val="Heading1"/>
      </w:pPr>
      <w:r>
        <w:t xml:space="preserve">8. Evaluation and results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Extraction quality is measured by a deterministic evaluation harness (npm run nlp:evaluate) that scores the pipeline against annotated synthetic data (150 entries, 156 signals). On that set the system achieves precision 1.00, recall 1.00, and F1 1.00, with severity accuracy 0.94, evidence-span coverage 1.00 (every signal’s reported span maps back to the exact source text), zero negation false positives, and injection-context accuracy 1.00.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b/>
          <w:bCs/>
          <w:color w:val="353D42"/>
          <w:sz w:val="22"/>
          <w:szCs w:val="22"/>
        </w:rPr>
        <w:t xml:space="preserve">An honest caveat: </w:t>
      </w: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these figures are computed on a curated synthetic dataset that the rules were tuned against. They demonstrate that the pipeline is internally correct and that its provenance guarantees hold; they do not establish generalization to real-world clinical charts, which would require de-identified clinical data and blind evaluation.</w:t>
      </w:r>
    </w:p>
    <w:p>
      <w:pPr>
        <w:pStyle w:val="Heading1"/>
      </w:pPr>
      <w:r>
        <w:t xml:space="preserve">9. Safety, limitations, and future work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VisitPrep organizes, summarizes, and visualizes patient-reported data. It does not diagnose, determine causality, recommend treatment or medication changes, or perform emergency triage. Its generated language is deliberately hedged — “reported,” “overlapped with,” “may be useful to discuss” — never “caused by” or “diagnosed as.” All data is synthetic, and there are no external model or API calls.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The main limitation is coverage: a rule-based dictionary handles the symptoms it knows and phrasing near what it expects. The roadmap addresses this while preserving the audit trail: local sentence embeddings with clustering and maximal-marginal-relevance selection for semantic evidence; hybrid neural recall behind the same typed interfaces (the extraction-method field already anticipates this); and OCR intake so scanned notes can enter the same pipeline. In each case the principle is unchanged — neural methods may improve recall, but every surfaced result must remain traceable to its source.</w:t>
      </w:r>
    </w:p>
    <w:p>
      <w:pPr>
        <w:spacing w:after="140" w:line="276"/>
        <w:jc w:val="both"/>
      </w:pPr>
      <w:r>
        <w:rPr>
          <w:rFonts w:ascii="Public Sans" w:cs="Public Sans" w:eastAsia="Public Sans" w:hAnsi="Public Sans"/>
          <w:color w:val="353D42"/>
          <w:sz w:val="22"/>
          <w:szCs w:val="22"/>
        </w:rPr>
        <w:t xml:space="preserve">As a proof of concept, VisitPrep shows that a deterministic, provenance-first system can deliver the full clinical-NLP value chain — capture, extraction, analytics, and a doctor-ready summary — in a form that is auditable end to end, which is exactly the property that the next generation of clinical language technology will have to earn.</w:t>
      </w:r>
    </w:p>
    <w:p>
      <w:r>
        <w:br w:type="page"/>
      </w:r>
    </w:p>
    <w:p>
      <w:pPr>
        <w:pStyle w:val="Heading1"/>
      </w:pPr>
      <w:r>
        <w:t xml:space="preserve">References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Alsentzer, E., Murphy, J. R., Boag, W., Weng, W.-H., Jin, D., Naumann, T., &amp; McDermott, M. B. A. (2019). Publicly available clinical BERT embeddings. Proceedings of the 2nd Clinical NLP Workshop (NAACL 2019), 72–78.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Aronson, A. R., &amp; Lang, F. M. (2010). An overview of MetaMap: Historical perspective and recent advances. Journal of the American Medical Informatics Association, 17(3), 229–236.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Devlin, J., Chang, M.-W., Lee, K., &amp; Toutanova, K. (2019). BERT: Pre-training of deep bidirectional transformers for language understanding. Proceedings of NAACL-HLT 2019, 4171–4186.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Johnson, A. E. W., Pollard, T. J., Shen, L., Lehman, L. H., Feng, M., Ghassemi, M., … Mark, R. G. (2016). MIMIC-III, a freely accessible critical care database. Scientific Data, 3, 160035.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Lee, J., Yoon, W., Kim, S., Kim, D., Kim, S., So, C. H., &amp; Kang, J. (2020). BioBERT: A pre-trained biomedical language representation model for biomedical text mining. Bioinformatics, 36(4), 1234–1240.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Office of the National Coordinator for Health Information Technology. (2020). 21st Century Cures Act: Interoperability, information blocking, and the ONC health IT certification program (Final Rule). U.S. Department of Health and Human Services.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Rajpurkar, P., Irvin, J., Zhu, K., Yang, B., Mehta, H., Duan, T., … Ng, A. Y. (2017). CheXNet: Radiologist-level pneumonia detection on chest X-rays with deep learning. arXiv:1711.05225.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Savova, G. K., Masanz, J. J., Ogren, P. V., Zheng, J., Sohn, S., Kipper-Schuler, K. C., &amp; Chute, C. G. (2010). Mayo clinical Text Analysis and Knowledge Extraction System (cTAKES): Architecture, component evaluation and applications. Journal of the American Medical Informatics Association, 17(5), 507–513.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Singhal, K., Azizi, S., Tu, T., Mahdavi, S. S., Wei, J., Chung, H. W., … Natarajan, V. (2023). Large language models encode clinical knowledge. Nature, 620, 172–180.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U.S. Department of Health and Human Services. (2012). Guidance regarding methods for de-identification of protected health information in accordance with the HIPAA Privacy Rule.</w:t>
      </w:r>
    </w:p>
    <w:p>
      <w:pPr>
        <w:spacing w:after="120" w:line="264"/>
        <w:ind w:left="720" w:hanging="720"/>
      </w:pPr>
      <w:r>
        <w:rPr>
          <w:rFonts w:ascii="Public Sans" w:cs="Public Sans" w:eastAsia="Public Sans" w:hAnsi="Public Sans"/>
          <w:color w:val="353D42"/>
          <w:sz w:val="20"/>
          <w:szCs w:val="20"/>
        </w:rPr>
        <w:t xml:space="preserve">Uzuner, Ö., South, B. R., Shen, S., &amp; DuVall, S. L. (2011). 2010 i2b2/VA challenge on concepts, assertions, and relations in clinical text. Journal of the American Medical Informatics Association, 18(5), 552–556.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ublic Sans" w:cs="Public Sans" w:eastAsia="Public Sans" w:hAnsi="Public Sans"/>
        <w:color w:val="353D4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Public Sans" w:cs="Public Sans" w:eastAsia="Public Sans" w:hAnsi="Public Sans"/>
      <w:b/>
      <w:bCs/>
      <w:color w:val="0E7466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Public Sans" w:cs="Public Sans" w:eastAsia="Public Sans" w:hAnsi="Public Sans"/>
      <w:b/>
      <w:bCs/>
      <w:color w:val="151A1D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3467cdc484379d358fdd1af968b6e2b6ee7091.png"/><Relationship Id="rId8" Type="http://schemas.openxmlformats.org/officeDocument/2006/relationships/image" Target="media/83771d8b47ee29c2cfbad7827d0faee170a7cd7b.png"/><Relationship Id="rId9" Type="http://schemas.openxmlformats.org/officeDocument/2006/relationships/image" Target="media/8364defc99055e516baa9f6bac39e194c67dc30b.png"/><Relationship Id="rId10" Type="http://schemas.openxmlformats.org/officeDocument/2006/relationships/image" Target="media/c149384775dbe2f8ad903fde4bc19de9204f347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2026-07-13T21:46:57.825Z</dcterms:created>
  <dcterms:modified xsi:type="dcterms:W3CDTF">2026-07-13T21:46:57.831Z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