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VisitPrep: A Deterministic, Provenance-First Clinical Natural Language Processing Pipeline for Patient-Reported Notes</w:t>
      </w:r>
    </w:p>
    <w:p>
      <w:pPr>
        <w:spacing w:after="20"/>
        <w:jc w:val="center"/>
      </w:pPr>
      <w:r>
        <w:rPr>
          <w:rFonts w:ascii="Times New Roman" w:cs="Times New Roman" w:eastAsia="Times New Roman" w:hAnsi="Times New Roman"/>
          <w:sz w:val="22"/>
          <w:szCs w:val="22"/>
        </w:rPr>
        <w:t xml:space="preserve">Shubham Pareek</w:t>
      </w:r>
    </w:p>
    <w:p>
      <w:pPr>
        <w:pBdr>
          <w:bottom w:val="single" w:color="0E7466" w:sz="6" w:space="8"/>
        </w:pBdr>
        <w:spacing w:after="140"/>
        <w:jc w:val="center"/>
      </w:pPr>
      <w:r>
        <w:rPr>
          <w:rFonts w:ascii="Times New Roman" w:cs="Times New Roman" w:eastAsia="Times New Roman" w:hAnsi="Times New Roman"/>
          <w:color w:val="444444"/>
          <w:sz w:val="19"/>
          <w:szCs w:val="19"/>
        </w:rPr>
        <w:t xml:space="preserve">Columbia University   |   Intern Assessment — Topic 1: Clinical Natural Language Technology</w:t>
      </w:r>
    </w:p>
    <w:p>
      <w:pPr>
        <w:sectPr>
          <w:pgSz w:w="12240" w:h="15840" w:orient="portrait"/>
          <w:pgMar w:top="1040" w:right="1040" w:bottom="1040" w:left="1040" w:header="708" w:footer="708" w:gutter="0"/>
          <w:pgNumType/>
          <w:docGrid w:linePitch="360"/>
        </w:sectPr>
      </w:pPr>
    </w:p>
    <w:p>
      <w:pPr>
        <w:spacing w:after="70" w:before="60"/>
      </w:pPr>
      <w:r>
        <w:rPr>
          <w:rFonts w:ascii="Times New Roman" w:cs="Times New Roman" w:eastAsia="Times New Roman" w:hAnsi="Times New Roman"/>
          <w:b/>
          <w:bCs/>
          <w:sz w:val="21"/>
          <w:szCs w:val="21"/>
        </w:rPr>
        <w:t xml:space="preserve">ABSTRACT</w:t>
      </w:r>
    </w:p>
    <w:p>
      <w:pPr>
        <w:spacing w:after="80" w:line="252"/>
        <w:jc w:val="both"/>
      </w:pPr>
      <w:r>
        <w:rPr>
          <w:rFonts w:ascii="Times New Roman" w:cs="Times New Roman" w:eastAsia="Times New Roman" w:hAnsi="Times New Roman"/>
          <w:sz w:val="20"/>
          <w:szCs w:val="20"/>
        </w:rPr>
        <w:t xml:space="preserve">Approximately 80% of clinical information exists as unstructured text, and the dominant neural methods for processing it remain difficult to audit in regulated settings. This paper presents </w:t>
      </w:r>
      <w:r>
        <w:rPr>
          <w:rFonts w:ascii="Times New Roman" w:cs="Times New Roman" w:eastAsia="Times New Roman" w:hAnsi="Times New Roman"/>
          <w:b/>
          <w:bCs/>
          <w:sz w:val="20"/>
          <w:szCs w:val="20"/>
        </w:rPr>
        <w:t xml:space="preserve">VisitPrep</w:t>
      </w:r>
      <w:r>
        <w:rPr>
          <w:rFonts w:ascii="Times New Roman" w:cs="Times New Roman" w:eastAsia="Times New Roman" w:hAnsi="Times New Roman"/>
          <w:sz w:val="20"/>
          <w:szCs w:val="20"/>
        </w:rPr>
        <w:t xml:space="preserve">, a proof-of-concept web application that demonstrates the full clinical natural language processing (NLP) value chain — free-text patient note → structured symptom signals → trend analytics → clinician-ready summary — using entirely deterministic, on-device processing. Every extracted signal carries an exact evidence span, an assertion status computed by clause-aware negation, a severity estimate, and a confidence score, making the system auditable end to end. On a 150-entry annotated synthetic corpus (156 gold signals), the pipeline achieves precision, recall, and F1 of 1.00, severity accuracy of 0.94, evidence-span coverage of 1.00, and zero negation false positives. These results demonstrate internal correctness of the pipeline rather than real-world generalization; the architecture is explicitly designed so neural components can later be added behind the same typed interfaces without sacrificing the audit trail.</w:t>
      </w:r>
    </w:p>
    <w:p>
      <w:pPr>
        <w:spacing w:after="70" w:before="160"/>
      </w:pPr>
      <w:r>
        <w:rPr>
          <w:rFonts w:ascii="Times New Roman" w:cs="Times New Roman" w:eastAsia="Times New Roman" w:hAnsi="Times New Roman"/>
          <w:b/>
          <w:bCs/>
          <w:sz w:val="21"/>
          <w:szCs w:val="21"/>
        </w:rPr>
        <w:t xml:space="preserve">I. INTRODUCTION</w:t>
      </w:r>
    </w:p>
    <w:p>
      <w:pPr>
        <w:spacing w:after="80" w:line="252"/>
        <w:jc w:val="both"/>
      </w:pPr>
      <w:r>
        <w:rPr>
          <w:rFonts w:ascii="Times New Roman" w:cs="Times New Roman" w:eastAsia="Times New Roman" w:hAnsi="Times New Roman"/>
          <w:sz w:val="20"/>
          <w:szCs w:val="20"/>
        </w:rPr>
        <w:t xml:space="preserve">Clinical natural language technology converts unstructured clinical language — physician notes, patient-reported narratives, discharge summaries, scanned documents — into structured, computable data. The field spans five capability layers: core NLP (concepts, assertions, relations); optical character recognition (OCR) for scanned and faxed documents; computer vision over medical images and document layout; large language models (LLMs) that summarize and reason over text; and large multimodal models (LMMs) that reason jointly over text, images, and structured data.</w:t>
      </w:r>
    </w:p>
    <w:p>
      <w:pPr>
        <w:spacing w:after="80" w:line="252"/>
        <w:jc w:val="both"/>
      </w:pPr>
      <w:r>
        <w:rPr>
          <w:rFonts w:ascii="Times New Roman" w:cs="Times New Roman" w:eastAsia="Times New Roman" w:hAnsi="Times New Roman"/>
          <w:sz w:val="20"/>
          <w:szCs w:val="20"/>
        </w:rPr>
        <w:t xml:space="preserve">This work asks a narrow engineering question: how much of the clinical-NLP value chain can be delivered by a fully deterministic, provenance-first system — one in which every output is traceable to the exact source phrase that produced it? The question matters because auditability, not raw accuracy, is frequently the binding constraint in regulated healthcare. The contributions are: (i) a working end-to-end pipeline from free-text patient notes to a clinician-ready summary; (ii) a clause-aware, assertion-ranked extraction method with per-signal evidence spans and confidence scores; and (iii) a deterministic evaluation harness with honest reporting of its limits.</w:t>
      </w:r>
    </w:p>
    <w:p>
      <w:pPr>
        <w:spacing w:after="70" w:before="160"/>
      </w:pPr>
      <w:r>
        <w:rPr>
          <w:rFonts w:ascii="Times New Roman" w:cs="Times New Roman" w:eastAsia="Times New Roman" w:hAnsi="Times New Roman"/>
          <w:b/>
          <w:bCs/>
          <w:sz w:val="21"/>
          <w:szCs w:val="21"/>
        </w:rPr>
        <w:t xml:space="preserve">II. BACKGROUND AND TRENDS</w:t>
      </w:r>
    </w:p>
    <w:p>
      <w:pPr>
        <w:spacing w:after="80" w:line="252"/>
        <w:jc w:val="both"/>
      </w:pPr>
      <w:r>
        <w:rPr>
          <w:rFonts w:ascii="Times New Roman" w:cs="Times New Roman" w:eastAsia="Times New Roman" w:hAnsi="Times New Roman"/>
          <w:b/>
          <w:bCs/>
          <w:sz w:val="20"/>
          <w:szCs w:val="20"/>
        </w:rPr>
        <w:t xml:space="preserve">Past (c. 2000–2015). </w:t>
      </w:r>
      <w:r>
        <w:rPr>
          <w:rFonts w:ascii="Times New Roman" w:cs="Times New Roman" w:eastAsia="Times New Roman" w:hAnsi="Times New Roman"/>
          <w:sz w:val="20"/>
          <w:szCs w:val="20"/>
        </w:rPr>
        <w:t xml:space="preserve">Early clinical NLP relied on dictionary and ontology lookup against the UMLS, exemplified by MetaMap [1] and cTAKES [2], with hand-built rules and negation heuristics; the i2b2/VA shared tasks standardized evaluation of concepts, assertions, and relations [3]. These systems were transparent and cheap but brittle to phrasing.</w:t>
      </w:r>
    </w:p>
    <w:p>
      <w:pPr>
        <w:spacing w:after="80" w:line="252"/>
        <w:jc w:val="both"/>
      </w:pPr>
      <w:r>
        <w:rPr>
          <w:rFonts w:ascii="Times New Roman" w:cs="Times New Roman" w:eastAsia="Times New Roman" w:hAnsi="Times New Roman"/>
          <w:b/>
          <w:bCs/>
          <w:sz w:val="20"/>
          <w:szCs w:val="20"/>
        </w:rPr>
        <w:t xml:space="preserve">Present (c. 2018–). </w:t>
      </w:r>
      <w:r>
        <w:rPr>
          <w:rFonts w:ascii="Times New Roman" w:cs="Times New Roman" w:eastAsia="Times New Roman" w:hAnsi="Times New Roman"/>
          <w:sz w:val="20"/>
          <w:szCs w:val="20"/>
        </w:rPr>
        <w:t xml:space="preserve">Contextual transformers — BERT [4] and clinical descendants BioBERT [5] and ClinicalBERT [6], trained on corpora such as MIMIC-III [7] — sharply improved accuracy; generative models reached passing-level medical question answering [8], and imaging models matched clinician-level performance on specific tasks [9]. The cost is hallucination, opacity, privacy exposure, and compute.</w:t>
      </w:r>
    </w:p>
    <w:p>
      <w:pPr>
        <w:spacing w:after="80" w:line="252"/>
        <w:jc w:val="both"/>
      </w:pPr>
      <w:r>
        <w:rPr>
          <w:rFonts w:ascii="Times New Roman" w:cs="Times New Roman" w:eastAsia="Times New Roman" w:hAnsi="Times New Roman"/>
          <w:b/>
          <w:bCs/>
          <w:sz w:val="20"/>
          <w:szCs w:val="20"/>
        </w:rPr>
        <w:t xml:space="preserve">Future. </w:t>
      </w:r>
      <w:r>
        <w:rPr>
          <w:rFonts w:ascii="Times New Roman" w:cs="Times New Roman" w:eastAsia="Times New Roman" w:hAnsi="Times New Roman"/>
          <w:sz w:val="20"/>
          <w:szCs w:val="20"/>
        </w:rPr>
        <w:t xml:space="preserve">The trajectory is multimodal, agentic, and governed: retrieval-grounded pipelines that cite sources, and hybrid systems that wrap neural recall in deterministic guardrails, deployed under de-identification and information-sharing rules [10, 11]. Five trends follow: value shifting from extraction to generation; OCR, vision, and NLP converging into document understanding; provenance becoming a requirement rather than a feature; hybrid architectures prevailing in regulated settings; and privacy-preserving, on-device deployment becoming table stakes. VisitPrep is a deliberate, small-scale instance of this hybrid, governed pattern.</w:t>
      </w:r>
    </w:p>
    <w:p>
      <w:pPr>
        <w:spacing w:after="70" w:before="160"/>
      </w:pPr>
      <w:r>
        <w:rPr>
          <w:rFonts w:ascii="Times New Roman" w:cs="Times New Roman" w:eastAsia="Times New Roman" w:hAnsi="Times New Roman"/>
          <w:b/>
          <w:bCs/>
          <w:sz w:val="21"/>
          <w:szCs w:val="21"/>
        </w:rPr>
        <w:t xml:space="preserve">III. SYSTEM DESIGN</w:t>
      </w:r>
    </w:p>
    <w:p>
      <w:pPr>
        <w:spacing w:after="60" w:before="110"/>
      </w:pPr>
      <w:r>
        <w:rPr>
          <w:rFonts w:ascii="Times New Roman" w:cs="Times New Roman" w:eastAsia="Times New Roman" w:hAnsi="Times New Roman"/>
          <w:b/>
          <w:bCs/>
          <w:i/>
          <w:iCs/>
          <w:sz w:val="20"/>
          <w:szCs w:val="20"/>
        </w:rPr>
        <w:t xml:space="preserve">A. Architecture</w:t>
      </w:r>
    </w:p>
    <w:p>
      <w:pPr>
        <w:spacing w:after="80" w:line="252"/>
        <w:jc w:val="both"/>
      </w:pPr>
      <w:r>
        <w:rPr>
          <w:rFonts w:ascii="Times New Roman" w:cs="Times New Roman" w:eastAsia="Times New Roman" w:hAnsi="Times New Roman"/>
          <w:sz w:val="20"/>
          <w:szCs w:val="20"/>
        </w:rPr>
        <w:t xml:space="preserve">VisitPrep is a local Next.js/TypeScript application organized in four layers, with extraction fully separated from presentation. (1) A </w:t>
      </w:r>
      <w:r>
        <w:rPr>
          <w:rFonts w:ascii="Times New Roman" w:cs="Times New Roman" w:eastAsia="Times New Roman" w:hAnsi="Times New Roman"/>
          <w:i/>
          <w:iCs/>
          <w:sz w:val="20"/>
          <w:szCs w:val="20"/>
        </w:rPr>
        <w:t xml:space="preserve">data layer</w:t>
      </w:r>
      <w:r>
        <w:rPr>
          <w:rFonts w:ascii="Times New Roman" w:cs="Times New Roman" w:eastAsia="Times New Roman" w:hAnsi="Times New Roman"/>
          <w:sz w:val="20"/>
          <w:szCs w:val="20"/>
        </w:rPr>
        <w:t xml:space="preserve"> defines explicit typed models (JournalEntry, WearableMetrics, ExtractedClinicalSignal) over a synthetic corpus of five patients × 30 days; wearable telemetry is kept separate from journal text and no protected health information is used. (2) An </w:t>
      </w:r>
      <w:r>
        <w:rPr>
          <w:rFonts w:ascii="Times New Roman" w:cs="Times New Roman" w:eastAsia="Times New Roman" w:hAnsi="Times New Roman"/>
          <w:i/>
          <w:iCs/>
          <w:sz w:val="20"/>
          <w:szCs w:val="20"/>
        </w:rPr>
        <w:t xml:space="preserve">NLP extraction layer</w:t>
      </w:r>
      <w:r>
        <w:rPr>
          <w:rFonts w:ascii="Times New Roman" w:cs="Times New Roman" w:eastAsia="Times New Roman" w:hAnsi="Times New Roman"/>
          <w:sz w:val="20"/>
          <w:szCs w:val="20"/>
        </w:rPr>
        <w:t xml:space="preserve"> produces structured signals (Sec. III-B). (3) An </w:t>
      </w:r>
      <w:r>
        <w:rPr>
          <w:rFonts w:ascii="Times New Roman" w:cs="Times New Roman" w:eastAsia="Times New Roman" w:hAnsi="Times New Roman"/>
          <w:i/>
          <w:iCs/>
          <w:sz w:val="20"/>
          <w:szCs w:val="20"/>
        </w:rPr>
        <w:t xml:space="preserve">analytics layer</w:t>
      </w:r>
      <w:r>
        <w:rPr>
          <w:rFonts w:ascii="Times New Roman" w:cs="Times New Roman" w:eastAsia="Times New Roman" w:hAnsi="Times New Roman"/>
          <w:sz w:val="20"/>
          <w:szCs w:val="20"/>
        </w:rPr>
        <w:t xml:space="preserve"> derives frequencies, severity distributions, and week-one versus week-four wearable trends. (4) A </w:t>
      </w:r>
      <w:r>
        <w:rPr>
          <w:rFonts w:ascii="Times New Roman" w:cs="Times New Roman" w:eastAsia="Times New Roman" w:hAnsi="Times New Roman"/>
          <w:i/>
          <w:iCs/>
          <w:sz w:val="20"/>
          <w:szCs w:val="20"/>
        </w:rPr>
        <w:t xml:space="preserve">report layer</w:t>
      </w:r>
      <w:r>
        <w:rPr>
          <w:rFonts w:ascii="Times New Roman" w:cs="Times New Roman" w:eastAsia="Times New Roman" w:hAnsi="Times New Roman"/>
          <w:sz w:val="20"/>
          <w:szCs w:val="20"/>
        </w:rPr>
        <w:t xml:space="preserve"> assembles a clinician-ready summary from computed data only — never from live UI state — so exports are reproducible.</w:t>
      </w:r>
    </w:p>
    <w:p>
      <w:pPr>
        <w:spacing w:after="60" w:before="110"/>
      </w:pPr>
      <w:r>
        <w:rPr>
          <w:rFonts w:ascii="Times New Roman" w:cs="Times New Roman" w:eastAsia="Times New Roman" w:hAnsi="Times New Roman"/>
          <w:b/>
          <w:bCs/>
          <w:i/>
          <w:iCs/>
          <w:sz w:val="20"/>
          <w:szCs w:val="20"/>
        </w:rPr>
        <w:t xml:space="preserve">B. Extraction Pipeline</w:t>
      </w:r>
    </w:p>
    <w:p>
      <w:pPr>
        <w:spacing w:after="80" w:line="252"/>
        <w:jc w:val="both"/>
      </w:pPr>
      <w:r>
        <w:rPr>
          <w:rFonts w:ascii="Times New Roman" w:cs="Times New Roman" w:eastAsia="Times New Roman" w:hAnsi="Times New Roman"/>
          <w:sz w:val="20"/>
          <w:szCs w:val="20"/>
        </w:rPr>
        <w:t xml:space="preserve">Extraction is deterministic and proceeds in seven steps per note. </w:t>
      </w:r>
      <w:r>
        <w:rPr>
          <w:rFonts w:ascii="Times New Roman" w:cs="Times New Roman" w:eastAsia="Times New Roman" w:hAnsi="Times New Roman"/>
          <w:b/>
          <w:bCs/>
          <w:sz w:val="20"/>
          <w:szCs w:val="20"/>
        </w:rPr>
        <w:t xml:space="preserve">(1) Sentence spanning</w:t>
      </w:r>
      <w:r>
        <w:rPr>
          <w:rFonts w:ascii="Times New Roman" w:cs="Times New Roman" w:eastAsia="Times New Roman" w:hAnsi="Times New Roman"/>
          <w:sz w:val="20"/>
          <w:szCs w:val="20"/>
        </w:rPr>
        <w:t xml:space="preserve"> splits the note into spans that retain absolute character offsets. </w:t>
      </w:r>
      <w:r>
        <w:rPr>
          <w:rFonts w:ascii="Times New Roman" w:cs="Times New Roman" w:eastAsia="Times New Roman" w:hAnsi="Times New Roman"/>
          <w:b/>
          <w:bCs/>
          <w:sz w:val="20"/>
          <w:szCs w:val="20"/>
        </w:rPr>
        <w:t xml:space="preserve">(2) Dictionary matching</w:t>
      </w:r>
      <w:r>
        <w:rPr>
          <w:rFonts w:ascii="Times New Roman" w:cs="Times New Roman" w:eastAsia="Times New Roman" w:hAnsi="Times New Roman"/>
          <w:sz w:val="20"/>
          <w:szCs w:val="20"/>
        </w:rPr>
        <w:t xml:space="preserve"> covers 14 symptoms in 7 categories via weighted aliases with word-boundary, whitespace-tolerant matching. </w:t>
      </w:r>
      <w:r>
        <w:rPr>
          <w:rFonts w:ascii="Times New Roman" w:cs="Times New Roman" w:eastAsia="Times New Roman" w:hAnsi="Times New Roman"/>
          <w:b/>
          <w:bCs/>
          <w:sz w:val="20"/>
          <w:szCs w:val="20"/>
        </w:rPr>
        <w:t xml:space="preserve">(3) Assertion detection</w:t>
      </w:r>
      <w:r>
        <w:rPr>
          <w:rFonts w:ascii="Times New Roman" w:cs="Times New Roman" w:eastAsia="Times New Roman" w:hAnsi="Times New Roman"/>
          <w:sz w:val="20"/>
          <w:szCs w:val="20"/>
        </w:rPr>
        <w:t xml:space="preserve"> classifies each mention as present, absent, uncertain, or resolved using a negation-cue lookback with hedging and resolution cues; the lookback is </w:t>
      </w:r>
      <w:r>
        <w:rPr>
          <w:rFonts w:ascii="Times New Roman" w:cs="Times New Roman" w:eastAsia="Times New Roman" w:hAnsi="Times New Roman"/>
          <w:i/>
          <w:iCs/>
          <w:sz w:val="20"/>
          <w:szCs w:val="20"/>
        </w:rPr>
        <w:t xml:space="preserve">clause-aware</w:t>
      </w:r>
      <w:r>
        <w:rPr>
          <w:rFonts w:ascii="Times New Roman" w:cs="Times New Roman" w:eastAsia="Times New Roman" w:hAnsi="Times New Roman"/>
          <w:sz w:val="20"/>
          <w:szCs w:val="20"/>
        </w:rPr>
        <w:t xml:space="preserve">, terminating at boundaries such as “but,” “however,” commas, and semicolons, so “no vomiting since breakfast, but I vomited after lunch” correctly yields a present assertion. </w:t>
      </w:r>
      <w:r>
        <w:rPr>
          <w:rFonts w:ascii="Times New Roman" w:cs="Times New Roman" w:eastAsia="Times New Roman" w:hAnsi="Times New Roman"/>
          <w:b/>
          <w:bCs/>
          <w:sz w:val="20"/>
          <w:szCs w:val="20"/>
        </w:rPr>
        <w:t xml:space="preserve">(4) Severity detection</w:t>
      </w:r>
      <w:r>
        <w:rPr>
          <w:rFonts w:ascii="Times New Roman" w:cs="Times New Roman" w:eastAsia="Times New Roman" w:hAnsi="Times New Roman"/>
          <w:sz w:val="20"/>
          <w:szCs w:val="20"/>
        </w:rPr>
        <w:t xml:space="preserve"> maps phrase evidence to mild/moderate/severe, falling back to nearby context and then to the patient’s daily self-rating. </w:t>
      </w:r>
      <w:r>
        <w:rPr>
          <w:rFonts w:ascii="Times New Roman" w:cs="Times New Roman" w:eastAsia="Times New Roman" w:hAnsi="Times New Roman"/>
          <w:b/>
          <w:bCs/>
          <w:sz w:val="20"/>
          <w:szCs w:val="20"/>
        </w:rPr>
        <w:t xml:space="preserve">(5) Temporal and injection context</w:t>
      </w:r>
      <w:r>
        <w:rPr>
          <w:rFonts w:ascii="Times New Roman" w:cs="Times New Roman" w:eastAsia="Times New Roman" w:hAnsi="Times New Roman"/>
          <w:sz w:val="20"/>
          <w:szCs w:val="20"/>
        </w:rPr>
        <w:t xml:space="preserve"> attaches time-of-day tags and flags symptoms within an approximately 48-hour window of a recorded injection or dose change. </w:t>
      </w:r>
      <w:r>
        <w:rPr>
          <w:rFonts w:ascii="Times New Roman" w:cs="Times New Roman" w:eastAsia="Times New Roman" w:hAnsi="Times New Roman"/>
          <w:b/>
          <w:bCs/>
          <w:sz w:val="20"/>
          <w:szCs w:val="20"/>
        </w:rPr>
        <w:t xml:space="preserve">(6) Evidence and confidence</w:t>
      </w:r>
      <w:r>
        <w:rPr>
          <w:rFonts w:ascii="Times New Roman" w:cs="Times New Roman" w:eastAsia="Times New Roman" w:hAnsi="Times New Roman"/>
          <w:sz w:val="20"/>
          <w:szCs w:val="20"/>
        </w:rPr>
        <w:t xml:space="preserve">: every signal carries its evidence sentence and offsets, matched text, a severity rationale, and a confidence score derived from alias weight and adjusted by assertion, severity, and context (clamped to [0.20, 0.99]). </w:t>
      </w:r>
      <w:r>
        <w:rPr>
          <w:rFonts w:ascii="Times New Roman" w:cs="Times New Roman" w:eastAsia="Times New Roman" w:hAnsi="Times New Roman"/>
          <w:b/>
          <w:bCs/>
          <w:sz w:val="20"/>
          <w:szCs w:val="20"/>
        </w:rPr>
        <w:t xml:space="preserve">(7) Deduplication and ranking</w:t>
      </w:r>
      <w:r>
        <w:rPr>
          <w:rFonts w:ascii="Times New Roman" w:cs="Times New Roman" w:eastAsia="Times New Roman" w:hAnsi="Times New Roman"/>
          <w:sz w:val="20"/>
          <w:szCs w:val="20"/>
        </w:rPr>
        <w:t xml:space="preserve"> selects the best candidate per symptom by assertion status (present &gt; uncertain &gt; resolved &gt; absent), then alias weight, then match length and position, so a genuine present mention is never displaced by an earlier negated one.</w:t>
      </w:r>
    </w:p>
    <w:p>
      <w:pPr>
        <w:spacing w:after="80" w:line="252"/>
        <w:jc w:val="both"/>
      </w:pPr>
      <w:r>
        <w:rPr>
          <w:rFonts w:ascii="Times New Roman" w:cs="Times New Roman" w:eastAsia="Times New Roman" w:hAnsi="Times New Roman"/>
          <w:sz w:val="20"/>
          <w:szCs w:val="20"/>
        </w:rPr>
        <w:t xml:space="preserve">Robustness hardening included word-boundary negation (“no” no longer fires inside “normal”), contraction negations (“don’t have,” “isn’t”), clause-aware scope, assertion-aware ranking, and removal of over-broad aliases.</w:t>
      </w:r>
    </w:p>
    <w:p>
      <w:pPr>
        <w:spacing w:after="60" w:before="110"/>
      </w:pPr>
      <w:r>
        <w:rPr>
          <w:rFonts w:ascii="Times New Roman" w:cs="Times New Roman" w:eastAsia="Times New Roman" w:hAnsi="Times New Roman"/>
          <w:b/>
          <w:bCs/>
          <w:i/>
          <w:iCs/>
          <w:sz w:val="20"/>
          <w:szCs w:val="20"/>
        </w:rPr>
        <w:t xml:space="preserve">C. Analytics and Report Generation</w:t>
      </w:r>
    </w:p>
    <w:p>
      <w:pPr>
        <w:spacing w:after="80" w:line="252"/>
        <w:jc w:val="both"/>
      </w:pPr>
      <w:r>
        <w:rPr>
          <w:rFonts w:ascii="Times New Roman" w:cs="Times New Roman" w:eastAsia="Times New Roman" w:hAnsi="Times New Roman"/>
          <w:sz w:val="20"/>
          <w:szCs w:val="20"/>
        </w:rPr>
        <w:t xml:space="preserve">The analytics layer computes symptom and category frequencies, an injection-adjacent breakdown, a severity distribution, and per-metric wearable trends (first/last values and week-1 vs. week-4 means). The report layer selects evidence notes by a transparent extractive score, </w:t>
      </w:r>
      <w:r>
        <w:rPr>
          <w:rFonts w:ascii="Times New Roman" w:cs="Times New Roman" w:eastAsia="Times New Roman" w:hAnsi="Times New Roman"/>
          <w:i/>
          <w:iCs/>
          <w:sz w:val="20"/>
          <w:szCs w:val="20"/>
        </w:rPr>
        <w:t xml:space="preserve">s = 2·n(signals) + 3·n(moderate) + 2·[injection day] + 3·[dose-change day]</w:t>
      </w:r>
      <w:r>
        <w:rPr>
          <w:rFonts w:ascii="Times New Roman" w:cs="Times New Roman" w:eastAsia="Times New Roman" w:hAnsi="Times New Roman"/>
          <w:sz w:val="20"/>
          <w:szCs w:val="20"/>
        </w:rPr>
        <w:t xml:space="preserve">, greedily admitting notes that introduce a new symptom (capped at five) — a diversity heuristic in the spirit of maximal marginal relevance. Selected notes appear verbatim with the matched phrase highlighted; every report includes a safety disclaimer and uses hedged language (“reported,” “overlapped with,” “may be useful to discuss”).</w:t>
      </w:r>
    </w:p>
    <w:p>
      <w:pPr>
        <w:spacing w:after="70" w:before="160"/>
      </w:pPr>
      <w:r>
        <w:rPr>
          <w:rFonts w:ascii="Times New Roman" w:cs="Times New Roman" w:eastAsia="Times New Roman" w:hAnsi="Times New Roman"/>
          <w:b/>
          <w:bCs/>
          <w:sz w:val="21"/>
          <w:szCs w:val="21"/>
        </w:rPr>
        <w:t xml:space="preserve">IV. EVALUATION</w:t>
      </w:r>
    </w:p>
    <w:p>
      <w:pPr>
        <w:spacing w:after="80" w:line="252"/>
        <w:jc w:val="both"/>
      </w:pPr>
      <w:r>
        <w:rPr>
          <w:rFonts w:ascii="Times New Roman" w:cs="Times New Roman" w:eastAsia="Times New Roman" w:hAnsi="Times New Roman"/>
          <w:sz w:val="20"/>
          <w:szCs w:val="20"/>
        </w:rPr>
        <w:t xml:space="preserve">A deterministic harness (</w:t>
      </w:r>
      <w:r>
        <w:rPr>
          <w:rFonts w:ascii="Courier New" w:cs="Courier New" w:eastAsia="Courier New" w:hAnsi="Courier New"/>
          <w:sz w:val="18"/>
          <w:szCs w:val="18"/>
        </w:rPr>
        <w:t xml:space="preserve">npm run nlp:evaluate</w:t>
      </w:r>
      <w:r>
        <w:rPr>
          <w:rFonts w:ascii="Times New Roman" w:cs="Times New Roman" w:eastAsia="Times New Roman" w:hAnsi="Times New Roman"/>
          <w:sz w:val="20"/>
          <w:szCs w:val="20"/>
        </w:rPr>
        <w:t xml:space="preserve">) scores extraction against annotated synthetic data: 150 entries containing 156 gold symptom signals, plus negated fixtures. Results are shown in Table 1.</w:t>
      </w:r>
    </w:p>
    <w:p>
      <w:pPr>
        <w:spacing w:after="40" w:before="60"/>
        <w:jc w:val="center"/>
      </w:pPr>
      <w:r>
        <w:rPr>
          <w:rFonts w:ascii="Times New Roman" w:cs="Times New Roman" w:eastAsia="Times New Roman" w:hAnsi="Times New Roman"/>
          <w:i/>
          <w:iCs/>
          <w:sz w:val="18"/>
          <w:szCs w:val="18"/>
        </w:rPr>
        <w:t xml:space="preserve">Table 1: Extraction results on the annotated synthetic corpus.</w:t>
      </w:r>
    </w:p>
    <w:tbl>
      <w:tblPr>
        <w:tblW w:type="dxa" w:w="44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tblGrid>
      <w:tr>
        <w:tc>
          <w:tcPr>
            <w:tcW w:type="dxa" w:w="2900"/>
            <w:tcBorders>
              <w:top w:val="single" w:color="999999" w:sz="1"/>
              <w:left w:val="single" w:color="999999" w:sz="1"/>
              <w:bottom w:val="single" w:color="999999" w:sz="1"/>
              <w:right w:val="single" w:color="999999" w:sz="1"/>
            </w:tcBorders>
            <w:shd w:fill="EEF1F2" w:val="clear"/>
            <w:tcMar>
              <w:top w:type="dxa" w:w="40"/>
              <w:left w:type="dxa" w:w="100"/>
              <w:bottom w:type="dxa" w:w="40"/>
              <w:right w:type="dxa" w:w="100"/>
            </w:tcMar>
          </w:tcPr>
          <w:p>
            <w:pPr>
              <w:jc w:val="left"/>
            </w:pPr>
            <w:r>
              <w:rPr>
                <w:rFonts w:ascii="Times New Roman" w:cs="Times New Roman" w:eastAsia="Times New Roman" w:hAnsi="Times New Roman"/>
                <w:b/>
                <w:bCs/>
                <w:sz w:val="19"/>
                <w:szCs w:val="19"/>
              </w:rPr>
              <w:t xml:space="preserve">Metric</w:t>
            </w:r>
          </w:p>
        </w:tc>
        <w:tc>
          <w:tcPr>
            <w:tcW w:type="dxa" w:w="1500"/>
            <w:tcBorders>
              <w:top w:val="single" w:color="999999" w:sz="1"/>
              <w:left w:val="single" w:color="999999" w:sz="1"/>
              <w:bottom w:val="single" w:color="999999" w:sz="1"/>
              <w:right w:val="single" w:color="999999" w:sz="1"/>
            </w:tcBorders>
            <w:shd w:fill="EEF1F2" w:val="clear"/>
            <w:tcMar>
              <w:top w:type="dxa" w:w="40"/>
              <w:left w:type="dxa" w:w="100"/>
              <w:bottom w:type="dxa" w:w="40"/>
              <w:right w:type="dxa" w:w="100"/>
            </w:tcMar>
          </w:tcPr>
          <w:p>
            <w:pPr>
              <w:jc w:val="center"/>
            </w:pPr>
            <w:r>
              <w:rPr>
                <w:rFonts w:ascii="Times New Roman" w:cs="Times New Roman" w:eastAsia="Times New Roman" w:hAnsi="Times New Roman"/>
                <w:b/>
                <w:bCs/>
                <w:sz w:val="19"/>
                <w:szCs w:val="19"/>
              </w:rPr>
              <w:t xml:space="preserve">Value</w:t>
            </w:r>
          </w:p>
        </w:tc>
      </w:tr>
      <w:tr>
        <w:tc>
          <w:tcPr>
            <w:tcW w:type="dxa" w:w="29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19"/>
                <w:szCs w:val="19"/>
              </w:rPr>
              <w:t xml:space="preserve">Precision / Recall / F1</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19"/>
                <w:szCs w:val="19"/>
              </w:rPr>
              <w:t xml:space="preserve">1.00 / 1.00 / 1.00</w:t>
            </w:r>
          </w:p>
        </w:tc>
      </w:tr>
      <w:tr>
        <w:tc>
          <w:tcPr>
            <w:tcW w:type="dxa" w:w="29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19"/>
                <w:szCs w:val="19"/>
              </w:rPr>
              <w:t xml:space="preserve">Severity accuracy</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19"/>
                <w:szCs w:val="19"/>
              </w:rPr>
              <w:t xml:space="preserve">0.94</w:t>
            </w:r>
          </w:p>
        </w:tc>
      </w:tr>
      <w:tr>
        <w:tc>
          <w:tcPr>
            <w:tcW w:type="dxa" w:w="29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19"/>
                <w:szCs w:val="19"/>
              </w:rPr>
              <w:t xml:space="preserve">Evidence-span coverage</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19"/>
                <w:szCs w:val="19"/>
              </w:rPr>
              <w:t xml:space="preserve">1.00</w:t>
            </w:r>
          </w:p>
        </w:tc>
      </w:tr>
      <w:tr>
        <w:tc>
          <w:tcPr>
            <w:tcW w:type="dxa" w:w="29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19"/>
                <w:szCs w:val="19"/>
              </w:rPr>
              <w:t xml:space="preserve">Negation false positives</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19"/>
                <w:szCs w:val="19"/>
              </w:rPr>
              <w:t xml:space="preserve">0</w:t>
            </w:r>
          </w:p>
        </w:tc>
      </w:tr>
      <w:tr>
        <w:tc>
          <w:tcPr>
            <w:tcW w:type="dxa" w:w="29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19"/>
                <w:szCs w:val="19"/>
              </w:rPr>
              <w:t xml:space="preserve">Injection-context accuracy</w:t>
            </w:r>
          </w:p>
        </w:tc>
        <w:tc>
          <w:tcPr>
            <w:tcW w:type="dxa" w:w="15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jc w:val="center"/>
            </w:pPr>
            <w:r>
              <w:rPr>
                <w:rFonts w:ascii="Times New Roman" w:cs="Times New Roman" w:eastAsia="Times New Roman" w:hAnsi="Times New Roman"/>
                <w:b w:val="false"/>
                <w:bCs w:val="false"/>
                <w:sz w:val="19"/>
                <w:szCs w:val="19"/>
              </w:rPr>
              <w:t xml:space="preserve">1.00</w:t>
            </w:r>
          </w:p>
        </w:tc>
      </w:tr>
    </w:tbl>
    <w:p>
      <w:pPr>
        <w:spacing w:after="80" w:before="90" w:line="252"/>
        <w:jc w:val="both"/>
      </w:pPr>
      <w:r>
        <w:rPr>
          <w:rFonts w:ascii="Times New Roman" w:cs="Times New Roman" w:eastAsia="Times New Roman" w:hAnsi="Times New Roman"/>
          <w:sz w:val="20"/>
          <w:szCs w:val="20"/>
        </w:rPr>
        <w:t xml:space="preserve">Evidence-span coverage of 1.00 means every reported span reproduces the exact source text by character offset — the property that makes the system auditable. </w:t>
      </w:r>
      <w:r>
        <w:rPr>
          <w:rFonts w:ascii="Times New Roman" w:cs="Times New Roman" w:eastAsia="Times New Roman" w:hAnsi="Times New Roman"/>
          <w:b/>
          <w:bCs/>
          <w:sz w:val="20"/>
          <w:szCs w:val="20"/>
        </w:rPr>
        <w:t xml:space="preserve">Caveat: </w:t>
      </w:r>
      <w:r>
        <w:rPr>
          <w:rFonts w:ascii="Times New Roman" w:cs="Times New Roman" w:eastAsia="Times New Roman" w:hAnsi="Times New Roman"/>
          <w:sz w:val="20"/>
          <w:szCs w:val="20"/>
        </w:rPr>
        <w:t xml:space="preserve">the corpus is curated and the rules were tuned against it; these figures establish internal correctness and the integrity of the provenance guarantees, not generalization to real-world clinical text, which would require de-identified data and blind evaluation.</w:t>
      </w:r>
    </w:p>
    <w:p>
      <w:pPr>
        <w:spacing w:after="70" w:before="160"/>
      </w:pPr>
      <w:r>
        <w:rPr>
          <w:rFonts w:ascii="Times New Roman" w:cs="Times New Roman" w:eastAsia="Times New Roman" w:hAnsi="Times New Roman"/>
          <w:b/>
          <w:bCs/>
          <w:sz w:val="21"/>
          <w:szCs w:val="21"/>
        </w:rPr>
        <w:t xml:space="preserve">V. SAFETY, LIMITATIONS, AND FUTURE WORK</w:t>
      </w:r>
    </w:p>
    <w:p>
      <w:pPr>
        <w:spacing w:after="80" w:line="252"/>
        <w:jc w:val="both"/>
      </w:pPr>
      <w:r>
        <w:rPr>
          <w:rFonts w:ascii="Times New Roman" w:cs="Times New Roman" w:eastAsia="Times New Roman" w:hAnsi="Times New Roman"/>
          <w:sz w:val="20"/>
          <w:szCs w:val="20"/>
        </w:rPr>
        <w:t xml:space="preserve">The system organizes and summarizes patient-reported data; it does not diagnose, infer causality, recommend treatment, or triage emergencies, and all data is synthetic with no external model or API calls. The principal limitation is coverage: a rule-based dictionary recognizes only the symptoms and phrasings it encodes. Planned work adds local sentence embeddings with clustering and maximal-marginal-relevance selection for semantic evidence, hybrid neural recall behind the same typed interfaces (the </w:t>
      </w:r>
      <w:r>
        <w:rPr>
          <w:rFonts w:ascii="Courier New" w:cs="Courier New" w:eastAsia="Courier New" w:hAnsi="Courier New"/>
          <w:sz w:val="18"/>
          <w:szCs w:val="18"/>
        </w:rPr>
        <w:t xml:space="preserve">extractionMethod</w:t>
      </w:r>
      <w:r>
        <w:rPr>
          <w:rFonts w:ascii="Times New Roman" w:cs="Times New Roman" w:eastAsia="Times New Roman" w:hAnsi="Times New Roman"/>
          <w:sz w:val="20"/>
          <w:szCs w:val="20"/>
        </w:rPr>
        <w:t xml:space="preserve"> field already anticipates </w:t>
      </w:r>
      <w:r>
        <w:rPr>
          <w:rFonts w:ascii="Courier New" w:cs="Courier New" w:eastAsia="Courier New" w:hAnsi="Courier New"/>
          <w:sz w:val="18"/>
          <w:szCs w:val="18"/>
        </w:rPr>
        <w:t xml:space="preserve">semantic-local</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hybrid</w:t>
      </w:r>
      <w:r>
        <w:rPr>
          <w:rFonts w:ascii="Times New Roman" w:cs="Times New Roman" w:eastAsia="Times New Roman" w:hAnsi="Times New Roman"/>
          <w:sz w:val="20"/>
          <w:szCs w:val="20"/>
        </w:rPr>
        <w:t xml:space="preserve"> modes), and OCR intake for scanned notes — in each case preserving the invariant that every surfaced result remains traceable to its source.</w:t>
      </w:r>
    </w:p>
    <w:p>
      <w:pPr>
        <w:spacing w:after="70" w:before="160"/>
      </w:pPr>
      <w:r>
        <w:rPr>
          <w:rFonts w:ascii="Times New Roman" w:cs="Times New Roman" w:eastAsia="Times New Roman" w:hAnsi="Times New Roman"/>
          <w:b/>
          <w:bCs/>
          <w:sz w:val="21"/>
          <w:szCs w:val="21"/>
        </w:rPr>
        <w:t xml:space="preserve">VI. CONCLUSION</w:t>
      </w:r>
    </w:p>
    <w:p>
      <w:pPr>
        <w:spacing w:after="70" w:before="160"/>
      </w:pPr>
      <w:r>
        <w:rPr>
          <w:rFonts w:ascii="Times New Roman" w:cs="Times New Roman" w:eastAsia="Times New Roman" w:hAnsi="Times New Roman"/>
          <w:b/>
          <w:bCs/>
          <w:sz w:val="21"/>
          <w:szCs w:val="21"/>
        </w:rPr>
        <w:t xml:space="preserve">REFERENCES</w:t>
      </w:r>
    </w:p>
    <w:p>
      <w:pPr>
        <w:spacing w:after="60" w:line="240"/>
        <w:ind w:left="360" w:hanging="360"/>
      </w:pPr>
      <w:r>
        <w:rPr>
          <w:rFonts w:ascii="Times New Roman" w:cs="Times New Roman" w:eastAsia="Times New Roman" w:hAnsi="Times New Roman"/>
          <w:sz w:val="18"/>
          <w:szCs w:val="18"/>
        </w:rPr>
        <w:t xml:space="preserve">[1] A. R. Aronson and F. M. Lang, “An overview of MetaMap: historical perspective and recent advances,” JAMIA, 17(3):229–236, 2010.</w:t>
      </w:r>
    </w:p>
    <w:p>
      <w:pPr>
        <w:spacing w:after="60" w:line="240"/>
        <w:ind w:left="360" w:hanging="360"/>
      </w:pPr>
      <w:r>
        <w:rPr>
          <w:rFonts w:ascii="Times New Roman" w:cs="Times New Roman" w:eastAsia="Times New Roman" w:hAnsi="Times New Roman"/>
          <w:sz w:val="18"/>
          <w:szCs w:val="18"/>
        </w:rPr>
        <w:t xml:space="preserve">[2] G. K. Savova et al., “Mayo clinical Text Analysis and Knowledge Extraction System (cTAKES),” JAMIA, 17(5):507–513, 2010.</w:t>
      </w:r>
    </w:p>
    <w:p>
      <w:pPr>
        <w:spacing w:after="60" w:line="240"/>
        <w:ind w:left="360" w:hanging="360"/>
      </w:pPr>
      <w:r>
        <w:rPr>
          <w:rFonts w:ascii="Times New Roman" w:cs="Times New Roman" w:eastAsia="Times New Roman" w:hAnsi="Times New Roman"/>
          <w:sz w:val="18"/>
          <w:szCs w:val="18"/>
        </w:rPr>
        <w:t xml:space="preserve">[3] Ö. Uzuner, B. R. South, S. Shen, and S. L. DuVall, “2010 i2b2/VA challenge on concepts, assertions, and relations in clinical text,” JAMIA, 18(5):552–556, 2011.</w:t>
      </w:r>
    </w:p>
    <w:p>
      <w:pPr>
        <w:spacing w:after="60" w:line="240"/>
        <w:ind w:left="360" w:hanging="360"/>
      </w:pPr>
      <w:r>
        <w:rPr>
          <w:rFonts w:ascii="Times New Roman" w:cs="Times New Roman" w:eastAsia="Times New Roman" w:hAnsi="Times New Roman"/>
          <w:sz w:val="18"/>
          <w:szCs w:val="18"/>
        </w:rPr>
        <w:t xml:space="preserve">[4] J. Devlin, M.-W. Chang, K. Lee, and K. Toutanova, “BERT: pre-training of deep bidirectional transformers for language understanding,” in Proc. NAACL-HLT, 2019, pp. 4171–4186.</w:t>
      </w:r>
    </w:p>
    <w:p>
      <w:pPr>
        <w:spacing w:after="60" w:line="240"/>
        <w:ind w:left="360" w:hanging="360"/>
      </w:pPr>
      <w:r>
        <w:rPr>
          <w:rFonts w:ascii="Times New Roman" w:cs="Times New Roman" w:eastAsia="Times New Roman" w:hAnsi="Times New Roman"/>
          <w:sz w:val="18"/>
          <w:szCs w:val="18"/>
        </w:rPr>
        <w:t xml:space="preserve">[5] J. Lee et al., “BioBERT: a pre-trained biomedical language representation model for biomedical text mining,” Bioinformatics, 36(4):1234–1240, 2020.</w:t>
      </w:r>
    </w:p>
    <w:p>
      <w:pPr>
        <w:spacing w:after="60" w:line="240"/>
        <w:ind w:left="360" w:hanging="360"/>
      </w:pPr>
      <w:r>
        <w:rPr>
          <w:rFonts w:ascii="Times New Roman" w:cs="Times New Roman" w:eastAsia="Times New Roman" w:hAnsi="Times New Roman"/>
          <w:sz w:val="18"/>
          <w:szCs w:val="18"/>
        </w:rPr>
        <w:t xml:space="preserve">[6] E. Alsentzer et al., “Publicly available clinical BERT embeddings,” in Proc. 2nd Clinical NLP Workshop, 2019, pp. 72–78.</w:t>
      </w:r>
    </w:p>
    <w:p>
      <w:pPr>
        <w:spacing w:after="60" w:line="240"/>
        <w:ind w:left="360" w:hanging="360"/>
      </w:pPr>
      <w:r>
        <w:rPr>
          <w:rFonts w:ascii="Times New Roman" w:cs="Times New Roman" w:eastAsia="Times New Roman" w:hAnsi="Times New Roman"/>
          <w:sz w:val="18"/>
          <w:szCs w:val="18"/>
        </w:rPr>
        <w:t xml:space="preserve">[7] A. E. W. Johnson et al., “MIMIC-III, a freely accessible critical care database,” Scientific Data, 3:160035, 2016.</w:t>
      </w:r>
    </w:p>
    <w:p>
      <w:pPr>
        <w:spacing w:after="60" w:line="240"/>
        <w:ind w:left="360" w:hanging="360"/>
      </w:pPr>
      <w:r>
        <w:rPr>
          <w:rFonts w:ascii="Times New Roman" w:cs="Times New Roman" w:eastAsia="Times New Roman" w:hAnsi="Times New Roman"/>
          <w:sz w:val="18"/>
          <w:szCs w:val="18"/>
        </w:rPr>
        <w:t xml:space="preserve">[8] K. Singhal et al., “Large language models encode clinical knowledge,” Nature, 620:172–180, 2023.</w:t>
      </w:r>
    </w:p>
    <w:p>
      <w:pPr>
        <w:spacing w:after="60" w:line="240"/>
        <w:ind w:left="360" w:hanging="360"/>
      </w:pPr>
      <w:r>
        <w:rPr>
          <w:rFonts w:ascii="Times New Roman" w:cs="Times New Roman" w:eastAsia="Times New Roman" w:hAnsi="Times New Roman"/>
          <w:sz w:val="18"/>
          <w:szCs w:val="18"/>
        </w:rPr>
        <w:t xml:space="preserve">[9] P. Rajpurkar et al., “CheXNet: radiologist-level pneumonia detection on chest X-rays with deep learning,” arXiv:1711.05225, 2017.</w:t>
      </w:r>
    </w:p>
    <w:p>
      <w:pPr>
        <w:spacing w:after="60" w:line="240"/>
        <w:ind w:left="360" w:hanging="360"/>
      </w:pPr>
      <w:r>
        <w:rPr>
          <w:rFonts w:ascii="Times New Roman" w:cs="Times New Roman" w:eastAsia="Times New Roman" w:hAnsi="Times New Roman"/>
          <w:sz w:val="18"/>
          <w:szCs w:val="18"/>
        </w:rPr>
        <w:t xml:space="preserve">[10] Office of the National Coordinator for Health IT, 21st Century Cures Act: Interoperability, Information Blocking, and the ONC Health IT Certification Program (Final Rule), U.S. HHS, 2020.</w:t>
      </w:r>
    </w:p>
    <w:p>
      <w:pPr>
        <w:spacing w:after="60" w:line="240"/>
        <w:ind w:left="360" w:hanging="360"/>
      </w:pPr>
      <w:r>
        <w:rPr>
          <w:rFonts w:ascii="Times New Roman" w:cs="Times New Roman" w:eastAsia="Times New Roman" w:hAnsi="Times New Roman"/>
          <w:sz w:val="18"/>
          <w:szCs w:val="18"/>
        </w:rPr>
        <w:t xml:space="preserve">[11] U.S. Department of Health and Human Services, Guidance Regarding Methods for De-identification of Protected Health Information in Accordance with the HIPAA Privacy Rule, 2012.</w:t>
      </w:r>
    </w:p>
    <w:sectPr>
      <w:type w:val="continuous"/>
      <w:pgSz w:w="12240" w:h="15840" w:orient="portrait"/>
      <w:pgMar w:top="1040" w:right="1040" w:bottom="1040" w:left="1040" w:header="708" w:footer="708" w:gutter="0"/>
      <w:pgNumType/>
      <w:cols w:space="3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2026-07-13T22:55:52.621Z</dcterms:created>
  <dcterms:modified xsi:type="dcterms:W3CDTF">2026-07-13T22:55:52.625Z</dcterms:modified>
</cp:coreProperties>
</file>

<file path=docProps/custom.xml><?xml version="1.0" encoding="utf-8"?>
<Properties xmlns="http://schemas.openxmlformats.org/officeDocument/2006/custom-properties" xmlns:vt="http://schemas.openxmlformats.org/officeDocument/2006/docPropsVTypes"/>
</file>