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tos" w:hAnsi="Aptos"/>
          <w:b/>
          <w:i w:val="0"/>
          <w:color w:val="147A65"/>
          <w:sz w:val="17"/>
        </w:rPr>
        <w:t>INTERNAL</w:t>
      </w:r>
    </w:p>
    <w:p>
      <w:pPr>
        <w:spacing w:after="100"/>
      </w:pPr>
      <w:r>
        <w:rPr>
          <w:rFonts w:ascii="Aptos Display" w:hAnsi="Aptos Display"/>
          <w:b/>
          <w:i w:val="0"/>
          <w:color w:val="17352F"/>
          <w:sz w:val="52"/>
        </w:rPr>
        <w:t>Critical Access Incident Response</w:t>
      </w:r>
    </w:p>
    <w:p>
      <w:pPr>
        <w:spacing w:after="280"/>
      </w:pPr>
      <w:r>
        <w:rPr>
          <w:rFonts w:ascii="Aptos" w:hAnsi="Aptos"/>
          <w:b w:val="0"/>
          <w:i w:val="0"/>
          <w:color w:val="60736E"/>
          <w:sz w:val="24"/>
        </w:rPr>
        <w:t>Operator runbook for restoring enterprise workspace access safely and accountably.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3264"/>
        <w:gridCol w:w="3264"/>
        <w:gridCol w:w="3264"/>
      </w:tblGrid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1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60736E"/>
                <w:sz w:val="15"/>
              </w:rPr>
              <w:t>OWNER</w:t>
              <w:br/>
            </w:r>
            <w:r>
              <w:rPr>
                <w:rFonts w:ascii="Aptos" w:hAnsi="Aptos"/>
                <w:b/>
                <w:i w:val="0"/>
                <w:color w:val="17352F"/>
                <w:sz w:val="19"/>
              </w:rPr>
              <w:t>Security Operations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1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60736E"/>
                <w:sz w:val="15"/>
              </w:rPr>
              <w:t>EFFECTIVE</w:t>
              <w:br/>
            </w:r>
            <w:r>
              <w:rPr>
                <w:rFonts w:ascii="Aptos" w:hAnsi="Aptos"/>
                <w:b/>
                <w:i w:val="0"/>
                <w:color w:val="17352F"/>
                <w:sz w:val="19"/>
              </w:rPr>
              <w:t>15 July 2026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1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60736E"/>
                <w:sz w:val="15"/>
              </w:rPr>
              <w:t>REVIEW CYCLE</w:t>
              <w:br/>
            </w:r>
            <w:r>
              <w:rPr>
                <w:rFonts w:ascii="Aptos" w:hAnsi="Aptos"/>
                <w:b/>
                <w:i w:val="0"/>
                <w:color w:val="17352F"/>
                <w:sz w:val="19"/>
              </w:rPr>
              <w:t>Quarterly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1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60736E"/>
                <w:sz w:val="15"/>
              </w:rPr>
              <w:t>COMPANY</w:t>
              <w:br/>
            </w:r>
            <w:r>
              <w:rPr>
                <w:rFonts w:ascii="Aptos" w:hAnsi="Aptos"/>
                <w:b/>
                <w:i w:val="0"/>
                <w:color w:val="17352F"/>
                <w:sz w:val="19"/>
              </w:rPr>
              <w:t>Northstar Cloud Ltd.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1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60736E"/>
                <w:sz w:val="15"/>
              </w:rPr>
              <w:t>DOCUMENT STATUS</w:t>
              <w:br/>
            </w:r>
            <w:r>
              <w:rPr>
                <w:rFonts w:ascii="Aptos" w:hAnsi="Aptos"/>
                <w:b/>
                <w:i w:val="0"/>
                <w:color w:val="17352F"/>
                <w:sz w:val="19"/>
              </w:rPr>
              <w:t>Approved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1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60736E"/>
                <w:sz w:val="15"/>
              </w:rPr>
              <w:t>KNOWLEDGE USE</w:t>
              <w:br/>
            </w:r>
            <w:r>
              <w:rPr>
                <w:rFonts w:ascii="Aptos" w:hAnsi="Aptos"/>
                <w:b/>
                <w:i w:val="0"/>
                <w:color w:val="17352F"/>
                <w:sz w:val="19"/>
              </w:rPr>
              <w:t>Agents + workflows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D8E3DF"/>
          <w:left w:val="single" w:sz="8" w:color="D8E3DF"/>
          <w:bottom w:val="single" w:sz="8" w:color="D8E3DF"/>
          <w:right w:val="single" w:sz="8" w:color="D8E3DF"/>
          <w:insideH w:val="single" w:sz="8" w:color="D8E3DF"/>
          <w:insideV w:val="single" w:sz="8" w:color="D8E3DF"/>
        </w:tblBorders>
      </w:tblPr>
      <w:tblGrid>
        <w:gridCol w:w="9792"/>
      </w:tblGrid>
      <w:tr>
        <w:tc>
          <w:tcPr>
            <w:tcW w:type="dxa" w:w="9360"/>
            <w:tcMar>
              <w:top w:w="140" w:type="dxa"/>
              <w:start w:w="160" w:type="dxa"/>
              <w:bottom w:w="140" w:type="dxa"/>
              <w:end w:w="160" w:type="dxa"/>
            </w:tcMar>
            <w:shd w:fill="EEF4F1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7A65"/>
                <w:sz w:val="17"/>
              </w:rPr>
              <w:t xml:space="preserve">PURPOSE  </w:t>
            </w:r>
            <w:r>
              <w:rPr>
                <w:rFonts w:ascii="Aptos" w:hAnsi="Aptos"/>
                <w:b w:val="0"/>
                <w:i w:val="0"/>
                <w:color w:val="17352F"/>
                <w:sz w:val="20"/>
              </w:rPr>
              <w:t>Use this runbook for Sev-1 or Sev-2 access incidents affecting a paid production workspace. The primary objective is safe restoration, not speed at any cost.</w:t>
            </w:r>
          </w:p>
        </w:tc>
      </w:tr>
    </w:tbl>
    <w:p>
      <w:pPr>
        <w:pStyle w:val="Heading1"/>
      </w:pPr>
      <w:r>
        <w:t>When this runbook applies</w:t>
      </w:r>
    </w:p>
    <w:p>
      <w:pPr>
        <w:pStyle w:val="ListBullet"/>
        <w:spacing w:after="60"/>
        <w:ind w:left="403" w:hanging="259"/>
      </w:pPr>
      <w:r>
        <w:t>A verified administrator cannot access a production workspace after an identity, domain, SSO, or role change.</w:t>
      </w:r>
    </w:p>
    <w:p>
      <w:pPr>
        <w:pStyle w:val="ListBullet"/>
        <w:spacing w:after="60"/>
        <w:ind w:left="403" w:hanging="259"/>
      </w:pPr>
      <w:r>
        <w:t>Multiple authorized users are locked out, or access controls appear inconsistent with the approved configuration.</w:t>
      </w:r>
    </w:p>
    <w:p>
      <w:pPr>
        <w:pStyle w:val="ListBullet"/>
        <w:spacing w:after="60"/>
        <w:ind w:left="403" w:hanging="259"/>
      </w:pPr>
      <w:r>
        <w:t>An access issue blocks a customer-critical operation and standard self-service recovery has failed.</w:t>
      </w:r>
    </w:p>
    <w:p>
      <w:pPr>
        <w:pStyle w:val="Heading1"/>
      </w:pPr>
      <w:r>
        <w:t>Severity and response targets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3DF"/>
          <w:left w:val="single" w:sz="6" w:color="D8E3DF"/>
          <w:bottom w:val="single" w:sz="6" w:color="D8E3DF"/>
          <w:right w:val="single" w:sz="6" w:color="D8E3DF"/>
          <w:insideH w:val="single" w:sz="6" w:color="D8E3DF"/>
          <w:insideV w:val="single" w:sz="6" w:color="D8E3DF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080"/>
            <w:shd w:fill="147A6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Severity</w:t>
            </w:r>
          </w:p>
        </w:tc>
        <w:tc>
          <w:tcPr>
            <w:tcW w:type="dxa" w:w="4536"/>
            <w:shd w:fill="147A6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Definition</w:t>
            </w:r>
          </w:p>
        </w:tc>
        <w:tc>
          <w:tcPr>
            <w:tcW w:type="dxa" w:w="1584"/>
            <w:shd w:fill="147A6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Acknowledge</w:t>
            </w:r>
          </w:p>
        </w:tc>
        <w:tc>
          <w:tcPr>
            <w:tcW w:type="dxa" w:w="2160"/>
            <w:shd w:fill="147A6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Update cadence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52F"/>
                <w:sz w:val="18"/>
              </w:rPr>
              <w:t>Sev-1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352F"/>
                <w:sz w:val="18"/>
              </w:rPr>
              <w:t>Production workspace unavailable to all authorized administrators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352F"/>
                <w:sz w:val="18"/>
              </w:rPr>
              <w:t>15 min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352F"/>
                <w:sz w:val="18"/>
              </w:rPr>
              <w:t>Every 30 min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52F"/>
                <w:sz w:val="18"/>
              </w:rPr>
              <w:t>Sev-2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352F"/>
                <w:sz w:val="18"/>
              </w:rPr>
              <w:t>Material access loss with a viable workaround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352F"/>
                <w:sz w:val="18"/>
              </w:rPr>
              <w:t>30 min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352F"/>
                <w:sz w:val="18"/>
              </w:rPr>
              <w:t>Every 60 min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52F"/>
                <w:sz w:val="18"/>
              </w:rPr>
              <w:t>Sev-3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352F"/>
                <w:sz w:val="18"/>
              </w:rPr>
              <w:t>Limited access defect without critical business impact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352F"/>
                <w:sz w:val="18"/>
              </w:rPr>
              <w:t>4 business hrs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352F"/>
                <w:sz w:val="18"/>
              </w:rPr>
              <w:t>Daily</w:t>
            </w:r>
          </w:p>
        </w:tc>
      </w:tr>
    </w:tbl>
    <w:p>
      <w:pPr>
        <w:pStyle w:val="Heading1"/>
      </w:pPr>
      <w:r>
        <w:t>Required procedure</w:t>
      </w:r>
    </w:p>
    <w:p>
      <w:pPr>
        <w:pStyle w:val="ListNumber"/>
        <w:spacing w:after="80"/>
        <w:ind w:left="461" w:hanging="288"/>
      </w:pPr>
      <w:r>
        <w:t>Validate intake. Confirm incident ID, affected workspace, reporter identity, impact statement, and an authorized customer contact. Never request passwords, recovery codes, or private keys.</w:t>
      </w:r>
    </w:p>
    <w:p>
      <w:pPr>
        <w:pStyle w:val="ListNumber"/>
        <w:spacing w:after="80"/>
        <w:ind w:left="461" w:hanging="288"/>
      </w:pPr>
      <w:r>
        <w:t>Establish incident control. Assign an incident owner and create a dedicated Slack channel named inc-&lt;incident-id&gt;. Record timestamps in UTC.</w:t>
      </w:r>
    </w:p>
    <w:p>
      <w:pPr>
        <w:pStyle w:val="ListNumber"/>
        <w:spacing w:after="80"/>
        <w:ind w:left="461" w:hanging="288"/>
      </w:pPr>
      <w:r>
        <w:t>Verify account context. Use HubSpot to confirm the customer tier, authorized contacts, support entitlement, account restrictions, and recent identity-domain changes.</w:t>
      </w:r>
    </w:p>
    <w:p>
      <w:pPr>
        <w:pStyle w:val="ListNumber"/>
        <w:spacing w:after="80"/>
        <w:ind w:left="461" w:hanging="288"/>
      </w:pPr>
      <w:r>
        <w:t>Collect evidence. Retrieve audit events for the previous 24 hours, current SSO configuration, affected membership records, and the last successful login. Preserve correlation IDs.</w:t>
      </w:r>
    </w:p>
    <w:p>
      <w:pPr>
        <w:pStyle w:val="ListNumber"/>
        <w:spacing w:after="80"/>
        <w:ind w:left="461" w:hanging="288"/>
      </w:pPr>
      <w:r>
        <w:t>Classify severity and draft a bounded recovery plan. The plan must list each action, expected effect, rollback, verification, and owner.</w:t>
      </w:r>
    </w:p>
    <w:p>
      <w:pPr>
        <w:pStyle w:val="ListNumber"/>
        <w:spacing w:after="80"/>
        <w:ind w:left="461" w:hanging="288"/>
      </w:pPr>
      <w:r>
        <w:t>Obtain approval. Any role elevation, SSO bypass, domain reassignment, bulk membership change, or recovery affecting more than five users requires Security Duty Manager approval.</w:t>
      </w:r>
    </w:p>
    <w:p>
      <w:pPr>
        <w:pStyle w:val="ListNumber"/>
        <w:spacing w:after="80"/>
        <w:ind w:left="461" w:hanging="288"/>
      </w:pPr>
      <w:r>
        <w:t>Execute through authorized connectors. Apply only the approved actions. Post progress to the incident Slack channel without including tokens or sensitive identity attributes.</w:t>
      </w:r>
    </w:p>
    <w:p>
      <w:pPr>
        <w:pStyle w:val="ListNumber"/>
        <w:spacing w:after="80"/>
        <w:ind w:left="461" w:hanging="288"/>
      </w:pPr>
      <w:r>
        <w:t>Verify recovery. Obtain customer confirmation and independently verify login, role scope, and audit continuity. Revert temporary controls within 30 minutes.</w:t>
      </w:r>
    </w:p>
    <w:p>
      <w:pPr>
        <w:pStyle w:val="ListNumber"/>
        <w:spacing w:after="80"/>
        <w:ind w:left="461" w:hanging="288"/>
      </w:pPr>
      <w:r>
        <w:t>Close and learn. Update HubSpot, attach evidence references, record approvals and actions, and schedule a review within two business days for Sev-1 incidents.</w:t>
      </w:r>
    </w:p>
    <w:p>
      <w:pPr>
        <w:pStyle w:val="Heading1"/>
      </w:pPr>
      <w:r>
        <w:t>Automation boundaries</w:t>
      </w:r>
    </w:p>
    <w:p>
      <w:pPr>
        <w:pStyle w:val="ListBullet"/>
        <w:spacing w:after="60"/>
        <w:ind w:left="403" w:hanging="259"/>
      </w:pPr>
      <w:r>
        <w:t>Agents may summarize evidence, detect anomalies, classify severity, draft plans, and prepare customer updates.</w:t>
      </w:r>
    </w:p>
    <w:p>
      <w:pPr>
        <w:pStyle w:val="ListBullet"/>
        <w:spacing w:after="60"/>
        <w:ind w:left="403" w:hanging="259"/>
      </w:pPr>
      <w:r>
        <w:t>Agents must not approve their own plan, grant privileged access, disable SSO, or message the customer without an accountable human decision.</w:t>
      </w:r>
    </w:p>
    <w:p>
      <w:pPr>
        <w:pStyle w:val="ListBullet"/>
        <w:spacing w:after="60"/>
        <w:ind w:left="403" w:hanging="259"/>
      </w:pPr>
      <w:r>
        <w:t>A connector failure must stop the affected action and route to the incident owner; it must never be treated as success.</w:t>
      </w:r>
    </w:p>
    <w:p>
      <w:pPr>
        <w:pStyle w:val="Heading1"/>
      </w:pPr>
      <w:r>
        <w:t>Closure evidence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3DF"/>
          <w:left w:val="single" w:sz="6" w:color="D8E3DF"/>
          <w:bottom w:val="single" w:sz="6" w:color="D8E3DF"/>
          <w:right w:val="single" w:sz="6" w:color="D8E3DF"/>
          <w:insideH w:val="single" w:sz="6" w:color="D8E3DF"/>
          <w:insideV w:val="single" w:sz="6" w:color="D8E3DF"/>
        </w:tblBorders>
      </w:tblPr>
      <w:tblGrid>
        <w:gridCol w:w="4896"/>
        <w:gridCol w:w="4896"/>
      </w:tblGrid>
      <w:tr>
        <w:tc>
          <w:tcPr>
            <w:tcW w:type="dxa" w:w="2520"/>
            <w:shd w:fill="147A6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Evidence</w:t>
            </w:r>
          </w:p>
        </w:tc>
        <w:tc>
          <w:tcPr>
            <w:tcW w:type="dxa" w:w="6840"/>
            <w:shd w:fill="147A6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Required value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52F"/>
                <w:sz w:val="18"/>
              </w:rPr>
              <w:t>Customer confirmation</w:t>
            </w:r>
          </w:p>
        </w:tc>
        <w:tc>
          <w:tcPr>
            <w:tcW w:type="dxa" w:w="68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352F"/>
                <w:sz w:val="18"/>
              </w:rPr>
              <w:t>Name, authorized role, channel, and UTC timestamp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52F"/>
                <w:sz w:val="18"/>
              </w:rPr>
              <w:t>Technical verification</w:t>
            </w:r>
          </w:p>
        </w:tc>
        <w:tc>
          <w:tcPr>
            <w:tcW w:type="dxa" w:w="68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352F"/>
                <w:sz w:val="18"/>
              </w:rPr>
              <w:t>Successful login plus expected least-privilege role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52F"/>
                <w:sz w:val="18"/>
              </w:rPr>
              <w:t>Action ledger</w:t>
            </w:r>
          </w:p>
        </w:tc>
        <w:tc>
          <w:tcPr>
            <w:tcW w:type="dxa" w:w="68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352F"/>
                <w:sz w:val="18"/>
              </w:rPr>
              <w:t>Connector receipts, actor, approval, before/after state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52F"/>
                <w:sz w:val="18"/>
              </w:rPr>
              <w:t>Disposition</w:t>
            </w:r>
          </w:p>
        </w:tc>
        <w:tc>
          <w:tcPr>
            <w:tcW w:type="dxa" w:w="68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352F"/>
                <w:sz w:val="18"/>
              </w:rPr>
              <w:t>Resolved, mitigated, escalated, or false positive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08" w:left="1224" w:header="461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0736E"/>
        <w:sz w:val="16"/>
      </w:rPr>
      <w:t>INTERNAL  |  Sample knowledge for product testing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60736E"/>
        <w:sz w:val="16"/>
      </w:rPr>
      <w:t>NORTHSTAR CLOUD  /  COMPANY KNOWLEDGE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1735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7A6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7A6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52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Critical Access Incident Runbook</dc:title>
  <dc:subject>Fictional company knowledge for ingestion and grounding tests</dc:subject>
  <dc:creator>Northstar Cloud Knowledge Operations</dc:creator>
  <cp:keywords>sample, knowledge, workflow, agent, grounding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