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i w:val="0"/>
          <w:color w:val="147A65"/>
          <w:sz w:val="17"/>
        </w:rPr>
        <w:t>INTERNAL</w:t>
      </w:r>
    </w:p>
    <w:p>
      <w:pPr>
        <w:spacing w:after="100"/>
      </w:pPr>
      <w:r>
        <w:rPr>
          <w:rFonts w:ascii="Aptos Display" w:hAnsi="Aptos Display"/>
          <w:b/>
          <w:i w:val="0"/>
          <w:color w:val="17352F"/>
          <w:sz w:val="52"/>
        </w:rPr>
        <w:t>Production Change Approval Policy</w:t>
      </w:r>
    </w:p>
    <w:p>
      <w:pPr>
        <w:spacing w:after="280"/>
      </w:pPr>
      <w:r>
        <w:rPr>
          <w:rFonts w:ascii="Aptos" w:hAnsi="Aptos"/>
          <w:b w:val="0"/>
          <w:i w:val="0"/>
          <w:color w:val="60736E"/>
          <w:sz w:val="24"/>
        </w:rPr>
        <w:t>Decision rights, evidence requirements, and rollback standards for customer-impacting changes.</w:t>
      </w:r>
    </w:p>
    <w:tbl>
      <w:tblPr>
        <w:tblW w:type="auto" w:w="0"/>
        <w:jc w:val="left"/>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3264"/>
        <w:gridCol w:w="3264"/>
        <w:gridCol w:w="3264"/>
      </w:tblGrid>
      <w:tr>
        <w:tc>
          <w:tcPr>
            <w:tcW w:type="dxa" w:w="3096"/>
            <w:vAlign w:val="center"/>
            <w:tcMar>
              <w:top w:w="100" w:type="dxa"/>
              <w:start w:w="120" w:type="dxa"/>
              <w:bottom w:w="100" w:type="dxa"/>
              <w:end w:w="120" w:type="dxa"/>
            </w:tcMar>
            <w:shd w:fill="EEF4F1"/>
          </w:tcPr>
          <w:p>
            <w:pPr>
              <w:spacing w:after="0"/>
            </w:pPr>
            <w:r>
              <w:rPr>
                <w:rFonts w:ascii="Aptos" w:hAnsi="Aptos"/>
                <w:b/>
                <w:i w:val="0"/>
                <w:color w:val="60736E"/>
                <w:sz w:val="15"/>
              </w:rPr>
              <w:t>OWNER</w:t>
              <w:br/>
            </w:r>
            <w:r>
              <w:rPr>
                <w:rFonts w:ascii="Aptos" w:hAnsi="Aptos"/>
                <w:b/>
                <w:i w:val="0"/>
                <w:color w:val="17352F"/>
                <w:sz w:val="19"/>
              </w:rPr>
              <w:t>Platform Operations</w:t>
            </w:r>
          </w:p>
        </w:tc>
        <w:tc>
          <w:tcPr>
            <w:tcW w:type="dxa" w:w="3096"/>
            <w:vAlign w:val="center"/>
            <w:tcMar>
              <w:top w:w="100" w:type="dxa"/>
              <w:start w:w="120" w:type="dxa"/>
              <w:bottom w:w="100" w:type="dxa"/>
              <w:end w:w="120" w:type="dxa"/>
            </w:tcMar>
            <w:shd w:fill="EEF4F1"/>
          </w:tcPr>
          <w:p>
            <w:pPr>
              <w:spacing w:after="0"/>
            </w:pPr>
            <w:r>
              <w:rPr>
                <w:rFonts w:ascii="Aptos" w:hAnsi="Aptos"/>
                <w:b/>
                <w:i w:val="0"/>
                <w:color w:val="60736E"/>
                <w:sz w:val="15"/>
              </w:rPr>
              <w:t>EFFECTIVE</w:t>
              <w:br/>
            </w:r>
            <w:r>
              <w:rPr>
                <w:rFonts w:ascii="Aptos" w:hAnsi="Aptos"/>
                <w:b/>
                <w:i w:val="0"/>
                <w:color w:val="17352F"/>
                <w:sz w:val="19"/>
              </w:rPr>
              <w:t>15 July 2026</w:t>
            </w:r>
          </w:p>
        </w:tc>
        <w:tc>
          <w:tcPr>
            <w:tcW w:type="dxa" w:w="3096"/>
            <w:vAlign w:val="center"/>
            <w:tcMar>
              <w:top w:w="100" w:type="dxa"/>
              <w:start w:w="120" w:type="dxa"/>
              <w:bottom w:w="100" w:type="dxa"/>
              <w:end w:w="120" w:type="dxa"/>
            </w:tcMar>
            <w:shd w:fill="EEF4F1"/>
          </w:tcPr>
          <w:p>
            <w:pPr>
              <w:spacing w:after="0"/>
            </w:pPr>
            <w:r>
              <w:rPr>
                <w:rFonts w:ascii="Aptos" w:hAnsi="Aptos"/>
                <w:b/>
                <w:i w:val="0"/>
                <w:color w:val="60736E"/>
                <w:sz w:val="15"/>
              </w:rPr>
              <w:t>REVIEW CYCLE</w:t>
              <w:br/>
            </w:r>
            <w:r>
              <w:rPr>
                <w:rFonts w:ascii="Aptos" w:hAnsi="Aptos"/>
                <w:b/>
                <w:i w:val="0"/>
                <w:color w:val="17352F"/>
                <w:sz w:val="19"/>
              </w:rPr>
              <w:t>Quarterly</w:t>
            </w:r>
          </w:p>
        </w:tc>
      </w:tr>
      <w:tr>
        <w:tc>
          <w:tcPr>
            <w:tcW w:type="dxa" w:w="3096"/>
            <w:vAlign w:val="center"/>
            <w:tcMar>
              <w:top w:w="100" w:type="dxa"/>
              <w:start w:w="120" w:type="dxa"/>
              <w:bottom w:w="100" w:type="dxa"/>
              <w:end w:w="120" w:type="dxa"/>
            </w:tcMar>
            <w:shd w:fill="EEF4F1"/>
          </w:tcPr>
          <w:p>
            <w:pPr>
              <w:spacing w:after="0"/>
            </w:pPr>
            <w:r>
              <w:rPr>
                <w:rFonts w:ascii="Aptos" w:hAnsi="Aptos"/>
                <w:b/>
                <w:i w:val="0"/>
                <w:color w:val="60736E"/>
                <w:sz w:val="15"/>
              </w:rPr>
              <w:t>COMPANY</w:t>
              <w:br/>
            </w:r>
            <w:r>
              <w:rPr>
                <w:rFonts w:ascii="Aptos" w:hAnsi="Aptos"/>
                <w:b/>
                <w:i w:val="0"/>
                <w:color w:val="17352F"/>
                <w:sz w:val="19"/>
              </w:rPr>
              <w:t>Northstar Cloud Ltd.</w:t>
            </w:r>
          </w:p>
        </w:tc>
        <w:tc>
          <w:tcPr>
            <w:tcW w:type="dxa" w:w="3096"/>
            <w:vAlign w:val="center"/>
            <w:tcMar>
              <w:top w:w="100" w:type="dxa"/>
              <w:start w:w="120" w:type="dxa"/>
              <w:bottom w:w="100" w:type="dxa"/>
              <w:end w:w="120" w:type="dxa"/>
            </w:tcMar>
            <w:shd w:fill="EEF4F1"/>
          </w:tcPr>
          <w:p>
            <w:pPr>
              <w:spacing w:after="0"/>
            </w:pPr>
            <w:r>
              <w:rPr>
                <w:rFonts w:ascii="Aptos" w:hAnsi="Aptos"/>
                <w:b/>
                <w:i w:val="0"/>
                <w:color w:val="60736E"/>
                <w:sz w:val="15"/>
              </w:rPr>
              <w:t>DOCUMENT STATUS</w:t>
              <w:br/>
            </w:r>
            <w:r>
              <w:rPr>
                <w:rFonts w:ascii="Aptos" w:hAnsi="Aptos"/>
                <w:b/>
                <w:i w:val="0"/>
                <w:color w:val="17352F"/>
                <w:sz w:val="19"/>
              </w:rPr>
              <w:t>Approved</w:t>
            </w:r>
          </w:p>
        </w:tc>
        <w:tc>
          <w:tcPr>
            <w:tcW w:type="dxa" w:w="3096"/>
            <w:vAlign w:val="center"/>
            <w:tcMar>
              <w:top w:w="100" w:type="dxa"/>
              <w:start w:w="120" w:type="dxa"/>
              <w:bottom w:w="100" w:type="dxa"/>
              <w:end w:w="120" w:type="dxa"/>
            </w:tcMar>
            <w:shd w:fill="EEF4F1"/>
          </w:tcPr>
          <w:p>
            <w:pPr>
              <w:spacing w:after="0"/>
            </w:pPr>
            <w:r>
              <w:rPr>
                <w:rFonts w:ascii="Aptos" w:hAnsi="Aptos"/>
                <w:b/>
                <w:i w:val="0"/>
                <w:color w:val="60736E"/>
                <w:sz w:val="15"/>
              </w:rPr>
              <w:t>KNOWLEDGE USE</w:t>
              <w:br/>
            </w:r>
            <w:r>
              <w:rPr>
                <w:rFonts w:ascii="Aptos" w:hAnsi="Aptos"/>
                <w:b/>
                <w:i w:val="0"/>
                <w:color w:val="17352F"/>
                <w:sz w:val="19"/>
              </w:rPr>
              <w:t>Agents + workflows</w:t>
            </w:r>
          </w:p>
        </w:tc>
      </w:tr>
    </w:tbl>
    <w:p/>
    <w:tbl>
      <w:tblPr>
        <w:tblW w:type="auto" w:w="0"/>
        <w:jc w:val="left"/>
        <w:tblLayout w:type="fixed"/>
        <w:tblLook w:firstColumn="1" w:firstRow="1" w:lastColumn="0" w:lastRow="0" w:noHBand="0" w:noVBand="1" w:val="04A0"/>
        <w:tblBorders>
          <w:top w:val="single" w:sz="8" w:color="D8E3DF"/>
          <w:left w:val="single" w:sz="8" w:color="D8E3DF"/>
          <w:bottom w:val="single" w:sz="8" w:color="D8E3DF"/>
          <w:right w:val="single" w:sz="8" w:color="D8E3DF"/>
          <w:insideH w:val="single" w:sz="8" w:color="D8E3DF"/>
          <w:insideV w:val="single" w:sz="8" w:color="D8E3DF"/>
        </w:tblBorders>
      </w:tblPr>
      <w:tblGrid>
        <w:gridCol w:w="9792"/>
      </w:tblGrid>
      <w:tr>
        <w:tc>
          <w:tcPr>
            <w:tcW w:type="dxa" w:w="9360"/>
            <w:tcMar>
              <w:top w:w="140" w:type="dxa"/>
              <w:start w:w="160" w:type="dxa"/>
              <w:bottom w:w="140" w:type="dxa"/>
              <w:end w:w="160" w:type="dxa"/>
            </w:tcMar>
            <w:shd w:fill="EEF4F1"/>
          </w:tcPr>
          <w:p>
            <w:pPr>
              <w:spacing w:after="0"/>
            </w:pPr>
            <w:r>
              <w:rPr>
                <w:rFonts w:ascii="Aptos" w:hAnsi="Aptos"/>
                <w:b/>
                <w:i w:val="0"/>
                <w:color w:val="147A65"/>
                <w:sz w:val="17"/>
              </w:rPr>
              <w:t xml:space="preserve">DEFAULT RULE  </w:t>
            </w:r>
            <w:r>
              <w:rPr>
                <w:rFonts w:ascii="Aptos" w:hAnsi="Aptos"/>
                <w:b w:val="0"/>
                <w:i w:val="0"/>
                <w:color w:val="17352F"/>
                <w:sz w:val="20"/>
              </w:rPr>
              <w:t>No person or agent may approve a production change they authored when the change can affect customer access, data integrity, billing, security controls, or more than one tenant.</w:t>
            </w:r>
          </w:p>
        </w:tc>
      </w:tr>
    </w:tbl>
    <w:p>
      <w:pPr>
        <w:pStyle w:val="Heading1"/>
      </w:pPr>
      <w:r>
        <w:t>Change classes</w:t>
      </w:r>
    </w:p>
    <w:tbl>
      <w:tblPr>
        <w:tblW w:type="auto" w:w="0"/>
        <w:jc w:val="left"/>
        <w:tblLayout w:type="fixed"/>
        <w:tblLook w:firstColumn="1" w:firstRow="1" w:lastColumn="0" w:lastRow="0" w:noHBand="0" w:noVBand="1" w:val="04A0"/>
        <w:tblBorders>
          <w:top w:val="single" w:sz="6" w:color="D8E3DF"/>
          <w:left w:val="single" w:sz="6" w:color="D8E3DF"/>
          <w:bottom w:val="single" w:sz="6" w:color="D8E3DF"/>
          <w:right w:val="single" w:sz="6" w:color="D8E3DF"/>
          <w:insideH w:val="single" w:sz="6" w:color="D8E3DF"/>
          <w:insideV w:val="single" w:sz="6" w:color="D8E3DF"/>
        </w:tblBorders>
      </w:tblPr>
      <w:tblGrid>
        <w:gridCol w:w="3264"/>
        <w:gridCol w:w="3264"/>
        <w:gridCol w:w="3264"/>
      </w:tblGrid>
      <w:tr>
        <w:tc>
          <w:tcPr>
            <w:tcW w:type="dxa" w:w="1512"/>
            <w:shd w:fill="147A65"/>
            <w:tcMar>
              <w:top w:w="100" w:type="dxa"/>
              <w:start w:w="120" w:type="dxa"/>
              <w:bottom w:w="100" w:type="dxa"/>
              <w:end w:w="120" w:type="dxa"/>
            </w:tcMar>
          </w:tcPr>
          <w:p>
            <w:pPr>
              <w:spacing w:after="0"/>
            </w:pPr>
            <w:r>
              <w:rPr>
                <w:rFonts w:ascii="Aptos" w:hAnsi="Aptos"/>
                <w:b/>
                <w:i w:val="0"/>
                <w:color w:val="FFFFFF"/>
                <w:sz w:val="17"/>
              </w:rPr>
              <w:t>Class</w:t>
            </w:r>
          </w:p>
        </w:tc>
        <w:tc>
          <w:tcPr>
            <w:tcW w:type="dxa" w:w="4392"/>
            <w:shd w:fill="147A65"/>
            <w:tcMar>
              <w:top w:w="100" w:type="dxa"/>
              <w:start w:w="120" w:type="dxa"/>
              <w:bottom w:w="100" w:type="dxa"/>
              <w:end w:w="120" w:type="dxa"/>
            </w:tcMar>
          </w:tcPr>
          <w:p>
            <w:pPr>
              <w:spacing w:after="0"/>
            </w:pPr>
            <w:r>
              <w:rPr>
                <w:rFonts w:ascii="Aptos" w:hAnsi="Aptos"/>
                <w:b/>
                <w:i w:val="0"/>
                <w:color w:val="FFFFFF"/>
                <w:sz w:val="17"/>
              </w:rPr>
              <w:t>Examples</w:t>
            </w:r>
          </w:p>
        </w:tc>
        <w:tc>
          <w:tcPr>
            <w:tcW w:type="dxa" w:w="3456"/>
            <w:shd w:fill="147A65"/>
            <w:tcMar>
              <w:top w:w="100" w:type="dxa"/>
              <w:start w:w="120" w:type="dxa"/>
              <w:bottom w:w="100" w:type="dxa"/>
              <w:end w:w="120" w:type="dxa"/>
            </w:tcMar>
          </w:tcPr>
          <w:p>
            <w:pPr>
              <w:spacing w:after="0"/>
            </w:pPr>
            <w:r>
              <w:rPr>
                <w:rFonts w:ascii="Aptos" w:hAnsi="Aptos"/>
                <w:b/>
                <w:i w:val="0"/>
                <w:color w:val="FFFFFF"/>
                <w:sz w:val="17"/>
              </w:rPr>
              <w:t>Approval</w:t>
            </w:r>
          </w:p>
        </w:tc>
      </w:tr>
      <w:tr>
        <w:tc>
          <w:tcPr>
            <w:tcW w:type="dxa" w:w="1512"/>
            <w:vAlign w:val="center"/>
            <w:tcMar>
              <w:top w:w="100" w:type="dxa"/>
              <w:start w:w="120" w:type="dxa"/>
              <w:bottom w:w="100" w:type="dxa"/>
              <w:end w:w="120" w:type="dxa"/>
            </w:tcMar>
          </w:tcPr>
          <w:p>
            <w:pPr>
              <w:spacing w:after="0"/>
            </w:pPr>
            <w:r>
              <w:rPr>
                <w:rFonts w:ascii="Aptos" w:hAnsi="Aptos"/>
                <w:b/>
                <w:i w:val="0"/>
                <w:color w:val="17352F"/>
                <w:sz w:val="18"/>
              </w:rPr>
              <w:t>Standard</w:t>
            </w:r>
          </w:p>
        </w:tc>
        <w:tc>
          <w:tcPr>
            <w:tcW w:type="dxa" w:w="4392"/>
            <w:vAlign w:val="center"/>
            <w:tcMar>
              <w:top w:w="100" w:type="dxa"/>
              <w:start w:w="120" w:type="dxa"/>
              <w:bottom w:w="100" w:type="dxa"/>
              <w:end w:w="120" w:type="dxa"/>
            </w:tcMar>
          </w:tcPr>
          <w:p>
            <w:pPr>
              <w:spacing w:after="0"/>
            </w:pPr>
            <w:r>
              <w:rPr>
                <w:rFonts w:ascii="Aptos" w:hAnsi="Aptos"/>
                <w:b w:val="0"/>
                <w:i w:val="0"/>
                <w:color w:val="17352F"/>
                <w:sz w:val="18"/>
              </w:rPr>
              <w:t>Pre-approved, reversible, rehearsed maintenance</w:t>
            </w:r>
          </w:p>
        </w:tc>
        <w:tc>
          <w:tcPr>
            <w:tcW w:type="dxa" w:w="3456"/>
            <w:vAlign w:val="center"/>
            <w:tcMar>
              <w:top w:w="100" w:type="dxa"/>
              <w:start w:w="120" w:type="dxa"/>
              <w:bottom w:w="100" w:type="dxa"/>
              <w:end w:w="120" w:type="dxa"/>
            </w:tcMar>
          </w:tcPr>
          <w:p>
            <w:pPr>
              <w:spacing w:after="0"/>
            </w:pPr>
            <w:r>
              <w:rPr>
                <w:rFonts w:ascii="Aptos" w:hAnsi="Aptos"/>
                <w:b w:val="0"/>
                <w:i w:val="0"/>
                <w:color w:val="17352F"/>
                <w:sz w:val="18"/>
              </w:rPr>
              <w:t>Service owner</w:t>
            </w:r>
          </w:p>
        </w:tc>
      </w:tr>
      <w:tr>
        <w:tc>
          <w:tcPr>
            <w:tcW w:type="dxa" w:w="1512"/>
            <w:vAlign w:val="center"/>
            <w:tcMar>
              <w:top w:w="100" w:type="dxa"/>
              <w:start w:w="120" w:type="dxa"/>
              <w:bottom w:w="100" w:type="dxa"/>
              <w:end w:w="120" w:type="dxa"/>
            </w:tcMar>
          </w:tcPr>
          <w:p>
            <w:pPr>
              <w:spacing w:after="0"/>
            </w:pPr>
            <w:r>
              <w:rPr>
                <w:rFonts w:ascii="Aptos" w:hAnsi="Aptos"/>
                <w:b/>
                <w:i w:val="0"/>
                <w:color w:val="17352F"/>
                <w:sz w:val="18"/>
              </w:rPr>
              <w:t>Normal</w:t>
            </w:r>
          </w:p>
        </w:tc>
        <w:tc>
          <w:tcPr>
            <w:tcW w:type="dxa" w:w="4392"/>
            <w:vAlign w:val="center"/>
            <w:tcMar>
              <w:top w:w="100" w:type="dxa"/>
              <w:start w:w="120" w:type="dxa"/>
              <w:bottom w:w="100" w:type="dxa"/>
              <w:end w:w="120" w:type="dxa"/>
            </w:tcMar>
          </w:tcPr>
          <w:p>
            <w:pPr>
              <w:spacing w:after="0"/>
            </w:pPr>
            <w:r>
              <w:rPr>
                <w:rFonts w:ascii="Aptos" w:hAnsi="Aptos"/>
                <w:b w:val="0"/>
                <w:i w:val="0"/>
                <w:color w:val="17352F"/>
                <w:sz w:val="18"/>
              </w:rPr>
              <w:t>Planned configuration or application change</w:t>
            </w:r>
          </w:p>
        </w:tc>
        <w:tc>
          <w:tcPr>
            <w:tcW w:type="dxa" w:w="3456"/>
            <w:vAlign w:val="center"/>
            <w:tcMar>
              <w:top w:w="100" w:type="dxa"/>
              <w:start w:w="120" w:type="dxa"/>
              <w:bottom w:w="100" w:type="dxa"/>
              <w:end w:w="120" w:type="dxa"/>
            </w:tcMar>
          </w:tcPr>
          <w:p>
            <w:pPr>
              <w:spacing w:after="0"/>
            </w:pPr>
            <w:r>
              <w:rPr>
                <w:rFonts w:ascii="Aptos" w:hAnsi="Aptos"/>
                <w:b w:val="0"/>
                <w:i w:val="0"/>
                <w:color w:val="17352F"/>
                <w:sz w:val="18"/>
              </w:rPr>
              <w:t>Independent reviewer</w:t>
            </w:r>
          </w:p>
        </w:tc>
      </w:tr>
      <w:tr>
        <w:tc>
          <w:tcPr>
            <w:tcW w:type="dxa" w:w="1512"/>
            <w:vAlign w:val="center"/>
            <w:tcMar>
              <w:top w:w="100" w:type="dxa"/>
              <w:start w:w="120" w:type="dxa"/>
              <w:bottom w:w="100" w:type="dxa"/>
              <w:end w:w="120" w:type="dxa"/>
            </w:tcMar>
          </w:tcPr>
          <w:p>
            <w:pPr>
              <w:spacing w:after="0"/>
            </w:pPr>
            <w:r>
              <w:rPr>
                <w:rFonts w:ascii="Aptos" w:hAnsi="Aptos"/>
                <w:b/>
                <w:i w:val="0"/>
                <w:color w:val="17352F"/>
                <w:sz w:val="18"/>
              </w:rPr>
              <w:t>High risk</w:t>
            </w:r>
          </w:p>
        </w:tc>
        <w:tc>
          <w:tcPr>
            <w:tcW w:type="dxa" w:w="4392"/>
            <w:vAlign w:val="center"/>
            <w:tcMar>
              <w:top w:w="100" w:type="dxa"/>
              <w:start w:w="120" w:type="dxa"/>
              <w:bottom w:w="100" w:type="dxa"/>
              <w:end w:w="120" w:type="dxa"/>
            </w:tcMar>
          </w:tcPr>
          <w:p>
            <w:pPr>
              <w:spacing w:after="0"/>
            </w:pPr>
            <w:r>
              <w:rPr>
                <w:rFonts w:ascii="Aptos" w:hAnsi="Aptos"/>
                <w:b w:val="0"/>
                <w:i w:val="0"/>
                <w:color w:val="17352F"/>
                <w:sz w:val="18"/>
              </w:rPr>
              <w:t>Identity, authorization, migration, billing, bulk data</w:t>
            </w:r>
          </w:p>
        </w:tc>
        <w:tc>
          <w:tcPr>
            <w:tcW w:type="dxa" w:w="3456"/>
            <w:vAlign w:val="center"/>
            <w:tcMar>
              <w:top w:w="100" w:type="dxa"/>
              <w:start w:w="120" w:type="dxa"/>
              <w:bottom w:w="100" w:type="dxa"/>
              <w:end w:w="120" w:type="dxa"/>
            </w:tcMar>
          </w:tcPr>
          <w:p>
            <w:pPr>
              <w:spacing w:after="0"/>
            </w:pPr>
            <w:r>
              <w:rPr>
                <w:rFonts w:ascii="Aptos" w:hAnsi="Aptos"/>
                <w:b w:val="0"/>
                <w:i w:val="0"/>
                <w:color w:val="17352F"/>
                <w:sz w:val="18"/>
              </w:rPr>
              <w:t>Service owner + Security Duty Manager</w:t>
            </w:r>
          </w:p>
        </w:tc>
      </w:tr>
      <w:tr>
        <w:tc>
          <w:tcPr>
            <w:tcW w:type="dxa" w:w="1512"/>
            <w:vAlign w:val="center"/>
            <w:tcMar>
              <w:top w:w="100" w:type="dxa"/>
              <w:start w:w="120" w:type="dxa"/>
              <w:bottom w:w="100" w:type="dxa"/>
              <w:end w:w="120" w:type="dxa"/>
            </w:tcMar>
          </w:tcPr>
          <w:p>
            <w:pPr>
              <w:spacing w:after="0"/>
            </w:pPr>
            <w:r>
              <w:rPr>
                <w:rFonts w:ascii="Aptos" w:hAnsi="Aptos"/>
                <w:b/>
                <w:i w:val="0"/>
                <w:color w:val="17352F"/>
                <w:sz w:val="18"/>
              </w:rPr>
              <w:t>Emergency</w:t>
            </w:r>
          </w:p>
        </w:tc>
        <w:tc>
          <w:tcPr>
            <w:tcW w:type="dxa" w:w="4392"/>
            <w:vAlign w:val="center"/>
            <w:tcMar>
              <w:top w:w="100" w:type="dxa"/>
              <w:start w:w="120" w:type="dxa"/>
              <w:bottom w:w="100" w:type="dxa"/>
              <w:end w:w="120" w:type="dxa"/>
            </w:tcMar>
          </w:tcPr>
          <w:p>
            <w:pPr>
              <w:spacing w:after="0"/>
            </w:pPr>
            <w:r>
              <w:rPr>
                <w:rFonts w:ascii="Aptos" w:hAnsi="Aptos"/>
                <w:b w:val="0"/>
                <w:i w:val="0"/>
                <w:color w:val="17352F"/>
                <w:sz w:val="18"/>
              </w:rPr>
              <w:t>Immediate mitigation of active Sev-1 impact</w:t>
            </w:r>
          </w:p>
        </w:tc>
        <w:tc>
          <w:tcPr>
            <w:tcW w:type="dxa" w:w="3456"/>
            <w:vAlign w:val="center"/>
            <w:tcMar>
              <w:top w:w="100" w:type="dxa"/>
              <w:start w:w="120" w:type="dxa"/>
              <w:bottom w:w="100" w:type="dxa"/>
              <w:end w:w="120" w:type="dxa"/>
            </w:tcMar>
          </w:tcPr>
          <w:p>
            <w:pPr>
              <w:spacing w:after="0"/>
            </w:pPr>
            <w:r>
              <w:rPr>
                <w:rFonts w:ascii="Aptos" w:hAnsi="Aptos"/>
                <w:b w:val="0"/>
                <w:i w:val="0"/>
                <w:color w:val="17352F"/>
                <w:sz w:val="18"/>
              </w:rPr>
              <w:t>Incident commander; retrospective approval within 1 business day</w:t>
            </w:r>
          </w:p>
        </w:tc>
      </w:tr>
    </w:tbl>
    <w:p>
      <w:pPr>
        <w:pStyle w:val="Heading1"/>
      </w:pPr>
      <w:r>
        <w:t>Required change record</w:t>
      </w:r>
    </w:p>
    <w:p>
      <w:pPr>
        <w:pStyle w:val="ListBullet"/>
        <w:spacing w:after="60"/>
        <w:ind w:left="403" w:hanging="259"/>
      </w:pPr>
      <w:r>
        <w:t>Business reason, affected services and tenants, change owner, execution window, and customer impact.</w:t>
      </w:r>
    </w:p>
    <w:p>
      <w:pPr>
        <w:pStyle w:val="ListBullet"/>
        <w:spacing w:after="60"/>
        <w:ind w:left="403" w:hanging="259"/>
      </w:pPr>
      <w:r>
        <w:t>Exact implementation steps, automated test evidence, observability plan, and measurable success criteria.</w:t>
      </w:r>
    </w:p>
    <w:p>
      <w:pPr>
        <w:pStyle w:val="ListBullet"/>
        <w:spacing w:after="60"/>
        <w:ind w:left="403" w:hanging="259"/>
      </w:pPr>
      <w:r>
        <w:t>Rollback trigger, rollback procedure, estimated recovery time, and confirmation that required backups exist.</w:t>
      </w:r>
    </w:p>
    <w:p>
      <w:pPr>
        <w:pStyle w:val="ListBullet"/>
        <w:spacing w:after="60"/>
        <w:ind w:left="403" w:hanging="259"/>
      </w:pPr>
      <w:r>
        <w:t>Independent reviewer decision and any additional approval required by the change class.</w:t>
      </w:r>
    </w:p>
    <w:p>
      <w:pPr>
        <w:pStyle w:val="Heading1"/>
      </w:pPr>
      <w:r>
        <w:t>Execution gates</w:t>
      </w:r>
    </w:p>
    <w:p>
      <w:pPr>
        <w:pStyle w:val="ListNumber"/>
        <w:spacing w:after="80"/>
        <w:ind w:left="461" w:hanging="288"/>
      </w:pPr>
      <w:r>
        <w:t>Validate that the approved definition exactly matches the version scheduled for execution.</w:t>
      </w:r>
    </w:p>
    <w:p>
      <w:pPr>
        <w:pStyle w:val="ListNumber"/>
        <w:spacing w:after="80"/>
        <w:ind w:left="461" w:hanging="288"/>
      </w:pPr>
      <w:r>
        <w:t>Confirm every required connector is active, tested, and authorized for the intended action.</w:t>
      </w:r>
    </w:p>
    <w:p>
      <w:pPr>
        <w:pStyle w:val="ListNumber"/>
        <w:spacing w:after="80"/>
        <w:ind w:left="461" w:hanging="288"/>
      </w:pPr>
      <w:r>
        <w:t>Pause automatically if observed error rate exceeds 2%, customer-impact signals increase, or verification evidence is missing.</w:t>
      </w:r>
    </w:p>
    <w:p>
      <w:pPr>
        <w:pStyle w:val="ListNumber"/>
        <w:spacing w:after="80"/>
        <w:ind w:left="461" w:hanging="288"/>
      </w:pPr>
      <w:r>
        <w:t>Record immutable receipts for every external action, including target, actor, correlation ID, and before/after state where available.</w:t>
      </w:r>
    </w:p>
    <w:p>
      <w:pPr>
        <w:pStyle w:val="ListNumber"/>
        <w:spacing w:after="80"/>
        <w:ind w:left="461" w:hanging="288"/>
      </w:pPr>
      <w:r>
        <w:t>Close only after success criteria are met or rollback is verified. Publishing a completion message is not proof of success.</w:t>
      </w:r>
    </w:p>
    <w:p>
      <w:pPr>
        <w:pStyle w:val="Heading1"/>
      </w:pPr>
      <w:r>
        <w:t>Separation of duties</w:t>
      </w:r>
    </w:p>
    <w:p>
      <w:pPr>
        <w:pStyle w:val="ListBullet"/>
        <w:spacing w:after="60"/>
        <w:ind w:left="403" w:hanging="259"/>
      </w:pPr>
      <w:r>
        <w:t>Author: prepares the change and responds to review findings.</w:t>
      </w:r>
    </w:p>
    <w:p>
      <w:pPr>
        <w:pStyle w:val="ListBullet"/>
        <w:spacing w:after="60"/>
        <w:ind w:left="403" w:hanging="259"/>
      </w:pPr>
      <w:r>
        <w:t>Reviewer: validates evidence, risk, blast radius, and rollback independently.</w:t>
      </w:r>
    </w:p>
    <w:p>
      <w:pPr>
        <w:pStyle w:val="ListBullet"/>
        <w:spacing w:after="60"/>
        <w:ind w:left="403" w:hanging="259"/>
      </w:pPr>
      <w:r>
        <w:t>Approver: accepts organizational risk and may impose conditions or expiry.</w:t>
      </w:r>
    </w:p>
    <w:p>
      <w:pPr>
        <w:pStyle w:val="ListBullet"/>
        <w:spacing w:after="60"/>
        <w:ind w:left="403" w:hanging="259"/>
      </w:pPr>
      <w:r>
        <w:t>Executor: performs the approved version; automation may execute but cannot expand scope.</w:t>
      </w:r>
    </w:p>
    <w:p>
      <w:pPr>
        <w:pStyle w:val="Heading1"/>
      </w:pPr>
      <w:r>
        <w:t>Emergency exception</w:t>
      </w:r>
    </w:p>
    <w:p>
      <w:r>
        <w:t>During an active Sev-1, the incident commander may authorize the smallest reversible action needed to reduce harm. The action, reason, evidence, and observed result must be recorded during the incident. An independent retrospective review is due by the end of the next business day.</w:t>
      </w:r>
    </w:p>
    <w:sectPr w:rsidR="00FC693F" w:rsidRPr="0006063C" w:rsidSect="00034616">
      <w:headerReference w:type="default" r:id="rId9"/>
      <w:footerReference w:type="default" r:id="rId10"/>
      <w:pgSz w:w="12240" w:h="15840"/>
      <w:pgMar w:top="1123" w:right="1224" w:bottom="1008" w:left="1224"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0736E"/>
        <w:sz w:val="16"/>
      </w:rPr>
      <w:t>INTERNAL  |  Sample knowledge for product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0736E"/>
        <w:sz w:val="16"/>
      </w:rPr>
      <w:t>NORTHSTAR CLOUD  /  COMPANY KNOWLEDGE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735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47A6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47A65"/>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7352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Change Approval Policy</dc:title>
  <dc:subject>Fictional company knowledge for ingestion and grounding tests</dc:subject>
  <dc:creator>Northstar Cloud Knowledge Operations</dc:creator>
  <cp:keywords>sample, knowledge, workflow, agent, grounding</cp:keywords>
  <dc:description>generated by python-docx</dc:description>
  <cp:lastModifiedBy/>
  <cp:revision>1</cp:revision>
  <dcterms:created xsi:type="dcterms:W3CDTF">2013-12-23T23:15:00Z</dcterms:created>
  <dcterms:modified xsi:type="dcterms:W3CDTF">2013-12-23T23:15:00Z</dcterms:modified>
  <cp:category/>
</cp:coreProperties>
</file>