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jc w:val="center"/>
      </w:pPr>
      <w:r>
        <w:rPr>
          <w:rFonts w:ascii="Times New Roman" w:hAnsi="Times New Roman"/>
          <w:b/>
          <w:sz w:val="48"/>
        </w:rPr>
        <w:t>TruthLens: Real-Time Multi-Source Corroboration and Semantic Stance Inference for Automated News Credibility Assessment</w:t>
      </w:r>
    </w:p>
    <w:tbl>
      <w:tblPr>
        <w:tblW w:type="auto" w:w="0"/>
        <w:jc w:val="center"/>
        <w:tblLayout w:type="fixed"/>
        <w:tblLook w:firstColumn="1" w:firstRow="1" w:lastColumn="0" w:lastRow="0" w:noHBand="0" w:noVBand="1" w:val="04A0"/>
      </w:tblPr>
      <w:tblGrid>
        <w:gridCol w:w="2610"/>
        <w:gridCol w:w="2610"/>
        <w:gridCol w:w="2610"/>
        <w:gridCol w:w="2610"/>
      </w:tblGrid>
      <w:tr>
        <w:tc>
          <w:tcPr>
            <w:tcW w:type="dxa" w:w="2592"/>
          </w:tcPr>
          <w:p>
            <w:pPr>
              <w:spacing w:after="20" w:line="252" w:lineRule="auto"/>
              <w:jc w:val="center"/>
            </w:pPr>
            <w:r>
              <w:rPr>
                <w:rFonts w:ascii="Times New Roman" w:hAnsi="Times New Roman"/>
                <w:b/>
                <w:sz w:val="20"/>
              </w:rPr>
              <w:t>Shubham Pandey</w:t>
              <w:br/>
            </w:r>
            <w:r>
              <w:rPr>
                <w:rFonts w:ascii="Times New Roman" w:hAnsi="Times New Roman"/>
                <w:sz w:val="17"/>
              </w:rPr>
              <w:t>Student ID: 20231CAI0046</w:t>
              <w:br/>
            </w:r>
            <w:r>
              <w:rPr>
                <w:rFonts w:ascii="Times New Roman" w:hAnsi="Times New Roman"/>
                <w:i/>
                <w:sz w:val="17"/>
              </w:rPr>
              <w:t>Dept. of CSE (AI)</w:t>
              <w:br/>
              <w:t>Presidency University</w:t>
              <w:br/>
              <w:t>Bengaluru, India</w:t>
              <w:br/>
            </w:r>
          </w:p>
        </w:tc>
        <w:tc>
          <w:tcPr>
            <w:tcW w:type="dxa" w:w="2592"/>
          </w:tcPr>
          <w:p>
            <w:pPr>
              <w:spacing w:after="20" w:line="252" w:lineRule="auto"/>
              <w:jc w:val="center"/>
            </w:pPr>
            <w:r>
              <w:rPr>
                <w:rFonts w:ascii="Times New Roman" w:hAnsi="Times New Roman"/>
                <w:b/>
                <w:sz w:val="20"/>
              </w:rPr>
              <w:t>Ikram Inayathulla Khan</w:t>
              <w:br/>
            </w:r>
            <w:r>
              <w:rPr>
                <w:rFonts w:ascii="Times New Roman" w:hAnsi="Times New Roman"/>
                <w:sz w:val="17"/>
              </w:rPr>
              <w:t>Student ID: 20231CAI0006</w:t>
              <w:br/>
            </w:r>
            <w:r>
              <w:rPr>
                <w:rFonts w:ascii="Times New Roman" w:hAnsi="Times New Roman"/>
                <w:i/>
                <w:sz w:val="17"/>
              </w:rPr>
              <w:t>Dept. of CSE (AI)</w:t>
              <w:br/>
              <w:t>Presidency University</w:t>
              <w:br/>
              <w:t>Bengaluru, India</w:t>
              <w:br/>
            </w:r>
          </w:p>
        </w:tc>
        <w:tc>
          <w:tcPr>
            <w:tcW w:type="dxa" w:w="2592"/>
          </w:tcPr>
          <w:p>
            <w:pPr>
              <w:spacing w:after="20" w:line="252" w:lineRule="auto"/>
              <w:jc w:val="center"/>
            </w:pPr>
            <w:r>
              <w:rPr>
                <w:rFonts w:ascii="Times New Roman" w:hAnsi="Times New Roman"/>
                <w:b/>
                <w:sz w:val="20"/>
              </w:rPr>
              <w:t>Karanam Radha Pranathi</w:t>
              <w:br/>
            </w:r>
            <w:r>
              <w:rPr>
                <w:rFonts w:ascii="Times New Roman" w:hAnsi="Times New Roman"/>
                <w:sz w:val="17"/>
              </w:rPr>
              <w:t>Student ID: 20231CAI0003</w:t>
              <w:br/>
            </w:r>
            <w:r>
              <w:rPr>
                <w:rFonts w:ascii="Times New Roman" w:hAnsi="Times New Roman"/>
                <w:i/>
                <w:sz w:val="17"/>
              </w:rPr>
              <w:t>Dept. of CSE (AI)</w:t>
              <w:br/>
              <w:t>Presidency University</w:t>
              <w:br/>
              <w:t>Bengaluru, India</w:t>
              <w:br/>
            </w:r>
          </w:p>
        </w:tc>
        <w:tc>
          <w:tcPr>
            <w:tcW w:type="dxa" w:w="2592"/>
          </w:tcPr>
          <w:p>
            <w:pPr>
              <w:spacing w:after="20" w:line="252" w:lineRule="auto"/>
              <w:jc w:val="center"/>
            </w:pPr>
            <w:r>
              <w:rPr>
                <w:rFonts w:ascii="Times New Roman" w:hAnsi="Times New Roman"/>
                <w:b/>
                <w:sz w:val="20"/>
              </w:rPr>
              <w:t>Bhagyesh</w:t>
              <w:br/>
            </w:r>
            <w:r>
              <w:rPr>
                <w:rFonts w:ascii="Times New Roman" w:hAnsi="Times New Roman"/>
                <w:sz w:val="17"/>
              </w:rPr>
              <w:t>Student ID: 20231CAI0068</w:t>
              <w:br/>
            </w:r>
            <w:r>
              <w:rPr>
                <w:rFonts w:ascii="Times New Roman" w:hAnsi="Times New Roman"/>
                <w:i/>
                <w:sz w:val="17"/>
              </w:rPr>
              <w:t>Dept. of CSE (AI)</w:t>
              <w:br/>
              <w:t>Presidency University</w:t>
              <w:br/>
              <w:t>Bengaluru, India</w:t>
              <w:br/>
            </w:r>
          </w:p>
        </w:tc>
      </w:tr>
    </w:tbl>
    <w:p>
      <w:pPr>
        <w:spacing w:before="160" w:after="80"/>
      </w:pPr>
    </w:p>
    <w:p>
      <w:pPr>
        <w:spacing w:after="80" w:line="240" w:lineRule="auto"/>
        <w:ind w:left="288" w:right="288"/>
        <w:jc w:val="both"/>
      </w:pPr>
      <w:r>
        <w:rPr>
          <w:rFonts w:ascii="Times New Roman" w:hAnsi="Times New Roman"/>
          <w:b/>
          <w:i/>
          <w:sz w:val="18"/>
        </w:rPr>
        <w:t xml:space="preserve">Abstract— </w:t>
      </w:r>
      <w:r>
        <w:rPr>
          <w:rFonts w:ascii="Times New Roman" w:hAnsi="Times New Roman"/>
          <w:b/>
          <w:sz w:val="18"/>
        </w:rPr>
        <w:t>The viral diffusion of computational misinformation across modern digital news ecosystems undermines democratic discourse, institutional integrity, and public health security. Conventional automated fake news detectors treat veracity assessment as an isolated, closed-world natural language classification task, relying predominantly upon lexical sentiment or stylistic cues. Such paradigms predictably collapse when falsehoods are drafted in formal journalistic language or conversely when legitimate breaking journalism covers anomalous real-world emergencies. In this paper, we propose TruthLens, an open-world multi-modal news verification architecture that cross-examines unverified statements against the consensus of independent global journalism. TruthLens synthesizes four specialized subsystems: (i) an ultra-low latency Canonical Domain Resolver indexing 4,442 international press outlets via an optimized SQLite B-Tree database (&lt;0.02ms query latency), (ii) an automated Factual Claim Extractor isolating empirical statements via Named Entity Recognition (NER), numerical heuristics, and assertion verbs while filtering subjective opinion noise, (iii) an automated Evidence Retrieval and Directional Natural Language Inference (NLI) engine classifying claim-evidence stance into discrete polarities (Supports: +1.0, Refutes: -1.0, Neutral: 0.0) with calibrated probabilistic confidence, and (iv) a mathematically unified Credibility Score Aggregator synthesizing multi-source stance consensus, origin publisher authority, and lexical manipulation penalties. Across comprehensive empirical benchmarks and 27 automated test suites, TruthLens achieves 100% verification stability, sub-second pipeline throughput (&lt;1.8s), sub-millisecond stance inference (&lt;0.05s), and decisive discrimination against sophisticated disinformation campaigns and satirical fabrications.</w:t>
      </w:r>
    </w:p>
    <w:p>
      <w:pPr>
        <w:spacing w:before="40" w:after="280"/>
        <w:ind w:left="288" w:right="288"/>
        <w:jc w:val="both"/>
      </w:pPr>
      <w:r>
        <w:rPr>
          <w:rFonts w:ascii="Times New Roman" w:hAnsi="Times New Roman"/>
          <w:b/>
          <w:i/>
          <w:sz w:val="18"/>
        </w:rPr>
        <w:t xml:space="preserve">Index Terms— </w:t>
      </w:r>
      <w:r>
        <w:rPr>
          <w:rFonts w:ascii="Times New Roman" w:hAnsi="Times New Roman"/>
          <w:sz w:val="18"/>
        </w:rPr>
        <w:t>Fake News Detection, Natural Language Inference, Semantic Stance Classification, Source Reputation, Multi-Source Corroboration, Automated Claim Extraction, Computational Journalism, Information Credibility.</w:t>
      </w:r>
    </w:p>
    <w:p>
      <w:pPr>
        <w:sectPr>
          <w:pgSz w:w="12240" w:h="15840"/>
          <w:pgMar w:top="1080" w:right="900" w:bottom="1440" w:left="900" w:header="720" w:footer="720" w:gutter="0"/>
          <w:cols w:space="720"/>
          <w:docGrid w:linePitch="360"/>
        </w:sectPr>
      </w:pPr>
    </w:p>
    <w:p>
      <w:pPr>
        <w:spacing w:before="240" w:after="80"/>
        <w:jc w:val="center"/>
      </w:pPr>
      <w:r>
        <w:rPr>
          <w:rFonts w:ascii="Times New Roman" w:hAnsi="Times New Roman"/>
          <w:b/>
          <w:sz w:val="20"/>
        </w:rPr>
        <w:t>I.  INTRODUCTION</w:t>
      </w:r>
    </w:p>
    <w:p>
      <w:pPr>
        <w:spacing w:after="0" w:line="240" w:lineRule="auto"/>
        <w:jc w:val="both"/>
      </w:pPr>
      <w:r>
        <w:rPr>
          <w:rFonts w:ascii="Times New Roman" w:hAnsi="Times New Roman"/>
          <w:sz w:val="20"/>
        </w:rPr>
        <w:t>THE explosive proliferation of algorithmic disinformation across online digital platforms constitutes a formidable peril to modern democratic governance, public health resilience, and socio-economic equilibrium. Landmark empirical investigations conducted by Vosoughi et al. [1] in Science revealed that false narratives diffuse significantly farther, faster, deeper, and more broadly than verified reporting across all news domains, with political and medical disinformation exhibiting the most aggressive virality. This asymmetric diffusion is driven primarily by cognitive exploitation: deceptive narratives are intentionally crafted to evoke high-arousal negative affect, sensational novelty, and collective panic [2].</w:t>
      </w:r>
    </w:p>
    <w:p>
      <w:pPr>
        <w:spacing w:after="0" w:line="240" w:lineRule="auto"/>
        <w:ind w:firstLine="202"/>
        <w:jc w:val="both"/>
      </w:pPr>
      <w:r>
        <w:rPr>
          <w:rFonts w:ascii="Times New Roman" w:hAnsi="Times New Roman"/>
          <w:sz w:val="20"/>
        </w:rPr>
        <w:t>Historically, the computer science community has treated automated fake news detection as a conventional closed-world natural language processing (NLP) classification challenge. Supervised architectures—ranging from Support Vector Machines (SVM) trained on lexical n-grams to fine-tuned contextual transformers such as BERT [3]—endeavor to discern truthfulness solely from stylistic attributes or sentiment cues within the isolated text. Extensive literature [4], [5], however, establishes three fatal structural vulnerabilities in this paradigm:</w:t>
      </w:r>
    </w:p>
    <w:p>
      <w:pPr>
        <w:spacing w:after="0" w:line="240" w:lineRule="auto"/>
        <w:ind w:firstLine="202"/>
        <w:jc w:val="both"/>
      </w:pPr>
      <w:r>
        <w:rPr>
          <w:rFonts w:ascii="Times New Roman" w:hAnsi="Times New Roman"/>
          <w:sz w:val="20"/>
        </w:rPr>
        <w:t>1) The Sophisticated Impersonator Dilemma: Hostile actors increasingly mimic formal, authoritative journalistic syntax, deploying passive voice, balanced rhetoric, and AP-style vocabulary to propagate total fabrications. Stylistic classifiers invariably certify such content as genuine [6].</w:t>
      </w:r>
    </w:p>
    <w:p>
      <w:pPr>
        <w:spacing w:after="0" w:line="240" w:lineRule="auto"/>
        <w:ind w:firstLine="202"/>
        <w:jc w:val="both"/>
      </w:pPr>
      <w:r>
        <w:rPr>
          <w:rFonts w:ascii="Times New Roman" w:hAnsi="Times New Roman"/>
          <w:sz w:val="20"/>
        </w:rPr>
        <w:t>2) The Atypical Breaking News Vulnerability: Genuine reporting regarding unprecedented emergencies, military conflicts, or volatile catastrophes inherently incorporates urgent terminology, rapid updates, and high emotional shock. Style-based models systematically misclassify authentic emergency journalism as clickbait [7].</w:t>
      </w:r>
    </w:p>
    <w:p>
      <w:pPr>
        <w:spacing w:after="0" w:line="240" w:lineRule="auto"/>
        <w:ind w:firstLine="202"/>
        <w:jc w:val="both"/>
      </w:pPr>
      <w:r>
        <w:rPr>
          <w:rFonts w:ascii="Times New Roman" w:hAnsi="Times New Roman"/>
          <w:sz w:val="20"/>
        </w:rPr>
        <w:t>3) Entity and Topical Keyword Overfitting: Classifiers trained on static fake news corpora overfit heavily to transient political or cultural entities, precipitating severe performance collapse when deployed against emerging news streams [8].</w:t>
      </w:r>
    </w:p>
    <w:p>
      <w:pPr>
        <w:spacing w:after="0" w:line="240" w:lineRule="auto"/>
        <w:ind w:firstLine="202"/>
        <w:jc w:val="both"/>
      </w:pPr>
      <w:r>
        <w:rPr>
          <w:rFonts w:ascii="Times New Roman" w:hAnsi="Times New Roman"/>
          <w:sz w:val="20"/>
        </w:rPr>
        <w:t>To decisively overcome these foundational limitations, we introduce TruthLens, an open-world multi-modal credibility verification system for computational journalism. TruthLens operationalizes the investigative methodology of professional fact-checkers: multi-source cross-examination. Rather than guessing truthfulness from isolated literary style, TruthLens extracts testable factual claims and examines whether reputable independent news organizations corroborate, refute, or dispute the assertion.</w:t>
      </w:r>
    </w:p>
    <w:p>
      <w:pPr>
        <w:spacing w:before="240" w:after="80"/>
        <w:jc w:val="center"/>
      </w:pPr>
      <w:r>
        <w:rPr>
          <w:rFonts w:ascii="Times New Roman" w:hAnsi="Times New Roman"/>
          <w:b/>
          <w:sz w:val="20"/>
        </w:rPr>
        <w:t>II.  RELATED WORK</w:t>
      </w:r>
    </w:p>
    <w:p>
      <w:pPr>
        <w:spacing w:after="0" w:line="240" w:lineRule="auto"/>
        <w:jc w:val="both"/>
      </w:pPr>
      <w:r>
        <w:rPr>
          <w:rFonts w:ascii="Times New Roman" w:hAnsi="Times New Roman"/>
          <w:sz w:val="20"/>
        </w:rPr>
        <w:t>Automated veracity assessment intersects multiple subfields within artificial intelligence, computational journalism, and network science. Existing research trajectories can be categorized into three dominant paradigms.</w:t>
      </w:r>
    </w:p>
    <w:p>
      <w:pPr>
        <w:spacing w:before="160" w:after="40"/>
      </w:pPr>
      <w:r>
        <w:rPr>
          <w:rFonts w:ascii="Times New Roman" w:hAnsi="Times New Roman"/>
          <w:b/>
          <w:i/>
          <w:sz w:val="20"/>
        </w:rPr>
        <w:t>A.  Stylistic and Lexical Manipulation Analysis</w:t>
      </w:r>
    </w:p>
    <w:p>
      <w:pPr>
        <w:spacing w:after="0" w:line="240" w:lineRule="auto"/>
        <w:ind w:firstLine="202"/>
        <w:jc w:val="both"/>
      </w:pPr>
      <w:r>
        <w:rPr>
          <w:rFonts w:ascii="Times New Roman" w:hAnsi="Times New Roman"/>
          <w:sz w:val="20"/>
        </w:rPr>
        <w:t>Pioneering studies concentrated upon linguistic markers indicative of deception. Horne and Adali [9] demonstrated that deceptive articles exhibit distinct title-to-body complexity ratios and higher verbosity. Rashkin et al. [10] applied Linguistic Inquiry and Word Count (LIWC) lexicons, documenting an elevation in hyperbolic modifiers and subjective qualifiers within fabricated news. Although lexical analysis reliably identifies viral clickbait, it remains epistemologically blind to empirical truth [11].</w:t>
      </w:r>
    </w:p>
    <w:p>
      <w:pPr>
        <w:spacing w:before="160" w:after="40"/>
      </w:pPr>
      <w:r>
        <w:rPr>
          <w:rFonts w:ascii="Times New Roman" w:hAnsi="Times New Roman"/>
          <w:b/>
          <w:i/>
          <w:sz w:val="20"/>
        </w:rPr>
        <w:t>B.  Fact-Checking Datasets and Natural Language Inference</w:t>
      </w:r>
    </w:p>
    <w:p>
      <w:pPr>
        <w:spacing w:after="0" w:line="240" w:lineRule="auto"/>
        <w:ind w:firstLine="202"/>
        <w:jc w:val="both"/>
      </w:pPr>
      <w:r>
        <w:rPr>
          <w:rFonts w:ascii="Times New Roman" w:hAnsi="Times New Roman"/>
          <w:sz w:val="20"/>
        </w:rPr>
        <w:t>To introduce factual grounding, large-scale benchmarks have emerged. Thorne et al. [12] introduced the FEVER dataset, formulating verification as an evidence retrieval and Natural Language Inference (NLI) task against Wikipedia. Wang [13] assembled the LIAR corpus from PolitiFact statements. While foundational, existing NLI pipelines incur prohibitive computational latency when deploying massive cross-encoders, or they depend upon static knowledge bases that lag days behind real-time breaking events.</w:t>
      </w:r>
    </w:p>
    <w:p>
      <w:pPr>
        <w:spacing w:before="160" w:after="40"/>
      </w:pPr>
      <w:r>
        <w:rPr>
          <w:rFonts w:ascii="Times New Roman" w:hAnsi="Times New Roman"/>
          <w:b/>
          <w:i/>
          <w:sz w:val="20"/>
        </w:rPr>
        <w:t>C.  Source Reputation and Provenance Modeling</w:t>
      </w:r>
    </w:p>
    <w:p>
      <w:pPr>
        <w:spacing w:after="0" w:line="240" w:lineRule="auto"/>
        <w:ind w:firstLine="202"/>
        <w:jc w:val="both"/>
      </w:pPr>
      <w:r>
        <w:rPr>
          <w:rFonts w:ascii="Times New Roman" w:hAnsi="Times New Roman"/>
          <w:sz w:val="20"/>
        </w:rPr>
        <w:t>Baly et al. [14] proved that modeling historical publisher reliability, editorial standards, and institutional transparency dramatically outperforms isolated text analysis. Media Bias/Fact Check (MBFC) represents the prevailing global benchmark for media credibility ratings [15]. TruthLens unifies source reputation modeling with automated claim extraction and real-time multi-source stance inference.</w:t>
      </w:r>
    </w:p>
    <w:p>
      <w:pPr>
        <w:spacing w:before="240" w:after="80"/>
        <w:jc w:val="center"/>
      </w:pPr>
      <w:r>
        <w:rPr>
          <w:rFonts w:ascii="Times New Roman" w:hAnsi="Times New Roman"/>
          <w:b/>
          <w:sz w:val="20"/>
        </w:rPr>
        <w:t>III.  PROPOSED SYSTEM ARCHITECTURE &amp; METHODOLOGY</w:t>
      </w:r>
    </w:p>
    <w:p>
      <w:pPr>
        <w:spacing w:after="0" w:line="240" w:lineRule="auto"/>
        <w:jc w:val="both"/>
      </w:pPr>
      <w:r>
        <w:rPr>
          <w:rFonts w:ascii="Times New Roman" w:hAnsi="Times New Roman"/>
          <w:sz w:val="20"/>
        </w:rPr>
        <w:t>The TruthLens verification pipeline operates as a modular, feed-forward inference system executing across four interconnected subsystems, as conceptualized in Fig. 1.</w:t>
      </w:r>
    </w:p>
    <w:p>
      <w:pPr>
        <w:spacing w:before="120" w:after="40"/>
        <w:jc w:val="center"/>
      </w:pPr>
      <w:r>
        <w:drawing>
          <wp:inline xmlns:a="http://schemas.openxmlformats.org/drawingml/2006/main" xmlns:pic="http://schemas.openxmlformats.org/drawingml/2006/picture">
            <wp:extent cx="3063240" cy="1516149"/>
            <wp:docPr id="1" name="Picture 1"/>
            <wp:cNvGraphicFramePr>
              <a:graphicFrameLocks noChangeAspect="1"/>
            </wp:cNvGraphicFramePr>
            <a:graphic>
              <a:graphicData uri="http://schemas.openxmlformats.org/drawingml/2006/picture">
                <pic:pic>
                  <pic:nvPicPr>
                    <pic:cNvPr id="0" name="fig3_1_architecture.png"/>
                    <pic:cNvPicPr/>
                  </pic:nvPicPr>
                  <pic:blipFill>
                    <a:blip r:embed="rId9"/>
                    <a:stretch>
                      <a:fillRect/>
                    </a:stretch>
                  </pic:blipFill>
                  <pic:spPr>
                    <a:xfrm>
                      <a:off x="0" y="0"/>
                      <a:ext cx="3063240" cy="1516149"/>
                    </a:xfrm>
                    <a:prstGeom prst="rect"/>
                  </pic:spPr>
                </pic:pic>
              </a:graphicData>
            </a:graphic>
          </wp:inline>
        </w:drawing>
      </w:r>
    </w:p>
    <w:p>
      <w:pPr>
        <w:spacing w:after="120"/>
        <w:jc w:val="both"/>
      </w:pPr>
      <w:r>
        <w:rPr>
          <w:rFonts w:ascii="Times New Roman" w:hAnsi="Times New Roman"/>
          <w:b/>
          <w:sz w:val="16"/>
        </w:rPr>
        <w:t xml:space="preserve">Fig. 1.  </w:t>
      </w:r>
      <w:r>
        <w:rPr>
          <w:rFonts w:ascii="Times New Roman" w:hAnsi="Times New Roman"/>
          <w:sz w:val="16"/>
        </w:rPr>
        <w:t>TruthLens multi-tier computational pipeline: integrating institutional source provenance, automated claim extraction, live evidence pool retrieval, semantic stance NLI, and score fusion.</w:t>
      </w:r>
    </w:p>
    <w:p>
      <w:pPr>
        <w:spacing w:before="160" w:after="40"/>
      </w:pPr>
      <w:r>
        <w:rPr>
          <w:rFonts w:ascii="Times New Roman" w:hAnsi="Times New Roman"/>
          <w:b/>
          <w:i/>
          <w:sz w:val="20"/>
        </w:rPr>
        <w:t>A.  Canonical Domain Resolver &amp; Source Knowledge Base</w:t>
      </w:r>
    </w:p>
    <w:p>
      <w:pPr>
        <w:spacing w:after="0" w:line="240" w:lineRule="auto"/>
        <w:ind w:firstLine="202"/>
        <w:jc w:val="both"/>
      </w:pPr>
      <w:r>
        <w:rPr>
          <w:rFonts w:ascii="Times New Roman" w:hAnsi="Times New Roman"/>
          <w:sz w:val="20"/>
        </w:rPr>
        <w:t>Publisher provenance serves as the foundational credibility baseline. When provided an arbitrary URL or domain, the multi-tier resolver normalizes deep paths, tracking query parameters, and subdomains into the exact apex domain via suffix parsing. The resolved domain is queried against our structured SQLite database indexing 4,442 international press outlets cataloged from Media Bias/Fact Check.</w:t>
      </w:r>
    </w:p>
    <w:p>
      <w:pPr>
        <w:spacing w:after="0" w:line="240" w:lineRule="auto"/>
        <w:ind w:firstLine="202"/>
        <w:jc w:val="both"/>
      </w:pPr>
      <w:r>
        <w:rPr>
          <w:rFonts w:ascii="Times New Roman" w:hAnsi="Times New Roman"/>
          <w:sz w:val="20"/>
        </w:rPr>
        <w:t>To guarantee real-time latency (&lt;0.02ms), the SQLite engine implements an indexed B-Tree structure on the canonical domain key. Editorial reliability maps to a continuous weight factor W_rep in [0.0, 1.0]: Very High (1.00), High (0.85), Mostly Factual (0.70), Mixed (0.45), Low (0.20), Conspiracy (0.02), and Satire (0.00). Unindexed domains invoke authoritative TLD heuristics (.gov = 0.95, .edu = 0.90, .int = 0.92) or default to a neutral prior of 0.50.</w:t>
      </w:r>
    </w:p>
    <w:p>
      <w:pPr>
        <w:spacing w:before="160" w:after="40"/>
      </w:pPr>
      <w:r>
        <w:rPr>
          <w:rFonts w:ascii="Times New Roman" w:hAnsi="Times New Roman"/>
          <w:b/>
          <w:i/>
          <w:sz w:val="20"/>
        </w:rPr>
        <w:t>B.  Linguistic Manipulation Scanner</w:t>
      </w:r>
    </w:p>
    <w:p>
      <w:pPr>
        <w:spacing w:after="0" w:line="240" w:lineRule="auto"/>
        <w:ind w:firstLine="202"/>
        <w:jc w:val="both"/>
      </w:pPr>
      <w:r>
        <w:rPr>
          <w:rFonts w:ascii="Times New Roman" w:hAnsi="Times New Roman"/>
          <w:sz w:val="20"/>
        </w:rPr>
        <w:t>Concurrently, the input text is evaluated across 109 curated lexical markers spanning four manipulation vectors: (1) Sensationalism and Clickbait, (2) Fear, Urgency, and Panic Incitement, (3) Conspiracy Framing, and (4) Pseudoscience/Miracle Cures. Stylistic anomalies (excessive capitalization, stacked exclamation points) are compiled into manipulation index M_index in [0.0, 100.0].</w:t>
      </w:r>
    </w:p>
    <w:p>
      <w:pPr>
        <w:spacing w:before="160" w:after="40"/>
      </w:pPr>
      <w:r>
        <w:rPr>
          <w:rFonts w:ascii="Times New Roman" w:hAnsi="Times New Roman"/>
          <w:b/>
          <w:i/>
          <w:sz w:val="20"/>
        </w:rPr>
        <w:t>C.  Automated Factual Claim Extraction</w:t>
      </w:r>
    </w:p>
    <w:p>
      <w:pPr>
        <w:spacing w:after="0" w:line="240" w:lineRule="auto"/>
        <w:ind w:firstLine="202"/>
        <w:jc w:val="both"/>
      </w:pPr>
      <w:r>
        <w:rPr>
          <w:rFonts w:ascii="Times New Roman" w:hAnsi="Times New Roman"/>
          <w:sz w:val="20"/>
        </w:rPr>
        <w:t>To isolate verifiable empirical statements from multi-paragraph articles, the Claim Extractor executes syntactic and entity assertion parsing through three sequential phases:</w:t>
      </w:r>
    </w:p>
    <w:p>
      <w:pPr>
        <w:spacing w:after="0" w:line="240" w:lineRule="auto"/>
        <w:ind w:firstLine="202"/>
        <w:jc w:val="both"/>
      </w:pPr>
      <w:r>
        <w:rPr>
          <w:rFonts w:ascii="Times New Roman" w:hAnsi="Times New Roman"/>
          <w:sz w:val="20"/>
        </w:rPr>
        <w:t>1) Boundary Segmentation: Text is segmented into sentences, discarding conversational fragments (&lt; 3 words) and compound paragraphs (&gt; 75 words).</w:t>
      </w:r>
    </w:p>
    <w:p>
      <w:pPr>
        <w:spacing w:after="0" w:line="240" w:lineRule="auto"/>
        <w:ind w:firstLine="202"/>
        <w:jc w:val="both"/>
      </w:pPr>
      <w:r>
        <w:rPr>
          <w:rFonts w:ascii="Times New Roman" w:hAnsi="Times New Roman"/>
          <w:sz w:val="20"/>
        </w:rPr>
        <w:t>2) Subjective Opinion Filtering: Interrogative statements ending in question marks and clauses initiated by opinion markers (e.g., 'in my opinion', 'I believe') are eliminated.</w:t>
      </w:r>
    </w:p>
    <w:p>
      <w:pPr>
        <w:spacing w:after="0" w:line="240" w:lineRule="auto"/>
        <w:ind w:firstLine="202"/>
        <w:jc w:val="both"/>
      </w:pPr>
      <w:r>
        <w:rPr>
          <w:rFonts w:ascii="Times New Roman" w:hAnsi="Times New Roman"/>
          <w:sz w:val="20"/>
        </w:rPr>
        <w:t>3) Empirical Salience Scoring: Sentences are scored for named entities (PERSON, ORG, GPE, DATE, PERCENT, MONEY via spaCy), numerical figures, temporal markers, and factual action verbs (e.g., announced, confirmed, discovered, launched, signed). Each candidate receives salience score S_salience in [0.0, 1.0], with the highest-ranked statement selected as the primary claim.</w:t>
      </w:r>
    </w:p>
    <w:p>
      <w:pPr>
        <w:spacing w:before="160" w:after="40"/>
      </w:pPr>
      <w:r>
        <w:rPr>
          <w:rFonts w:ascii="Times New Roman" w:hAnsi="Times New Roman"/>
          <w:b/>
          <w:i/>
          <w:sz w:val="20"/>
        </w:rPr>
        <w:t>D.  Multi-Source Evidence Retrieval &amp; Semantic Stance Inference</w:t>
      </w:r>
    </w:p>
    <w:p>
      <w:pPr>
        <w:spacing w:after="0" w:line="240" w:lineRule="auto"/>
        <w:ind w:firstLine="202"/>
        <w:jc w:val="both"/>
      </w:pPr>
      <w:r>
        <w:rPr>
          <w:rFonts w:ascii="Times New Roman" w:hAnsi="Times New Roman"/>
          <w:sz w:val="20"/>
        </w:rPr>
        <w:t>The extracted claim is dispatched to query global news feeds via NewsAPI. The system dynamically retrieves contemporary reporting across independent press organizations, constructing an evidence pool E = {e_1, e_2, ..., e_N}.</w:t>
      </w:r>
    </w:p>
    <w:p>
      <w:pPr>
        <w:spacing w:after="0" w:line="240" w:lineRule="auto"/>
        <w:ind w:firstLine="202"/>
        <w:jc w:val="both"/>
      </w:pPr>
      <w:r>
        <w:rPr>
          <w:rFonts w:ascii="Times New Roman" w:hAnsi="Times New Roman"/>
          <w:sz w:val="20"/>
        </w:rPr>
        <w:t>For each retrieved article e_i, the pairwise semantic stance with respect to candidate claim c is evaluated through directional Natural Language Inference (NLI). The inference engine computes non-stopword token intersection, named entity overlap, and directional contrast markers (e.g., 'debunked', 'denied', 'hoax', 'false', 'disputed' vs. 'confirmed', 'verified', 'officially announced'). The resulting stance is mapped to discrete polarity variable Phi_i:</w:t>
      </w:r>
    </w:p>
    <w:p>
      <w:pPr>
        <w:spacing w:after="0" w:line="240" w:lineRule="auto"/>
        <w:ind w:firstLine="202"/>
        <w:jc w:val="both"/>
      </w:pPr>
      <w:r>
        <w:rPr>
          <w:rFonts w:ascii="Times New Roman" w:hAnsi="Times New Roman"/>
          <w:sz w:val="20"/>
        </w:rPr>
        <w:t>• SUPPORTS (Phi_i = +1.0): Evidence affirms or entails the claim (Overlap &gt;= 0.35 with corroborating affirmative verbs).</w:t>
      </w:r>
    </w:p>
    <w:p>
      <w:pPr>
        <w:spacing w:after="0" w:line="240" w:lineRule="auto"/>
        <w:ind w:firstLine="202"/>
        <w:jc w:val="both"/>
      </w:pPr>
      <w:r>
        <w:rPr>
          <w:rFonts w:ascii="Times New Roman" w:hAnsi="Times New Roman"/>
          <w:sz w:val="20"/>
        </w:rPr>
        <w:t>• REFUTES (Phi_i = -1.0): Evidence contradicts, denies, or debunks the claim (Topical overlap accompanied by explicit refutation/denial clauses).</w:t>
      </w:r>
    </w:p>
    <w:p>
      <w:pPr>
        <w:spacing w:after="0" w:line="240" w:lineRule="auto"/>
        <w:ind w:firstLine="202"/>
        <w:jc w:val="both"/>
      </w:pPr>
      <w:r>
        <w:rPr>
          <w:rFonts w:ascii="Times New Roman" w:hAnsi="Times New Roman"/>
          <w:sz w:val="20"/>
        </w:rPr>
        <w:t>• NEUTRAL (Phi_i = 0.0): Evidence discusses unrelated topics or lacks definitive alignment (Topical overlap &lt; 0.18).</w:t>
      </w:r>
    </w:p>
    <w:p>
      <w:pPr>
        <w:spacing w:before="160" w:after="40"/>
      </w:pPr>
      <w:r>
        <w:rPr>
          <w:rFonts w:ascii="Times New Roman" w:hAnsi="Times New Roman"/>
          <w:b/>
          <w:i/>
          <w:sz w:val="20"/>
        </w:rPr>
        <w:t>E.  Unified Mathematical Credibility Score Aggregator</w:t>
      </w:r>
    </w:p>
    <w:p>
      <w:pPr>
        <w:spacing w:after="0" w:line="240" w:lineRule="auto"/>
        <w:ind w:firstLine="202"/>
        <w:jc w:val="both"/>
      </w:pPr>
      <w:r>
        <w:rPr>
          <w:rFonts w:ascii="Times New Roman" w:hAnsi="Times New Roman"/>
          <w:sz w:val="20"/>
        </w:rPr>
        <w:t>To synthesize multi-source evidence into an objective, audit-ready assessment, TruthLens formulates the unified credibility scoring equation:</w:t>
      </w:r>
    </w:p>
    <w:p>
      <w:pPr>
        <w:spacing w:before="80" w:after="80" w:line="240" w:lineRule="auto"/>
        <w:jc w:val="center"/>
      </w:pPr>
      <w:r>
        <w:rPr>
          <w:rFonts w:ascii="Times New Roman" w:hAnsi="Times New Roman"/>
          <w:i/>
          <w:sz w:val="19"/>
        </w:rPr>
        <w:t>C_final = 0.70·S_evidence + 0.30·W_origin - 0.25·M_index    (1)</w:t>
      </w:r>
    </w:p>
    <w:p>
      <w:pPr>
        <w:spacing w:after="0" w:line="240" w:lineRule="auto"/>
        <w:ind w:firstLine="202"/>
        <w:jc w:val="both"/>
      </w:pPr>
      <w:r>
        <w:rPr>
          <w:rFonts w:ascii="Times New Roman" w:hAnsi="Times New Roman"/>
          <w:sz w:val="20"/>
        </w:rPr>
        <w:t>Where W_origin in [0, 100] represents the baseline credibility percentage of the originating source domain, and M_index in [0, 100] represents the linguistic manipulation index, subtracting up to 25 penalty points. The multi-source evidence consensus score S_evidence is computed as the reputation-weighted stance mean across all N retrieved evidence articles:</w:t>
      </w:r>
    </w:p>
    <w:p>
      <w:pPr>
        <w:spacing w:before="80" w:after="80" w:line="240" w:lineRule="auto"/>
        <w:jc w:val="center"/>
      </w:pPr>
      <w:r>
        <w:rPr>
          <w:rFonts w:ascii="Times New Roman" w:hAnsi="Times New Roman"/>
          <w:i/>
          <w:sz w:val="19"/>
        </w:rPr>
        <w:t>Phi_bar = [ sum_{i=1}^N (W_rep,i · Phi_i · kappa_i) ] / [ sum_{i=1}^N W_rep,i ]    (2)</w:t>
      </w:r>
    </w:p>
    <w:p>
      <w:pPr>
        <w:spacing w:before="80" w:after="80" w:line="240" w:lineRule="auto"/>
        <w:jc w:val="center"/>
      </w:pPr>
      <w:r>
        <w:rPr>
          <w:rFonts w:ascii="Times New Roman" w:hAnsi="Times New Roman"/>
          <w:i/>
          <w:sz w:val="19"/>
        </w:rPr>
        <w:t>S_evidence = (Phi_bar + 1.0) · 50.0    (3)</w:t>
      </w:r>
    </w:p>
    <w:p>
      <w:pPr>
        <w:spacing w:after="0" w:line="240" w:lineRule="auto"/>
        <w:ind w:firstLine="202"/>
        <w:jc w:val="both"/>
      </w:pPr>
      <w:r>
        <w:rPr>
          <w:rFonts w:ascii="Times New Roman" w:hAnsi="Times New Roman"/>
          <w:sz w:val="20"/>
        </w:rPr>
        <w:t>Here, kappa_i in [0.0, 1.0] denotes the calibrated stance confidence. S_evidence cleanly normalizes the consensus interval [-1.0, +1.0] onto a percentage scale [0.0, 100.0]. When all reputable outlets support the claim, Phi_bar = +1.0 and S_evidence = 100.0; when evidence is neutral or unavailable, Phi_bar = 0.0 and S_evidence defaults to 50.0; and when reputable outlets refute the claim, Phi_bar = -1.0 and S_evidence drops to 0.0.</w:t>
      </w:r>
    </w:p>
    <w:p>
      <w:pPr>
        <w:spacing w:after="0" w:line="240" w:lineRule="auto"/>
        <w:ind w:firstLine="202"/>
        <w:jc w:val="both"/>
      </w:pPr>
      <w:r>
        <w:rPr>
          <w:rFonts w:ascii="Times New Roman" w:hAnsi="Times New Roman"/>
          <w:sz w:val="20"/>
        </w:rPr>
        <w:t>Categorical Safety Overrides: If the originating domain is indexed as 100% Satire, C_final is unconditionally clamped to 0.0 and classified as SATIRE/PARODY. If the origin is flagged for Conspiracy/Pseudoscience, C_final is capped at 15.0.</w:t>
      </w:r>
    </w:p>
    <w:p>
      <w:pPr>
        <w:spacing w:before="240" w:after="80"/>
        <w:jc w:val="center"/>
      </w:pPr>
      <w:r>
        <w:rPr>
          <w:rFonts w:ascii="Times New Roman" w:hAnsi="Times New Roman"/>
          <w:b/>
          <w:sz w:val="20"/>
        </w:rPr>
        <w:t>IV.  EXPERIMENTAL RESULTS &amp; EMPIRICAL EVALUATION</w:t>
      </w:r>
    </w:p>
    <w:p>
      <w:pPr>
        <w:spacing w:after="0" w:line="240" w:lineRule="auto"/>
        <w:jc w:val="both"/>
      </w:pPr>
      <w:r>
        <w:rPr>
          <w:rFonts w:ascii="Times New Roman" w:hAnsi="Times New Roman"/>
          <w:sz w:val="20"/>
        </w:rPr>
        <w:t>The system was evaluated across runtime latency benchmarks, database indexing efficacy, and adversarial verification case studies.</w:t>
      </w:r>
    </w:p>
    <w:p>
      <w:pPr>
        <w:spacing w:before="160" w:after="40"/>
      </w:pPr>
      <w:r>
        <w:rPr>
          <w:rFonts w:ascii="Times New Roman" w:hAnsi="Times New Roman"/>
          <w:b/>
          <w:i/>
          <w:sz w:val="20"/>
        </w:rPr>
        <w:t>A.  Runtime Latency Benchmarking</w:t>
      </w:r>
    </w:p>
    <w:p>
      <w:pPr>
        <w:spacing w:after="0" w:line="240" w:lineRule="auto"/>
        <w:ind w:firstLine="202"/>
        <w:jc w:val="both"/>
      </w:pPr>
      <w:r>
        <w:rPr>
          <w:rFonts w:ascii="Times New Roman" w:hAnsi="Times New Roman"/>
          <w:sz w:val="20"/>
        </w:rPr>
        <w:t>Table I details execution latencies recorded across each constituent module evaluated on an Intel Core i7 environment under Python 3.11.</w:t>
      </w:r>
    </w:p>
    <w:p>
      <w:pPr>
        <w:spacing w:before="120" w:after="40"/>
        <w:jc w:val="center"/>
      </w:pPr>
      <w:r>
        <w:rPr>
          <w:rFonts w:ascii="Times New Roman" w:hAnsi="Times New Roman"/>
          <w:b/>
          <w:sz w:val="16"/>
        </w:rPr>
        <w:t>TABLE I</w:t>
        <w:br/>
        <w:t>MODULE RUNTIME LATENCY BENCHMARKS</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left w:val="none"/>
          <w:right w:val="none"/>
          <w:insideV w:val="none"/>
        </w:tblBorders>
      </w:tblPr>
      <w:tblGrid>
        <w:gridCol w:w="3480"/>
        <w:gridCol w:w="3480"/>
        <w:gridCol w:w="3480"/>
      </w:tblGrid>
      <w:tr>
        <w:tc>
          <w:tcPr>
            <w:tcW w:type="dxa" w:w="2304"/>
            <w:tcMar>
              <w:top w:w="40" w:type="dxa"/>
              <w:bottom w:w="40" w:type="dxa"/>
              <w:left w:w="40" w:type="dxa"/>
              <w:right w:w="40" w:type="dxa"/>
            </w:tcMar>
          </w:tcPr>
          <w:p>
            <w:pPr>
              <w:jc w:val="center"/>
            </w:pPr>
            <w:r>
              <w:rPr>
                <w:rFonts w:ascii="Times New Roman" w:hAnsi="Times New Roman"/>
                <w:b/>
                <w:sz w:val="15"/>
              </w:rPr>
              <w:t>Pipeline Processing Stage</w:t>
            </w:r>
          </w:p>
        </w:tc>
        <w:tc>
          <w:tcPr>
            <w:tcW w:type="dxa" w:w="1584"/>
            <w:tcMar>
              <w:top w:w="40" w:type="dxa"/>
              <w:bottom w:w="40" w:type="dxa"/>
              <w:left w:w="40" w:type="dxa"/>
              <w:right w:w="40" w:type="dxa"/>
            </w:tcMar>
          </w:tcPr>
          <w:p>
            <w:pPr>
              <w:jc w:val="center"/>
            </w:pPr>
            <w:r>
              <w:rPr>
                <w:rFonts w:ascii="Times New Roman" w:hAnsi="Times New Roman"/>
                <w:b/>
                <w:sz w:val="15"/>
              </w:rPr>
              <w:t>Technology</w:t>
            </w:r>
          </w:p>
        </w:tc>
        <w:tc>
          <w:tcPr>
            <w:tcW w:type="dxa" w:w="1008"/>
            <w:tcMar>
              <w:top w:w="40" w:type="dxa"/>
              <w:bottom w:w="40" w:type="dxa"/>
              <w:left w:w="40" w:type="dxa"/>
              <w:right w:w="40" w:type="dxa"/>
            </w:tcMar>
          </w:tcPr>
          <w:p>
            <w:pPr>
              <w:jc w:val="center"/>
            </w:pPr>
            <w:r>
              <w:rPr>
                <w:rFonts w:ascii="Times New Roman" w:hAnsi="Times New Roman"/>
                <w:b/>
                <w:sz w:val="15"/>
              </w:rPr>
              <w:t>Mean Latency</w:t>
            </w:r>
          </w:p>
        </w:tc>
      </w:tr>
      <w:tr>
        <w:tc>
          <w:tcPr>
            <w:tcW w:type="dxa" w:w="2304"/>
            <w:tcMar>
              <w:top w:w="30" w:type="dxa"/>
              <w:bottom w:w="30" w:type="dxa"/>
              <w:left w:w="40" w:type="dxa"/>
              <w:right w:w="40" w:type="dxa"/>
            </w:tcMar>
          </w:tcPr>
          <w:p>
            <w:r>
              <w:rPr>
                <w:rFonts w:ascii="Times New Roman" w:hAnsi="Times New Roman"/>
                <w:sz w:val="15"/>
              </w:rPr>
              <w:t>Canonical Domain Resolution</w:t>
            </w:r>
          </w:p>
        </w:tc>
        <w:tc>
          <w:tcPr>
            <w:tcW w:type="dxa" w:w="1584"/>
            <w:tcMar>
              <w:top w:w="30" w:type="dxa"/>
              <w:bottom w:w="30" w:type="dxa"/>
              <w:left w:w="40" w:type="dxa"/>
              <w:right w:w="40" w:type="dxa"/>
            </w:tcMar>
          </w:tcPr>
          <w:p>
            <w:pPr>
              <w:jc w:val="center"/>
            </w:pPr>
            <w:r>
              <w:rPr>
                <w:rFonts w:ascii="Times New Roman" w:hAnsi="Times New Roman"/>
                <w:sz w:val="15"/>
              </w:rPr>
              <w:t>Suffix Parser</w:t>
            </w:r>
          </w:p>
        </w:tc>
        <w:tc>
          <w:tcPr>
            <w:tcW w:type="dxa" w:w="1008"/>
            <w:tcMar>
              <w:top w:w="30" w:type="dxa"/>
              <w:bottom w:w="30" w:type="dxa"/>
              <w:left w:w="40" w:type="dxa"/>
              <w:right w:w="40" w:type="dxa"/>
            </w:tcMar>
          </w:tcPr>
          <w:p>
            <w:pPr>
              <w:jc w:val="center"/>
            </w:pPr>
            <w:r>
              <w:rPr>
                <w:rFonts w:ascii="Times New Roman" w:hAnsi="Times New Roman"/>
                <w:sz w:val="15"/>
              </w:rPr>
              <w:t>0.012 ms</w:t>
            </w:r>
          </w:p>
        </w:tc>
      </w:tr>
      <w:tr>
        <w:tc>
          <w:tcPr>
            <w:tcW w:type="dxa" w:w="2304"/>
            <w:tcMar>
              <w:top w:w="30" w:type="dxa"/>
              <w:bottom w:w="30" w:type="dxa"/>
              <w:left w:w="40" w:type="dxa"/>
              <w:right w:w="40" w:type="dxa"/>
            </w:tcMar>
          </w:tcPr>
          <w:p>
            <w:r>
              <w:rPr>
                <w:rFonts w:ascii="Times New Roman" w:hAnsi="Times New Roman"/>
                <w:sz w:val="15"/>
              </w:rPr>
              <w:t>Source Reputation DB Lookup</w:t>
            </w:r>
          </w:p>
        </w:tc>
        <w:tc>
          <w:tcPr>
            <w:tcW w:type="dxa" w:w="1584"/>
            <w:tcMar>
              <w:top w:w="30" w:type="dxa"/>
              <w:bottom w:w="30" w:type="dxa"/>
              <w:left w:w="40" w:type="dxa"/>
              <w:right w:w="40" w:type="dxa"/>
            </w:tcMar>
          </w:tcPr>
          <w:p>
            <w:pPr>
              <w:jc w:val="center"/>
            </w:pPr>
            <w:r>
              <w:rPr>
                <w:rFonts w:ascii="Times New Roman" w:hAnsi="Times New Roman"/>
                <w:sz w:val="15"/>
              </w:rPr>
              <w:t>SQLite B-Tree</w:t>
            </w:r>
          </w:p>
        </w:tc>
        <w:tc>
          <w:tcPr>
            <w:tcW w:type="dxa" w:w="1008"/>
            <w:tcMar>
              <w:top w:w="30" w:type="dxa"/>
              <w:bottom w:w="30" w:type="dxa"/>
              <w:left w:w="40" w:type="dxa"/>
              <w:right w:w="40" w:type="dxa"/>
            </w:tcMar>
          </w:tcPr>
          <w:p>
            <w:pPr>
              <w:jc w:val="center"/>
            </w:pPr>
            <w:r>
              <w:rPr>
                <w:rFonts w:ascii="Times New Roman" w:hAnsi="Times New Roman"/>
                <w:sz w:val="15"/>
              </w:rPr>
              <w:t>0.018 ms</w:t>
            </w:r>
          </w:p>
        </w:tc>
      </w:tr>
      <w:tr>
        <w:tc>
          <w:tcPr>
            <w:tcW w:type="dxa" w:w="2304"/>
            <w:tcMar>
              <w:top w:w="30" w:type="dxa"/>
              <w:bottom w:w="30" w:type="dxa"/>
              <w:left w:w="40" w:type="dxa"/>
              <w:right w:w="40" w:type="dxa"/>
            </w:tcMar>
          </w:tcPr>
          <w:p>
            <w:r>
              <w:rPr>
                <w:rFonts w:ascii="Times New Roman" w:hAnsi="Times New Roman"/>
                <w:sz w:val="15"/>
              </w:rPr>
              <w:t>Linguistic Manipulation Scanner</w:t>
            </w:r>
          </w:p>
        </w:tc>
        <w:tc>
          <w:tcPr>
            <w:tcW w:type="dxa" w:w="1584"/>
            <w:tcMar>
              <w:top w:w="30" w:type="dxa"/>
              <w:bottom w:w="30" w:type="dxa"/>
              <w:left w:w="40" w:type="dxa"/>
              <w:right w:w="40" w:type="dxa"/>
            </w:tcMar>
          </w:tcPr>
          <w:p>
            <w:pPr>
              <w:jc w:val="center"/>
            </w:pPr>
            <w:r>
              <w:rPr>
                <w:rFonts w:ascii="Times New Roman" w:hAnsi="Times New Roman"/>
                <w:sz w:val="15"/>
              </w:rPr>
              <w:t>Regex Lexicon</w:t>
            </w:r>
          </w:p>
        </w:tc>
        <w:tc>
          <w:tcPr>
            <w:tcW w:type="dxa" w:w="1008"/>
            <w:tcMar>
              <w:top w:w="30" w:type="dxa"/>
              <w:bottom w:w="30" w:type="dxa"/>
              <w:left w:w="40" w:type="dxa"/>
              <w:right w:w="40" w:type="dxa"/>
            </w:tcMar>
          </w:tcPr>
          <w:p>
            <w:pPr>
              <w:jc w:val="center"/>
            </w:pPr>
            <w:r>
              <w:rPr>
                <w:rFonts w:ascii="Times New Roman" w:hAnsi="Times New Roman"/>
                <w:sz w:val="15"/>
              </w:rPr>
              <w:t>0.450 ms</w:t>
            </w:r>
          </w:p>
        </w:tc>
      </w:tr>
      <w:tr>
        <w:tc>
          <w:tcPr>
            <w:tcW w:type="dxa" w:w="2304"/>
            <w:tcMar>
              <w:top w:w="30" w:type="dxa"/>
              <w:bottom w:w="30" w:type="dxa"/>
              <w:left w:w="40" w:type="dxa"/>
              <w:right w:w="40" w:type="dxa"/>
            </w:tcMar>
          </w:tcPr>
          <w:p>
            <w:r>
              <w:rPr>
                <w:rFonts w:ascii="Times New Roman" w:hAnsi="Times New Roman"/>
                <w:sz w:val="15"/>
              </w:rPr>
              <w:t>Claim Extraction &amp; NER</w:t>
            </w:r>
          </w:p>
        </w:tc>
        <w:tc>
          <w:tcPr>
            <w:tcW w:type="dxa" w:w="1584"/>
            <w:tcMar>
              <w:top w:w="30" w:type="dxa"/>
              <w:bottom w:w="30" w:type="dxa"/>
              <w:left w:w="40" w:type="dxa"/>
              <w:right w:w="40" w:type="dxa"/>
            </w:tcMar>
          </w:tcPr>
          <w:p>
            <w:pPr>
              <w:jc w:val="center"/>
            </w:pPr>
            <w:r>
              <w:rPr>
                <w:rFonts w:ascii="Times New Roman" w:hAnsi="Times New Roman"/>
                <w:sz w:val="15"/>
              </w:rPr>
              <w:t>spaCy Engine</w:t>
            </w:r>
          </w:p>
        </w:tc>
        <w:tc>
          <w:tcPr>
            <w:tcW w:type="dxa" w:w="1008"/>
            <w:tcMar>
              <w:top w:w="30" w:type="dxa"/>
              <w:bottom w:w="30" w:type="dxa"/>
              <w:left w:w="40" w:type="dxa"/>
              <w:right w:w="40" w:type="dxa"/>
            </w:tcMar>
          </w:tcPr>
          <w:p>
            <w:pPr>
              <w:jc w:val="center"/>
            </w:pPr>
            <w:r>
              <w:rPr>
                <w:rFonts w:ascii="Times New Roman" w:hAnsi="Times New Roman"/>
                <w:sz w:val="15"/>
              </w:rPr>
              <w:t>14.20 ms</w:t>
            </w:r>
          </w:p>
        </w:tc>
      </w:tr>
      <w:tr>
        <w:tc>
          <w:tcPr>
            <w:tcW w:type="dxa" w:w="2304"/>
            <w:tcMar>
              <w:top w:w="30" w:type="dxa"/>
              <w:bottom w:w="30" w:type="dxa"/>
              <w:left w:w="40" w:type="dxa"/>
              <w:right w:w="40" w:type="dxa"/>
            </w:tcMar>
          </w:tcPr>
          <w:p>
            <w:r>
              <w:rPr>
                <w:rFonts w:ascii="Times New Roman" w:hAnsi="Times New Roman"/>
                <w:sz w:val="15"/>
              </w:rPr>
              <w:t>Stance NLI Evaluation</w:t>
            </w:r>
          </w:p>
        </w:tc>
        <w:tc>
          <w:tcPr>
            <w:tcW w:type="dxa" w:w="1584"/>
            <w:tcMar>
              <w:top w:w="30" w:type="dxa"/>
              <w:bottom w:w="30" w:type="dxa"/>
              <w:left w:w="40" w:type="dxa"/>
              <w:right w:w="40" w:type="dxa"/>
            </w:tcMar>
          </w:tcPr>
          <w:p>
            <w:pPr>
              <w:jc w:val="center"/>
            </w:pPr>
            <w:r>
              <w:rPr>
                <w:rFonts w:ascii="Times New Roman" w:hAnsi="Times New Roman"/>
                <w:sz w:val="15"/>
              </w:rPr>
              <w:t>Polarity NLI</w:t>
            </w:r>
          </w:p>
        </w:tc>
        <w:tc>
          <w:tcPr>
            <w:tcW w:type="dxa" w:w="1008"/>
            <w:tcMar>
              <w:top w:w="30" w:type="dxa"/>
              <w:bottom w:w="30" w:type="dxa"/>
              <w:left w:w="40" w:type="dxa"/>
              <w:right w:w="40" w:type="dxa"/>
            </w:tcMar>
          </w:tcPr>
          <w:p>
            <w:pPr>
              <w:jc w:val="center"/>
            </w:pPr>
            <w:r>
              <w:rPr>
                <w:rFonts w:ascii="Times New Roman" w:hAnsi="Times New Roman"/>
                <w:sz w:val="15"/>
              </w:rPr>
              <w:t>0.035 ms / pair</w:t>
            </w:r>
          </w:p>
        </w:tc>
      </w:tr>
    </w:tbl>
    <w:p>
      <w:pPr>
        <w:spacing w:after="120"/>
      </w:pPr>
    </w:p>
    <w:p>
      <w:pPr>
        <w:spacing w:before="160" w:after="40"/>
      </w:pPr>
      <w:r>
        <w:rPr>
          <w:rFonts w:ascii="Times New Roman" w:hAnsi="Times New Roman"/>
          <w:b/>
          <w:i/>
          <w:sz w:val="20"/>
        </w:rPr>
        <w:t>B.  Adversarial Case Study Evaluations</w:t>
      </w:r>
    </w:p>
    <w:p>
      <w:pPr>
        <w:spacing w:after="0" w:line="240" w:lineRule="auto"/>
        <w:ind w:firstLine="202"/>
        <w:jc w:val="both"/>
      </w:pPr>
      <w:r>
        <w:rPr>
          <w:rFonts w:ascii="Times New Roman" w:hAnsi="Times New Roman"/>
          <w:sz w:val="20"/>
        </w:rPr>
        <w:t>To evaluate real-world discriminatory power, TruthLens was subjected to four representative news scenarios spanning genuine verification, adversarial debunking, satire, and clickbait manipulation. Table II presents the empirical audit results.</w:t>
      </w:r>
    </w:p>
    <w:p>
      <w:pPr>
        <w:spacing w:before="120" w:after="40"/>
        <w:jc w:val="center"/>
      </w:pPr>
      <w:r>
        <w:rPr>
          <w:rFonts w:ascii="Times New Roman" w:hAnsi="Times New Roman"/>
          <w:b/>
          <w:sz w:val="16"/>
        </w:rPr>
        <w:t>TABLE II</w:t>
        <w:br/>
        <w:t>EMPIRICAL EVALUATION ACROSS DISINFORMATION ARCHETYPES</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left w:val="none"/>
          <w:right w:val="none"/>
          <w:insideV w:val="none"/>
        </w:tblBorders>
      </w:tblPr>
      <w:tblGrid>
        <w:gridCol w:w="2610"/>
        <w:gridCol w:w="2610"/>
        <w:gridCol w:w="2610"/>
        <w:gridCol w:w="2610"/>
      </w:tblGrid>
      <w:tr>
        <w:tc>
          <w:tcPr>
            <w:tcW w:type="dxa" w:w="1728"/>
            <w:tcMar>
              <w:top w:w="40" w:type="dxa"/>
              <w:bottom w:w="40" w:type="dxa"/>
              <w:left w:w="40" w:type="dxa"/>
              <w:right w:w="40" w:type="dxa"/>
            </w:tcMar>
          </w:tcPr>
          <w:p>
            <w:pPr>
              <w:jc w:val="center"/>
            </w:pPr>
            <w:r>
              <w:rPr>
                <w:rFonts w:ascii="Times New Roman" w:hAnsi="Times New Roman"/>
                <w:b/>
                <w:sz w:val="15"/>
              </w:rPr>
              <w:t>Test Claim Archetype</w:t>
            </w:r>
          </w:p>
        </w:tc>
        <w:tc>
          <w:tcPr>
            <w:tcW w:type="dxa" w:w="1296"/>
            <w:tcMar>
              <w:top w:w="40" w:type="dxa"/>
              <w:bottom w:w="40" w:type="dxa"/>
              <w:left w:w="40" w:type="dxa"/>
              <w:right w:w="40" w:type="dxa"/>
            </w:tcMar>
          </w:tcPr>
          <w:p>
            <w:pPr>
              <w:jc w:val="center"/>
            </w:pPr>
            <w:r>
              <w:rPr>
                <w:rFonts w:ascii="Times New Roman" w:hAnsi="Times New Roman"/>
                <w:b/>
                <w:sz w:val="15"/>
              </w:rPr>
              <w:t>Stance Consensus</w:t>
            </w:r>
          </w:p>
        </w:tc>
        <w:tc>
          <w:tcPr>
            <w:tcW w:type="dxa" w:w="1008"/>
            <w:tcMar>
              <w:top w:w="40" w:type="dxa"/>
              <w:bottom w:w="40" w:type="dxa"/>
              <w:left w:w="40" w:type="dxa"/>
              <w:right w:w="40" w:type="dxa"/>
            </w:tcMar>
          </w:tcPr>
          <w:p>
            <w:pPr>
              <w:jc w:val="center"/>
            </w:pPr>
            <w:r>
              <w:rPr>
                <w:rFonts w:ascii="Times New Roman" w:hAnsi="Times New Roman"/>
                <w:b/>
                <w:sz w:val="15"/>
              </w:rPr>
              <w:t>Scores (S_ev / W_org)</w:t>
            </w:r>
          </w:p>
        </w:tc>
        <w:tc>
          <w:tcPr>
            <w:tcW w:type="dxa" w:w="864"/>
            <w:tcMar>
              <w:top w:w="40" w:type="dxa"/>
              <w:bottom w:w="40" w:type="dxa"/>
              <w:left w:w="40" w:type="dxa"/>
              <w:right w:w="40" w:type="dxa"/>
            </w:tcMar>
          </w:tcPr>
          <w:p>
            <w:pPr>
              <w:jc w:val="center"/>
            </w:pPr>
            <w:r>
              <w:rPr>
                <w:rFonts w:ascii="Times New Roman" w:hAnsi="Times New Roman"/>
                <w:b/>
                <w:sz w:val="15"/>
              </w:rPr>
              <w:t>Final Verdict</w:t>
            </w:r>
          </w:p>
        </w:tc>
      </w:tr>
      <w:tr>
        <w:tc>
          <w:tcPr>
            <w:tcW w:type="dxa" w:w="1728"/>
            <w:tcMar>
              <w:top w:w="30" w:type="dxa"/>
              <w:bottom w:w="30" w:type="dxa"/>
              <w:left w:w="40" w:type="dxa"/>
              <w:right w:w="40" w:type="dxa"/>
            </w:tcMar>
          </w:tcPr>
          <w:p>
            <w:r>
              <w:rPr>
                <w:rFonts w:ascii="Times New Roman" w:hAnsi="Times New Roman"/>
                <w:sz w:val="15"/>
              </w:rPr>
              <w:t>Chandrayaan-3 Moon Landing</w:t>
            </w:r>
          </w:p>
        </w:tc>
        <w:tc>
          <w:tcPr>
            <w:tcW w:type="dxa" w:w="1296"/>
            <w:tcMar>
              <w:top w:w="30" w:type="dxa"/>
              <w:bottom w:w="30" w:type="dxa"/>
              <w:left w:w="40" w:type="dxa"/>
              <w:right w:w="40" w:type="dxa"/>
            </w:tcMar>
          </w:tcPr>
          <w:p>
            <w:pPr>
              <w:jc w:val="center"/>
            </w:pPr>
            <w:r>
              <w:rPr>
                <w:rFonts w:ascii="Times New Roman" w:hAnsi="Times New Roman"/>
                <w:sz w:val="15"/>
              </w:rPr>
              <w:t>🟢 5/5 Supports</w:t>
            </w:r>
          </w:p>
        </w:tc>
        <w:tc>
          <w:tcPr>
            <w:tcW w:type="dxa" w:w="1008"/>
            <w:tcMar>
              <w:top w:w="30" w:type="dxa"/>
              <w:bottom w:w="30" w:type="dxa"/>
              <w:left w:w="40" w:type="dxa"/>
              <w:right w:w="40" w:type="dxa"/>
            </w:tcMar>
          </w:tcPr>
          <w:p>
            <w:pPr>
              <w:jc w:val="center"/>
            </w:pPr>
            <w:r>
              <w:rPr>
                <w:rFonts w:ascii="Times New Roman" w:hAnsi="Times New Roman"/>
                <w:sz w:val="15"/>
              </w:rPr>
              <w:t>88.2% / 90%</w:t>
            </w:r>
          </w:p>
        </w:tc>
        <w:tc>
          <w:tcPr>
            <w:tcW w:type="dxa" w:w="864"/>
            <w:tcMar>
              <w:top w:w="30" w:type="dxa"/>
              <w:bottom w:w="30" w:type="dxa"/>
              <w:left w:w="40" w:type="dxa"/>
              <w:right w:w="40" w:type="dxa"/>
            </w:tcMar>
          </w:tcPr>
          <w:p>
            <w:pPr>
              <w:jc w:val="center"/>
            </w:pPr>
            <w:r>
              <w:rPr>
                <w:rFonts w:ascii="Times New Roman" w:hAnsi="Times New Roman"/>
                <w:sz w:val="15"/>
              </w:rPr>
              <w:t>Verified (88.7%)</w:t>
            </w:r>
          </w:p>
        </w:tc>
      </w:tr>
      <w:tr>
        <w:tc>
          <w:tcPr>
            <w:tcW w:type="dxa" w:w="1728"/>
            <w:tcMar>
              <w:top w:w="30" w:type="dxa"/>
              <w:bottom w:w="30" w:type="dxa"/>
              <w:left w:w="40" w:type="dxa"/>
              <w:right w:w="40" w:type="dxa"/>
            </w:tcMar>
          </w:tcPr>
          <w:p>
            <w:r>
              <w:rPr>
                <w:rFonts w:ascii="Times New Roman" w:hAnsi="Times New Roman"/>
                <w:sz w:val="15"/>
              </w:rPr>
              <w:t>Bleach Viral Infection Cure</w:t>
            </w:r>
          </w:p>
        </w:tc>
        <w:tc>
          <w:tcPr>
            <w:tcW w:type="dxa" w:w="1296"/>
            <w:tcMar>
              <w:top w:w="30" w:type="dxa"/>
              <w:bottom w:w="30" w:type="dxa"/>
              <w:left w:w="40" w:type="dxa"/>
              <w:right w:w="40" w:type="dxa"/>
            </w:tcMar>
          </w:tcPr>
          <w:p>
            <w:pPr>
              <w:jc w:val="center"/>
            </w:pPr>
            <w:r>
              <w:rPr>
                <w:rFonts w:ascii="Times New Roman" w:hAnsi="Times New Roman"/>
                <w:sz w:val="15"/>
              </w:rPr>
              <w:t>🔴 4/4 Refutes</w:t>
            </w:r>
          </w:p>
        </w:tc>
        <w:tc>
          <w:tcPr>
            <w:tcW w:type="dxa" w:w="1008"/>
            <w:tcMar>
              <w:top w:w="30" w:type="dxa"/>
              <w:bottom w:w="30" w:type="dxa"/>
              <w:left w:w="40" w:type="dxa"/>
              <w:right w:w="40" w:type="dxa"/>
            </w:tcMar>
          </w:tcPr>
          <w:p>
            <w:pPr>
              <w:jc w:val="center"/>
            </w:pPr>
            <w:r>
              <w:rPr>
                <w:rFonts w:ascii="Times New Roman" w:hAnsi="Times New Roman"/>
                <w:sz w:val="15"/>
              </w:rPr>
              <w:t>12.5% / 40%</w:t>
            </w:r>
          </w:p>
        </w:tc>
        <w:tc>
          <w:tcPr>
            <w:tcW w:type="dxa" w:w="864"/>
            <w:tcMar>
              <w:top w:w="30" w:type="dxa"/>
              <w:bottom w:w="30" w:type="dxa"/>
              <w:left w:w="40" w:type="dxa"/>
              <w:right w:w="40" w:type="dxa"/>
            </w:tcMar>
          </w:tcPr>
          <w:p>
            <w:pPr>
              <w:jc w:val="center"/>
            </w:pPr>
            <w:r>
              <w:rPr>
                <w:rFonts w:ascii="Times New Roman" w:hAnsi="Times New Roman"/>
                <w:sz w:val="15"/>
              </w:rPr>
              <w:t>Refuted (20.8%)</w:t>
            </w:r>
          </w:p>
        </w:tc>
      </w:tr>
      <w:tr>
        <w:tc>
          <w:tcPr>
            <w:tcW w:type="dxa" w:w="1728"/>
            <w:tcMar>
              <w:top w:w="30" w:type="dxa"/>
              <w:bottom w:w="30" w:type="dxa"/>
              <w:left w:w="40" w:type="dxa"/>
              <w:right w:w="40" w:type="dxa"/>
            </w:tcMar>
          </w:tcPr>
          <w:p>
            <w:r>
              <w:rPr>
                <w:rFonts w:ascii="Times New Roman" w:hAnsi="Times New Roman"/>
                <w:sz w:val="15"/>
              </w:rPr>
              <w:t>The Onion Sleep Pill</w:t>
            </w:r>
          </w:p>
        </w:tc>
        <w:tc>
          <w:tcPr>
            <w:tcW w:type="dxa" w:w="1296"/>
            <w:tcMar>
              <w:top w:w="30" w:type="dxa"/>
              <w:bottom w:w="30" w:type="dxa"/>
              <w:left w:w="40" w:type="dxa"/>
              <w:right w:w="40" w:type="dxa"/>
            </w:tcMar>
          </w:tcPr>
          <w:p>
            <w:pPr>
              <w:jc w:val="center"/>
            </w:pPr>
            <w:r>
              <w:rPr>
                <w:rFonts w:ascii="Times New Roman" w:hAnsi="Times New Roman"/>
                <w:sz w:val="15"/>
              </w:rPr>
              <w:t>⚪ Neutral</w:t>
            </w:r>
          </w:p>
        </w:tc>
        <w:tc>
          <w:tcPr>
            <w:tcW w:type="dxa" w:w="1008"/>
            <w:tcMar>
              <w:top w:w="30" w:type="dxa"/>
              <w:bottom w:w="30" w:type="dxa"/>
              <w:left w:w="40" w:type="dxa"/>
              <w:right w:w="40" w:type="dxa"/>
            </w:tcMar>
          </w:tcPr>
          <w:p>
            <w:pPr>
              <w:jc w:val="center"/>
            </w:pPr>
            <w:r>
              <w:rPr>
                <w:rFonts w:ascii="Times New Roman" w:hAnsi="Times New Roman"/>
                <w:sz w:val="15"/>
              </w:rPr>
              <w:t>50.0% / 0%</w:t>
            </w:r>
          </w:p>
        </w:tc>
        <w:tc>
          <w:tcPr>
            <w:tcW w:type="dxa" w:w="864"/>
            <w:tcMar>
              <w:top w:w="30" w:type="dxa"/>
              <w:bottom w:w="30" w:type="dxa"/>
              <w:left w:w="40" w:type="dxa"/>
              <w:right w:w="40" w:type="dxa"/>
            </w:tcMar>
          </w:tcPr>
          <w:p>
            <w:pPr>
              <w:jc w:val="center"/>
            </w:pPr>
            <w:r>
              <w:rPr>
                <w:rFonts w:ascii="Times New Roman" w:hAnsi="Times New Roman"/>
                <w:sz w:val="15"/>
              </w:rPr>
              <w:t>Satire (0.0%)</w:t>
            </w:r>
          </w:p>
        </w:tc>
      </w:tr>
      <w:tr>
        <w:tc>
          <w:tcPr>
            <w:tcW w:type="dxa" w:w="1728"/>
            <w:tcMar>
              <w:top w:w="30" w:type="dxa"/>
              <w:bottom w:w="30" w:type="dxa"/>
              <w:left w:w="40" w:type="dxa"/>
              <w:right w:w="40" w:type="dxa"/>
            </w:tcMar>
          </w:tcPr>
          <w:p>
            <w:r>
              <w:rPr>
                <w:rFonts w:ascii="Times New Roman" w:hAnsi="Times New Roman"/>
                <w:sz w:val="15"/>
              </w:rPr>
              <w:t>Miracle Cancer Cure Clickbait</w:t>
            </w:r>
          </w:p>
        </w:tc>
        <w:tc>
          <w:tcPr>
            <w:tcW w:type="dxa" w:w="1296"/>
            <w:tcMar>
              <w:top w:w="30" w:type="dxa"/>
              <w:bottom w:w="30" w:type="dxa"/>
              <w:left w:w="40" w:type="dxa"/>
              <w:right w:w="40" w:type="dxa"/>
            </w:tcMar>
          </w:tcPr>
          <w:p>
            <w:pPr>
              <w:jc w:val="center"/>
            </w:pPr>
            <w:r>
              <w:rPr>
                <w:rFonts w:ascii="Times New Roman" w:hAnsi="Times New Roman"/>
                <w:sz w:val="15"/>
              </w:rPr>
              <w:t>⚪ Neutral</w:t>
            </w:r>
          </w:p>
        </w:tc>
        <w:tc>
          <w:tcPr>
            <w:tcW w:type="dxa" w:w="1008"/>
            <w:tcMar>
              <w:top w:w="30" w:type="dxa"/>
              <w:bottom w:w="30" w:type="dxa"/>
              <w:left w:w="40" w:type="dxa"/>
              <w:right w:w="40" w:type="dxa"/>
            </w:tcMar>
          </w:tcPr>
          <w:p>
            <w:pPr>
              <w:jc w:val="center"/>
            </w:pPr>
            <w:r>
              <w:rPr>
                <w:rFonts w:ascii="Times New Roman" w:hAnsi="Times New Roman"/>
                <w:sz w:val="15"/>
              </w:rPr>
              <w:t>50.0% / 30%</w:t>
            </w:r>
          </w:p>
        </w:tc>
        <w:tc>
          <w:tcPr>
            <w:tcW w:type="dxa" w:w="864"/>
            <w:tcMar>
              <w:top w:w="30" w:type="dxa"/>
              <w:bottom w:w="30" w:type="dxa"/>
              <w:left w:w="40" w:type="dxa"/>
              <w:right w:w="40" w:type="dxa"/>
            </w:tcMar>
          </w:tcPr>
          <w:p>
            <w:pPr>
              <w:jc w:val="center"/>
            </w:pPr>
            <w:r>
              <w:rPr>
                <w:rFonts w:ascii="Times New Roman" w:hAnsi="Times New Roman"/>
                <w:sz w:val="15"/>
              </w:rPr>
              <w:t>Manipulated (28%)</w:t>
            </w:r>
          </w:p>
        </w:tc>
      </w:tr>
    </w:tbl>
    <w:p>
      <w:pPr>
        <w:spacing w:after="120"/>
      </w:pPr>
    </w:p>
    <w:p>
      <w:pPr>
        <w:spacing w:after="0" w:line="240" w:lineRule="auto"/>
        <w:ind w:firstLine="202"/>
        <w:jc w:val="both"/>
      </w:pPr>
      <w:r>
        <w:rPr>
          <w:rFonts w:ascii="Times New Roman" w:hAnsi="Times New Roman"/>
          <w:sz w:val="20"/>
        </w:rPr>
        <w:t>Crucially, in Scenario 2 (the viral bleach cure), a purely stylistic classifier would fail if the hoax was written in calm pseudo-scientific tone. TruthLens successfully refutes the claim because multiple retrieved articles from Reuters Health and AP News explicitly refute the assertion (Phi = -1.0), collapsing S_evidence and driving the final credibility score down to 20.8%.</w:t>
      </w:r>
    </w:p>
    <w:p>
      <w:pPr>
        <w:spacing w:before="240" w:after="80"/>
        <w:jc w:val="center"/>
      </w:pPr>
      <w:r>
        <w:rPr>
          <w:rFonts w:ascii="Times New Roman" w:hAnsi="Times New Roman"/>
          <w:b/>
          <w:sz w:val="20"/>
        </w:rPr>
        <w:t>V.  DISCUSSION &amp; SYSTEM LIMITATIONS</w:t>
      </w:r>
    </w:p>
    <w:p>
      <w:pPr>
        <w:spacing w:after="0" w:line="240" w:lineRule="auto"/>
        <w:jc w:val="both"/>
      </w:pPr>
      <w:r>
        <w:rPr>
          <w:rFonts w:ascii="Times New Roman" w:hAnsi="Times New Roman"/>
          <w:sz w:val="20"/>
        </w:rPr>
        <w:t>While TruthLens marks a decisive departure from solitary text classification, several engineering and epistemological constraints warrant discussion.</w:t>
      </w:r>
    </w:p>
    <w:p>
      <w:pPr>
        <w:spacing w:after="0" w:line="240" w:lineRule="auto"/>
        <w:ind w:firstLine="202"/>
        <w:jc w:val="both"/>
      </w:pPr>
      <w:r>
        <w:rPr>
          <w:rFonts w:ascii="Times New Roman" w:hAnsi="Times New Roman"/>
          <w:sz w:val="20"/>
        </w:rPr>
        <w:t>1) Cold-Start Breaking News Latency: During the initial 15-30 minutes of an emergent breaking crisis, authoritative journalism may lag viral rumors, resulting in temporarily sparse evidence pools. TruthLens addresses this by dampening consensus weights and signaling unconfirmed status rather than asserting false certainty.</w:t>
      </w:r>
    </w:p>
    <w:p>
      <w:pPr>
        <w:spacing w:after="0" w:line="240" w:lineRule="auto"/>
        <w:ind w:firstLine="202"/>
        <w:jc w:val="both"/>
      </w:pPr>
      <w:r>
        <w:rPr>
          <w:rFonts w:ascii="Times New Roman" w:hAnsi="Times New Roman"/>
          <w:sz w:val="20"/>
        </w:rPr>
        <w:t>2) Satirical Ambiguity: Advanced satire that mimics factual journalism without overt lexical absurdity can evade stylistic heuristics. However, our database-driven domain provenance filter unconditionally neutralizes registered satirical publishers.</w:t>
      </w:r>
    </w:p>
    <w:p>
      <w:pPr>
        <w:spacing w:before="240" w:after="80"/>
        <w:jc w:val="center"/>
      </w:pPr>
      <w:r>
        <w:rPr>
          <w:rFonts w:ascii="Times New Roman" w:hAnsi="Times New Roman"/>
          <w:b/>
          <w:sz w:val="20"/>
        </w:rPr>
        <w:t>VI.  CONCLUSION &amp; FUTURE SCOPE</w:t>
      </w:r>
    </w:p>
    <w:p>
      <w:pPr>
        <w:spacing w:after="0" w:line="240" w:lineRule="auto"/>
        <w:jc w:val="both"/>
      </w:pPr>
      <w:r>
        <w:rPr>
          <w:rFonts w:ascii="Times New Roman" w:hAnsi="Times New Roman"/>
          <w:sz w:val="20"/>
        </w:rPr>
        <w:t>In this investigation, we developed and empirically validated TruthLens, an open-world news credibility assessment architecture fusing institutional publisher reputation, automated claim extraction, and multi-source directional stance inference. Departing decisively from fragile stylistic text classification, TruthLens evaluates unverified claims against the live consensus of independent global journalism. Empirical benchmarking across 27 automated test suites confirms the system delivers ultra-low source query latency (&lt;0.02ms), high throughput, and robust defense against sophisticated disinformation and satirical deception.</w:t>
      </w:r>
    </w:p>
    <w:p>
      <w:pPr>
        <w:spacing w:after="0" w:line="240" w:lineRule="auto"/>
        <w:ind w:firstLine="202"/>
        <w:jc w:val="both"/>
      </w:pPr>
      <w:r>
        <w:rPr>
          <w:rFonts w:ascii="Times New Roman" w:hAnsi="Times New Roman"/>
          <w:sz w:val="20"/>
        </w:rPr>
        <w:t>Ongoing and future work focuses on extending TruthLens into a production cloud microservice. We are implementing a high-throughput FastAPI REST backend to facilitate integration with browser extensions and social media monitoring bots. Furthermore, we are expanding semantic stance parsing into multilingual transformer representations (XLM-RoBERTa) to support cross-lingual verification across regional Indic languages.</w:t>
      </w:r>
    </w:p>
    <w:p>
      <w:pPr>
        <w:spacing w:before="240" w:after="80"/>
        <w:jc w:val="center"/>
      </w:pPr>
      <w:r>
        <w:rPr>
          <w:rFonts w:ascii="Times New Roman" w:hAnsi="Times New Roman"/>
          <w:b/>
          <w:sz w:val="20"/>
        </w:rPr>
        <w:t>REFERENCES</w:t>
      </w:r>
    </w:p>
    <w:p>
      <w:pPr>
        <w:spacing w:before="20" w:after="40" w:line="240" w:lineRule="auto"/>
        <w:ind w:left="360" w:hanging="360"/>
        <w:jc w:val="both"/>
      </w:pPr>
      <w:r>
        <w:rPr>
          <w:rFonts w:ascii="Times New Roman" w:hAnsi="Times New Roman"/>
          <w:sz w:val="16"/>
        </w:rPr>
        <w:t>[1] S. Vosoughi, D. Roy, and S. Aral, 'The spread of true and false news online,' Science, vol. 359, no. 6380, pp. 1146-1151, Mar. 2018.</w:t>
      </w:r>
    </w:p>
    <w:p>
      <w:pPr>
        <w:spacing w:before="20" w:after="40" w:line="240" w:lineRule="auto"/>
        <w:ind w:left="360" w:hanging="360"/>
        <w:jc w:val="both"/>
      </w:pPr>
      <w:r>
        <w:rPr>
          <w:rFonts w:ascii="Times New Roman" w:hAnsi="Times New Roman"/>
          <w:sz w:val="16"/>
        </w:rPr>
        <w:t>[2] G. Pennycook and D. G. Rand, 'Fighting misinformation on social media using crowdsourced judgments of news source quality,' Proc. Natl. Acad. Sci. U.S.A., vol. 116, no. 7, pp. 2521-2526, Feb. 2019.</w:t>
      </w:r>
    </w:p>
    <w:p>
      <w:pPr>
        <w:spacing w:before="20" w:after="40" w:line="240" w:lineRule="auto"/>
        <w:ind w:left="360" w:hanging="360"/>
        <w:jc w:val="both"/>
      </w:pPr>
      <w:r>
        <w:rPr>
          <w:rFonts w:ascii="Times New Roman" w:hAnsi="Times New Roman"/>
          <w:sz w:val="16"/>
        </w:rPr>
        <w:t>[3] J. Devlin, M.-W. Chang, K. Lee, and K. Toutanova, 'BERT: Pre-training of deep bidirectional transformers for language understanding,' in Proc. NAACL-HLT, Minneapolis, MN, USA, 2019, pp. 4171-4186.</w:t>
      </w:r>
    </w:p>
    <w:p>
      <w:pPr>
        <w:spacing w:before="20" w:after="40" w:line="240" w:lineRule="auto"/>
        <w:ind w:left="360" w:hanging="360"/>
        <w:jc w:val="both"/>
      </w:pPr>
      <w:r>
        <w:rPr>
          <w:rFonts w:ascii="Times New Roman" w:hAnsi="Times New Roman"/>
          <w:sz w:val="16"/>
        </w:rPr>
        <w:t>[4] K. Shu, A. Sliva, S. Wang, J. Tang, and H. Liu, 'Fake news detection on social media: A data mining perspective,' ACM SIGKDD Explor. Newsl., vol. 19, no. 1, pp. 22-36, Sep. 2017.</w:t>
      </w:r>
    </w:p>
    <w:p>
      <w:pPr>
        <w:spacing w:before="20" w:after="40" w:line="240" w:lineRule="auto"/>
        <w:ind w:left="360" w:hanging="360"/>
        <w:jc w:val="both"/>
      </w:pPr>
      <w:r>
        <w:rPr>
          <w:rFonts w:ascii="Times New Roman" w:hAnsi="Times New Roman"/>
          <w:sz w:val="16"/>
        </w:rPr>
        <w:t>[5] E. Ferrara, 'What types of COVID-19 conspiracies are populated by Twitter bots?' First Monday, vol. 25, no. 6, Jun. 2020.</w:t>
      </w:r>
    </w:p>
    <w:p>
      <w:pPr>
        <w:spacing w:before="20" w:after="40" w:line="240" w:lineRule="auto"/>
        <w:ind w:left="360" w:hanging="360"/>
        <w:jc w:val="both"/>
      </w:pPr>
      <w:r>
        <w:rPr>
          <w:rFonts w:ascii="Times New Roman" w:hAnsi="Times New Roman"/>
          <w:sz w:val="16"/>
        </w:rPr>
        <w:t>[6] Y. Wang et al., 'EANN: Event adversarial neural networks for multi-modal fake news detection,' in Proc. 24th ACM SIGKDD Int. Conf. Knowl. Discov. Data Min., London, UK, 2018, pp. 849-857.</w:t>
      </w:r>
    </w:p>
    <w:p>
      <w:pPr>
        <w:spacing w:before="20" w:after="40" w:line="240" w:lineRule="auto"/>
        <w:ind w:left="360" w:hanging="360"/>
        <w:jc w:val="both"/>
      </w:pPr>
      <w:r>
        <w:rPr>
          <w:rFonts w:ascii="Times New Roman" w:hAnsi="Times New Roman"/>
          <w:sz w:val="16"/>
        </w:rPr>
        <w:t>[7] X. Zhou and R. Zafarani, 'A survey of fake news: Fundamental theories, detection methods, and opportunities,' ACM Comput. Surv., vol. 53, no. 5, pp. 1-40, Sep. 2020.</w:t>
      </w:r>
    </w:p>
    <w:p>
      <w:pPr>
        <w:spacing w:before="20" w:after="40" w:line="240" w:lineRule="auto"/>
        <w:ind w:left="360" w:hanging="360"/>
        <w:jc w:val="both"/>
      </w:pPr>
      <w:r>
        <w:rPr>
          <w:rFonts w:ascii="Times New Roman" w:hAnsi="Times New Roman"/>
          <w:sz w:val="16"/>
        </w:rPr>
        <w:t>[8] M. Hardalov, A. Arora, P. Nakov, and I. Augenstein, 'A survey on stance detection for mis- and disinformation identification,' in Proc. EMNLP, Punta Cana, Dominican Republic, 2021, pp. 540-577.</w:t>
      </w:r>
    </w:p>
    <w:p>
      <w:pPr>
        <w:spacing w:before="20" w:after="40" w:line="240" w:lineRule="auto"/>
        <w:ind w:left="360" w:hanging="360"/>
        <w:jc w:val="both"/>
      </w:pPr>
      <w:r>
        <w:rPr>
          <w:rFonts w:ascii="Times New Roman" w:hAnsi="Times New Roman"/>
          <w:sz w:val="16"/>
        </w:rPr>
        <w:t>[9] B. D. Horne and S. Adali, 'This just in: Fake news packs a lot in title, uses simpler, repetitive content in text body, more similar to satire than real news,' in Proc. 2nd Int. Workshop News Public Opin., 2017, pp. 1-8.</w:t>
      </w:r>
    </w:p>
    <w:p>
      <w:pPr>
        <w:spacing w:before="20" w:after="40" w:line="240" w:lineRule="auto"/>
        <w:ind w:left="360" w:hanging="360"/>
        <w:jc w:val="both"/>
      </w:pPr>
      <w:r>
        <w:rPr>
          <w:rFonts w:ascii="Times New Roman" w:hAnsi="Times New Roman"/>
          <w:sz w:val="16"/>
        </w:rPr>
        <w:t>[10] H. Rashkin, E. Choi, J. Y. Jang, S. Volkova, and Y. Choi, 'Truth of varying shades: Analyzing language in fake news and political fact-checking,' in Proc. EMNLP, Copenhagen, Denmark, 2017, pp. 2931-2937.</w:t>
      </w:r>
    </w:p>
    <w:p>
      <w:pPr>
        <w:spacing w:before="20" w:after="40" w:line="240" w:lineRule="auto"/>
        <w:ind w:left="360" w:hanging="360"/>
        <w:jc w:val="both"/>
      </w:pPr>
      <w:r>
        <w:rPr>
          <w:rFonts w:ascii="Times New Roman" w:hAnsi="Times New Roman"/>
          <w:sz w:val="16"/>
        </w:rPr>
        <w:t>[11] Y. Baly et al., 'Predicting factuality of reporting and bias of news media sources,' in Proc. EMNLP, Brussels, Belgium, 2018, pp. 3528-3539.</w:t>
      </w:r>
    </w:p>
    <w:p>
      <w:pPr>
        <w:spacing w:before="20" w:after="40" w:line="240" w:lineRule="auto"/>
        <w:ind w:left="360" w:hanging="360"/>
        <w:jc w:val="both"/>
      </w:pPr>
      <w:r>
        <w:rPr>
          <w:rFonts w:ascii="Times New Roman" w:hAnsi="Times New Roman"/>
          <w:sz w:val="16"/>
        </w:rPr>
        <w:t>[12] J. Thorne, A. Vlachos, C. Christodoulopoulos, and A. Mittal, 'FEVER: A large-scale dataset for fact extraction and verification,' in Proc. NAACL-HLT, New Orleans, LA, USA, 2018, pp. 809-819.</w:t>
      </w:r>
    </w:p>
    <w:p>
      <w:pPr>
        <w:spacing w:before="20" w:after="40" w:line="240" w:lineRule="auto"/>
        <w:ind w:left="360" w:hanging="360"/>
        <w:jc w:val="both"/>
      </w:pPr>
      <w:r>
        <w:rPr>
          <w:rFonts w:ascii="Times New Roman" w:hAnsi="Times New Roman"/>
          <w:sz w:val="16"/>
        </w:rPr>
        <w:t>[13] W. Y. Wang, ''Liar, liar pants on fire': A new benchmark dataset for fake news detection,' in Proc. 55th Annu. Meet. Assoc. Comput. Linguist., Vancouver, Canada, 2017, pp. 422-426.</w:t>
      </w:r>
    </w:p>
    <w:p>
      <w:pPr>
        <w:spacing w:before="20" w:after="40" w:line="240" w:lineRule="auto"/>
        <w:ind w:left="360" w:hanging="360"/>
        <w:jc w:val="both"/>
      </w:pPr>
      <w:r>
        <w:rPr>
          <w:rFonts w:ascii="Times New Roman" w:hAnsi="Times New Roman"/>
          <w:sz w:val="16"/>
        </w:rPr>
        <w:t>[14] Y. Baly, G. Karadzhov, D. Alexandrov, J. Glass, and P. Nakov, 'We can detect your bias: Predicting the political bias of news articles using stance and sentiment,' in Proc. EMNLP, 2020, pp. 4982-4991.</w:t>
      </w:r>
    </w:p>
    <w:p>
      <w:pPr>
        <w:spacing w:before="20" w:after="40" w:line="240" w:lineRule="auto"/>
        <w:ind w:left="360" w:hanging="360"/>
        <w:jc w:val="both"/>
      </w:pPr>
      <w:r>
        <w:rPr>
          <w:rFonts w:ascii="Times New Roman" w:hAnsi="Times New Roman"/>
          <w:sz w:val="16"/>
        </w:rPr>
        <w:t>[15] C. Buntain and E. Golbeck, 'Automatically identifying fake news in popular Twitter threads,' in Proc. IEEE Int. Conf. Smart Cloud, New York, NY, USA, 2017, pp. 208-215.</w:t>
      </w:r>
    </w:p>
    <w:sectPr w:rsidR="00FC693F" w:rsidRPr="0006063C" w:rsidSect="00034616">
      <w:type w:val="continuous"/>
      <w:pgSz w:w="12240" w:h="15840"/>
      <w:pgMar w:top="1080" w:right="900" w:bottom="1440" w:left="900" w:header="720" w:footer="720" w:gutter="0"/>
      <w:cols w:space="28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