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TruthLens: Real-Time Multi-Source Corroboration and Semantic Stance Inference for Automated News Credibility Assessment</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2592"/>
          </w:tcPr>
          <w:p>
            <w:pPr>
              <w:spacing w:after="20" w:line="252" w:lineRule="auto"/>
              <w:jc w:val="center"/>
            </w:pPr>
            <w:r>
              <w:rPr>
                <w:rFonts w:ascii="Times New Roman" w:hAnsi="Times New Roman"/>
                <w:b/>
                <w:sz w:val="20"/>
              </w:rPr>
              <w:t>Shubham Pandey</w:t>
              <w:br/>
            </w:r>
            <w:r>
              <w:rPr>
                <w:rFonts w:ascii="Times New Roman" w:hAnsi="Times New Roman"/>
                <w:sz w:val="17"/>
              </w:rPr>
              <w:t>Student ID: 20231CAI0046</w:t>
              <w:br/>
            </w:r>
            <w:r>
              <w:rPr>
                <w:rFonts w:ascii="Times New Roman" w:hAnsi="Times New Roman"/>
                <w:i/>
                <w:sz w:val="17"/>
              </w:rPr>
              <w:t>Dept. of CSE (AI)</w:t>
              <w:br/>
              <w:t>Presidency University</w:t>
              <w:br/>
              <w:t>Bengaluru, India</w:t>
              <w:br/>
            </w:r>
          </w:p>
        </w:tc>
        <w:tc>
          <w:tcPr>
            <w:tcW w:type="dxa" w:w="2592"/>
          </w:tcPr>
          <w:p>
            <w:pPr>
              <w:spacing w:after="20" w:line="252" w:lineRule="auto"/>
              <w:jc w:val="center"/>
            </w:pPr>
            <w:r>
              <w:rPr>
                <w:rFonts w:ascii="Times New Roman" w:hAnsi="Times New Roman"/>
                <w:b/>
                <w:sz w:val="20"/>
              </w:rPr>
              <w:t>Ikram Inayathulla Khan</w:t>
              <w:br/>
            </w:r>
            <w:r>
              <w:rPr>
                <w:rFonts w:ascii="Times New Roman" w:hAnsi="Times New Roman"/>
                <w:sz w:val="17"/>
              </w:rPr>
              <w:t>Student ID: 20231CAI0006</w:t>
              <w:br/>
            </w:r>
            <w:r>
              <w:rPr>
                <w:rFonts w:ascii="Times New Roman" w:hAnsi="Times New Roman"/>
                <w:i/>
                <w:sz w:val="17"/>
              </w:rPr>
              <w:t>Dept. of CSE (AI)</w:t>
              <w:br/>
              <w:t>Presidency University</w:t>
              <w:br/>
              <w:t>Bengaluru, India</w:t>
              <w:br/>
            </w:r>
          </w:p>
        </w:tc>
        <w:tc>
          <w:tcPr>
            <w:tcW w:type="dxa" w:w="2592"/>
          </w:tcPr>
          <w:p>
            <w:pPr>
              <w:spacing w:after="20" w:line="252" w:lineRule="auto"/>
              <w:jc w:val="center"/>
            </w:pPr>
            <w:r>
              <w:rPr>
                <w:rFonts w:ascii="Times New Roman" w:hAnsi="Times New Roman"/>
                <w:b/>
                <w:sz w:val="20"/>
              </w:rPr>
              <w:t>Karanam Radha Pranathi</w:t>
              <w:br/>
            </w:r>
            <w:r>
              <w:rPr>
                <w:rFonts w:ascii="Times New Roman" w:hAnsi="Times New Roman"/>
                <w:sz w:val="17"/>
              </w:rPr>
              <w:t>Student ID: 20231CAI0003</w:t>
              <w:br/>
            </w:r>
            <w:r>
              <w:rPr>
                <w:rFonts w:ascii="Times New Roman" w:hAnsi="Times New Roman"/>
                <w:i/>
                <w:sz w:val="17"/>
              </w:rPr>
              <w:t>Dept. of CSE (AI)</w:t>
              <w:br/>
              <w:t>Presidency University</w:t>
              <w:br/>
              <w:t>Bengaluru, India</w:t>
              <w:br/>
            </w:r>
          </w:p>
        </w:tc>
        <w:tc>
          <w:tcPr>
            <w:tcW w:type="dxa" w:w="2592"/>
          </w:tcPr>
          <w:p>
            <w:pPr>
              <w:spacing w:after="20" w:line="252" w:lineRule="auto"/>
              <w:jc w:val="center"/>
            </w:pPr>
            <w:r>
              <w:rPr>
                <w:rFonts w:ascii="Times New Roman" w:hAnsi="Times New Roman"/>
                <w:b/>
                <w:sz w:val="20"/>
              </w:rPr>
              <w:t>Bhagyesh</w:t>
              <w:br/>
            </w:r>
            <w:r>
              <w:rPr>
                <w:rFonts w:ascii="Times New Roman" w:hAnsi="Times New Roman"/>
                <w:sz w:val="17"/>
              </w:rPr>
              <w:t>Student ID: 20231CAI0068</w:t>
              <w:br/>
            </w:r>
            <w:r>
              <w:rPr>
                <w:rFonts w:ascii="Times New Roman" w:hAnsi="Times New Roman"/>
                <w:i/>
                <w:sz w:val="17"/>
              </w:rPr>
              <w:t>Dept. of CSE (AI)</w:t>
              <w:br/>
              <w:t>Presidency University</w:t>
              <w:br/>
              <w:t>Bengaluru, India</w:t>
              <w:br/>
            </w:r>
          </w:p>
        </w:tc>
      </w:tr>
    </w:tbl>
    <w:p>
      <w:pPr>
        <w:spacing w:before="120" w:after="80"/>
      </w:pPr>
    </w:p>
    <w:p>
      <w:pPr>
        <w:spacing w:after="80" w:line="252" w:lineRule="auto"/>
        <w:ind w:left="288" w:right="288"/>
        <w:jc w:val="both"/>
      </w:pPr>
      <w:r>
        <w:rPr>
          <w:rFonts w:ascii="Times New Roman" w:hAnsi="Times New Roman"/>
          <w:b/>
          <w:i/>
          <w:sz w:val="18"/>
        </w:rPr>
        <w:t xml:space="preserve">Abstract— </w:t>
      </w:r>
      <w:r>
        <w:rPr>
          <w:rFonts w:ascii="Times New Roman" w:hAnsi="Times New Roman"/>
          <w:b/>
          <w:sz w:val="18"/>
        </w:rPr>
        <w:t>The viral diffusion of computational misinformation across modern digital news ecosystems undermines democratic governance, institutional integrity, and public health security. Conventional automated fake news detectors treat veracity assessment as an isolated, closed-world natural language classification task, relying predominantly upon lexical sentiment or superficial stylistic cues. Such paradigms predictably collapse when falsehoods are drafted in formal journalistic language or conversely when legitimate breaking journalism covers anomalous real-world emergencies. In this paper, we propose TruthLens, an open-world multi-modal news verification architecture that cross-examines unverified statements against the empirical consensus of independent global journalism. TruthLens synthesizes four specialized subsystems: (i) an ultra-low latency Canonical Domain Resolver indexing 4,442 international press outlets via an optimized SQLite B-Tree database (&lt;0.02ms query latency), (ii) an automated Factual Claim Extractor isolating empirical assertions via Named Entity Recognition (NER), numerical heuristics, and assertion verbs while filtering subjective opinion noise, (iii) an automated Evidence Retrieval and Directional Natural Language Inference (NLI) engine classifying claim-evidence stance into discrete polarities (Supports: +1.0, Refutes: -1.0, Neutral: 0.0) with calibrated probabilistic confidence, and (iv) a mathematically unified Credibility Score Aggregator synthesizing multi-source stance consensus, origin publisher authority, and lexical manipulation penalties. Across comprehensive empirical benchmarks and 27 automated test suites, TruthLens achieves 100% verification stability, sub-second pipeline throughput (&lt;1.8s), sub-millisecond stance inference (&lt;0.05s), and decisive discrimination against sophisticated disinformation campaigns and satirical fabrications.</w:t>
      </w:r>
    </w:p>
    <w:p>
      <w:pPr>
        <w:spacing w:before="40" w:after="240"/>
        <w:ind w:left="288" w:right="288"/>
        <w:jc w:val="both"/>
      </w:pPr>
      <w:r>
        <w:rPr>
          <w:rFonts w:ascii="Times New Roman" w:hAnsi="Times New Roman"/>
          <w:b/>
          <w:i/>
          <w:sz w:val="18"/>
        </w:rPr>
        <w:t xml:space="preserve">Index Terms— </w:t>
      </w:r>
      <w:r>
        <w:rPr>
          <w:rFonts w:ascii="Times New Roman" w:hAnsi="Times New Roman"/>
          <w:sz w:val="18"/>
        </w:rPr>
        <w:t>Fake News Detection, Natural Language Inference, Semantic Stance Classification, Source Reputation, Multi-Source Corroboration, Automated Claim Extraction, Computational Journalism, Information Credibility, Green AI.</w:t>
      </w:r>
    </w:p>
    <w:p>
      <w:pPr>
        <w:sectPr>
          <w:pgSz w:w="12240" w:h="15840"/>
          <w:pgMar w:top="1080" w:right="900" w:bottom="1440" w:left="900" w:header="720" w:footer="720" w:gutter="0"/>
          <w:cols w:space="720"/>
          <w:docGrid w:linePitch="360"/>
        </w:sectPr>
      </w:pPr>
    </w:p>
    <w:p>
      <w:pPr>
        <w:keepNext/>
        <w:spacing w:before="240" w:after="80"/>
        <w:jc w:val="center"/>
      </w:pPr>
      <w:r>
        <w:rPr>
          <w:rFonts w:ascii="Times New Roman" w:hAnsi="Times New Roman"/>
          <w:b/>
          <w:sz w:val="20"/>
        </w:rPr>
        <w:t>I.  INTRODUCTION</w:t>
      </w:r>
    </w:p>
    <w:p>
      <w:pPr>
        <w:spacing w:after="0" w:line="252" w:lineRule="auto"/>
        <w:jc w:val="both"/>
      </w:pPr>
      <w:r>
        <w:rPr>
          <w:rFonts w:ascii="Times New Roman" w:hAnsi="Times New Roman"/>
          <w:sz w:val="20"/>
        </w:rPr>
        <w:t>THE explosive proliferation of algorithmic disinformation across online digital platforms constitutes a formidable peril to modern democratic governance, public health resilience, and socio-economic equilibrium. Landmark empirical investigations conducted by Vosoughi et al. [1] in Science revealed that false narratives diffuse significantly farther, faster, deeper, and more broadly than verified reporting across all news domains, with political and medical disinformation exhibiting a velocity differential exceeding six-fold compared to verified factual reportage. This asymmetric diffusion is driven primarily by cognitive exploitation: deceptive narratives are intentionally crafted to evoke high-arousal negative affect, sensational novelty, and collective panic, which maximize algorithmic engagement and viral reach.</w:t>
      </w:r>
    </w:p>
    <w:p>
      <w:pPr>
        <w:spacing w:after="0" w:line="252" w:lineRule="auto"/>
        <w:ind w:firstLine="202"/>
        <w:jc w:val="both"/>
      </w:pPr>
      <w:r>
        <w:rPr>
          <w:rFonts w:ascii="Times New Roman" w:hAnsi="Times New Roman"/>
          <w:sz w:val="20"/>
        </w:rPr>
        <w:t>Historically, the computational linguistics and data mining communities have treated automated fake news detection as a conventional closed-world natural language processing (NLP) classification challenge. Supervised architectures—ranging from early Support Vector Machines (SVM) trained on lexical n-grams to deep neural networks evaluated on benchmark datasets such as LIAR [2]—endeavor to discern truthfulness solely from stylistic attributes, syntactic complexity, or sentiment cues within isolated text strings. Extensive empirical literature, however, establishes three fatal structural vulnerabilities in this closed-world paradigm:</w:t>
      </w:r>
    </w:p>
    <w:p>
      <w:pPr>
        <w:spacing w:after="0" w:line="252" w:lineRule="auto"/>
        <w:ind w:left="259"/>
        <w:jc w:val="both"/>
      </w:pPr>
      <w:r>
        <w:rPr>
          <w:rFonts w:ascii="Times New Roman" w:hAnsi="Times New Roman"/>
          <w:sz w:val="20"/>
        </w:rPr>
        <w:t>1) The Sophisticated Impersonator Dilemma: Hostile state actors and professional disinformation networks increasingly mimic formal, authoritative journalistic syntax, deploying passive voice, balanced rhetoric, and AP-style vocabulary to propagate total fabrications. Stylistic classifiers invariably certify such content as genuine because the surface grammar is flawless.</w:t>
      </w:r>
    </w:p>
    <w:p>
      <w:pPr>
        <w:spacing w:after="0" w:line="252" w:lineRule="auto"/>
        <w:ind w:left="259"/>
        <w:jc w:val="both"/>
      </w:pPr>
      <w:r>
        <w:rPr>
          <w:rFonts w:ascii="Times New Roman" w:hAnsi="Times New Roman"/>
          <w:sz w:val="20"/>
        </w:rPr>
        <w:t>2) The Atypical Breaking News Vulnerability: Authentic reporting regarding unprecedented catastrophes, military conflicts, or volatile epidemiological emergencies inherently incorporates urgent terminology, rapid revisions, and high emotional shock. Style-based models systematically misclassify authentic emergency journalism as clickbait due to elevated emotional intensity.</w:t>
      </w:r>
    </w:p>
    <w:p>
      <w:pPr>
        <w:spacing w:after="0" w:line="252" w:lineRule="auto"/>
        <w:ind w:left="259"/>
        <w:jc w:val="both"/>
      </w:pPr>
      <w:r>
        <w:rPr>
          <w:rFonts w:ascii="Times New Roman" w:hAnsi="Times New Roman"/>
          <w:sz w:val="20"/>
        </w:rPr>
        <w:t>3) Entity and Topical Keyword Overfitting: As conclusively demonstrated by Baly et al. [3] at ACL 2020, neural classifiers trained on static fake news corpora overfit heavily to transient political figures, topical keywords, and temporal entities rather than learning invariant representations of factuality. When evaluated against out-of-domain articles or unfolding crises, classification accuracy frequently collapses to near-random chance.</w:t>
      </w:r>
    </w:p>
    <w:p>
      <w:pPr>
        <w:spacing w:after="0" w:line="252" w:lineRule="auto"/>
        <w:ind w:firstLine="202"/>
        <w:jc w:val="both"/>
      </w:pPr>
      <w:r>
        <w:rPr>
          <w:rFonts w:ascii="Times New Roman" w:hAnsi="Times New Roman"/>
          <w:sz w:val="20"/>
        </w:rPr>
        <w:t>Crucially, the veracity of an empirical assertion cannot be deduced from syntax in isolation: whether a geopolitical treaty occurred or a novel virus emerged depends upon real-world occurrence, not literary phrasing. Human journalists resolve credibility not by analyzing sentence structure in a vacuum, but by multi-source cross-examination: evaluating publisher provenance, detecting manipulative intent, and determining whether independent wire services corroborate the claim.</w:t>
      </w:r>
    </w:p>
    <w:p>
      <w:pPr>
        <w:spacing w:after="0" w:line="252" w:lineRule="auto"/>
        <w:ind w:firstLine="202"/>
        <w:jc w:val="both"/>
      </w:pPr>
      <w:r>
        <w:rPr>
          <w:rFonts w:ascii="Times New Roman" w:hAnsi="Times New Roman"/>
          <w:sz w:val="20"/>
        </w:rPr>
        <w:t>To operationalize this journalistic methodology computationally, we introduce TruthLens, an open-world multi-modal credibility verification system. Rather than guessing truthfulness from isolated literary style, TruthLens extracts testable factual claims and examines whether reputable independent news organizations corroborate, refute, or dispute the assertion in real time. Specifically, this paper makes the following contributions:</w:t>
      </w:r>
    </w:p>
    <w:p>
      <w:pPr>
        <w:spacing w:after="0" w:line="252" w:lineRule="auto"/>
        <w:ind w:left="259"/>
        <w:jc w:val="both"/>
      </w:pPr>
      <w:r>
        <w:rPr>
          <w:rFonts w:ascii="Times New Roman" w:hAnsi="Times New Roman"/>
          <w:sz w:val="20"/>
        </w:rPr>
        <w:t>• We design a sub-millisecond Canonical Domain Resolver indexing 4,442 international press outlets via an optimized SQLite B-Tree database (&lt;0.02ms query latency), establishing an authoritative journalistic prior probability.</w:t>
      </w:r>
    </w:p>
    <w:p>
      <w:pPr>
        <w:spacing w:after="0" w:line="252" w:lineRule="auto"/>
        <w:ind w:left="259"/>
        <w:jc w:val="both"/>
      </w:pPr>
      <w:r>
        <w:rPr>
          <w:rFonts w:ascii="Times New Roman" w:hAnsi="Times New Roman"/>
          <w:sz w:val="20"/>
        </w:rPr>
        <w:t>• We formulate a 109-trigger Linguistic Manipulation Scanner capturing sensationalism, panic inducement, conspiracy framing, emotional outrage, and cognitive bias prompts via length-normalized log-linear saturation.</w:t>
      </w:r>
    </w:p>
    <w:p>
      <w:pPr>
        <w:spacing w:after="0" w:line="252" w:lineRule="auto"/>
        <w:ind w:left="259"/>
        <w:jc w:val="both"/>
      </w:pPr>
      <w:r>
        <w:rPr>
          <w:rFonts w:ascii="Times New Roman" w:hAnsi="Times New Roman"/>
          <w:sz w:val="20"/>
        </w:rPr>
        <w:t>• We implement an automated Factual Claim Extractor isolating empirical assertions via Named Entity Recognition (NER), numerical heuristics, and assertion verb filtering.</w:t>
      </w:r>
    </w:p>
    <w:p>
      <w:pPr>
        <w:spacing w:after="0" w:line="252" w:lineRule="auto"/>
        <w:ind w:left="259"/>
        <w:jc w:val="both"/>
      </w:pPr>
      <w:r>
        <w:rPr>
          <w:rFonts w:ascii="Times New Roman" w:hAnsi="Times New Roman"/>
          <w:sz w:val="20"/>
        </w:rPr>
        <w:t>• We develop an automated Evidence Retrieval and Directional Natural Language Inference (NLI) engine classifying claim-evidence stance into discrete polarities (Supports: +1.0, Refutes: -1.0, Neutral: 0.0) with probabilistic confidence calibration.</w:t>
      </w:r>
    </w:p>
    <w:p>
      <w:pPr>
        <w:spacing w:after="0" w:line="252" w:lineRule="auto"/>
        <w:ind w:left="259"/>
        <w:jc w:val="both"/>
      </w:pPr>
      <w:r>
        <w:rPr>
          <w:rFonts w:ascii="Times New Roman" w:hAnsi="Times New Roman"/>
          <w:sz w:val="20"/>
        </w:rPr>
        <w:t>• We formulate a unified multi-factor algebraic credibility aggregation equation C_final with explicit penalty attribution and empirical validation across 1,000 iterations and 27 automated test suites.</w:t>
      </w:r>
    </w:p>
    <w:p>
      <w:pPr>
        <w:keepNext/>
        <w:spacing w:before="240" w:after="80"/>
        <w:jc w:val="center"/>
      </w:pPr>
      <w:r>
        <w:rPr>
          <w:rFonts w:ascii="Times New Roman" w:hAnsi="Times New Roman"/>
          <w:b/>
          <w:sz w:val="20"/>
        </w:rPr>
        <w:t>II.  RELATED WORK</w:t>
      </w:r>
    </w:p>
    <w:p>
      <w:pPr>
        <w:spacing w:after="0" w:line="252" w:lineRule="auto"/>
        <w:jc w:val="both"/>
      </w:pPr>
      <w:r>
        <w:rPr>
          <w:rFonts w:ascii="Times New Roman" w:hAnsi="Times New Roman"/>
          <w:sz w:val="20"/>
        </w:rPr>
        <w:t>Automated veracity assessment intersects multiple subfields within artificial intelligence, computational journalism, and network science. Existing research trajectories can be categorized across four foundational research themes.</w:t>
      </w:r>
    </w:p>
    <w:p>
      <w:pPr>
        <w:keepNext/>
        <w:spacing w:before="160" w:after="40"/>
      </w:pPr>
      <w:r>
        <w:rPr>
          <w:rFonts w:ascii="Times New Roman" w:hAnsi="Times New Roman"/>
          <w:b/>
          <w:i/>
          <w:sz w:val="20"/>
        </w:rPr>
        <w:t>A.  Information Diffusion &amp; Deceptive Stylistics</w:t>
      </w:r>
    </w:p>
    <w:p>
      <w:pPr>
        <w:spacing w:after="0" w:line="252" w:lineRule="auto"/>
        <w:ind w:firstLine="202"/>
        <w:jc w:val="both"/>
      </w:pPr>
      <w:r>
        <w:rPr>
          <w:rFonts w:ascii="Times New Roman" w:hAnsi="Times New Roman"/>
          <w:sz w:val="20"/>
        </w:rPr>
        <w:t>The mathematical foundation of online falsehood diffusion was established by Vosoughi, Roy, and Aral [1], who tracked 126,000 rumor cascades across ten years, proving that falsehood travels six times faster than truth due to human novelty preferences. Complementing diffusion kinetics, Horne and Adali [5] analyzed the structural text characteristics of viral news articles across legitimate, fake, and satirical outlets. Their empirical findings proved that deceptive articles pack substantially more emotional and subjective words into shorter sentences, using repetitive lexical patterns designed to evoke arousal rather than convey informative nuance. Although lexical analysis reliably identifies viral clickbait, it remains epistemologically blind to empirical truth: well-written falsehoods evade detection entirely.</w:t>
      </w:r>
    </w:p>
    <w:p>
      <w:pPr>
        <w:keepNext/>
        <w:spacing w:before="160" w:after="40"/>
      </w:pPr>
      <w:r>
        <w:rPr>
          <w:rFonts w:ascii="Times New Roman" w:hAnsi="Times New Roman"/>
          <w:b/>
          <w:i/>
          <w:sz w:val="20"/>
        </w:rPr>
        <w:t>B.  Content-Only Classifiers &amp; Topic Shortcut Vulnerability</w:t>
      </w:r>
    </w:p>
    <w:p>
      <w:pPr>
        <w:spacing w:after="0" w:line="252" w:lineRule="auto"/>
        <w:ind w:firstLine="202"/>
        <w:jc w:val="both"/>
      </w:pPr>
      <w:r>
        <w:rPr>
          <w:rFonts w:ascii="Times New Roman" w:hAnsi="Times New Roman"/>
          <w:sz w:val="20"/>
        </w:rPr>
        <w:t>Early supervised verification research focused upon training classifiers directly on textual corpora. Wang [2] introduced the LIAR benchmark (12.8k PolitiFact statements), establishing that surface text models struggle to achieve high generalizability across disparate topics. The definitive critique of content-only deep classifiers was delivered by Baly et al. [3] at ACL 2020. Conducting adversarial ablation experiments across transformer architectures, the authors demonstrated that masking named entities and topic keywords caused severe performance degradation, confirming that deep neural models memorize topical shortcuts rather than learning factual veracity.</w:t>
      </w:r>
    </w:p>
    <w:p>
      <w:pPr>
        <w:keepNext/>
        <w:spacing w:before="160" w:after="40"/>
      </w:pPr>
      <w:r>
        <w:rPr>
          <w:rFonts w:ascii="Times New Roman" w:hAnsi="Times New Roman"/>
          <w:b/>
          <w:i/>
          <w:sz w:val="20"/>
        </w:rPr>
        <w:t>C.  Source Provenance and Media Reputation Modeling</w:t>
      </w:r>
    </w:p>
    <w:p>
      <w:pPr>
        <w:spacing w:after="0" w:line="252" w:lineRule="auto"/>
        <w:ind w:firstLine="202"/>
        <w:jc w:val="both"/>
      </w:pPr>
      <w:r>
        <w:rPr>
          <w:rFonts w:ascii="Times New Roman" w:hAnsi="Times New Roman"/>
          <w:sz w:val="20"/>
        </w:rPr>
        <w:t>Recognizing that individual claims are ephemeral while publishing mastheads exhibit consistent longitudinal editorial discipline, Baly et al. [4] at EMNLP 2018 proposed shifting the unit of analysis from individual claims to the news source itself. By profiling media outlets across Twitter metadata, Wikipedia presence, URL structure, and historical fact-checking evaluations, their model achieved high macro-F1 scores in predicting publication factuality and political bias tiers. Their work validated the institutional epistemology premise: a media outlet that has maintained rigorous journalistic review standards over decades exhibits a high baseline probability of reporting verified facts. TruthLens builds directly upon this foundation by scaling Media Bias / Fact Check coverage to 4,442 indexed media domains.</w:t>
      </w:r>
    </w:p>
    <w:p>
      <w:pPr>
        <w:keepNext/>
        <w:spacing w:before="160" w:after="40"/>
      </w:pPr>
      <w:r>
        <w:rPr>
          <w:rFonts w:ascii="Times New Roman" w:hAnsi="Times New Roman"/>
          <w:b/>
          <w:i/>
          <w:sz w:val="20"/>
        </w:rPr>
        <w:t>D.  Fact Verification, Corroboration &amp; Stance Detection</w:t>
      </w:r>
    </w:p>
    <w:p>
      <w:pPr>
        <w:spacing w:after="0" w:line="252" w:lineRule="auto"/>
        <w:ind w:firstLine="202"/>
        <w:jc w:val="both"/>
      </w:pPr>
      <w:r>
        <w:rPr>
          <w:rFonts w:ascii="Times New Roman" w:hAnsi="Times New Roman"/>
          <w:sz w:val="20"/>
        </w:rPr>
        <w:t>To introduce factual grounding, Thorne et al. [6] at NAACL 2018 introduced the FEVER dataset (185k claims), formalizing fact verification as a 3-stage pipeline: document retrieval, evidence sentence selection, and Natural Language Inference (NLI) to predict whether evidence Supports, Refutes, or exhibits NotEnoughInfo regarding a claim. In parallel, Hardalov et al. [7] published a comprehensive survey in Findings of NAACL 2022 on cross-source stance detection for misinformation identification. They established that aggregating stance vectors across diverse independent news sources provides an objective, crowdsourced veracity signal that resists individual outlet bias. TruthLens unifies these paradigms into a live, real-time web verification pipeline.</w:t>
      </w:r>
    </w:p>
    <w:p>
      <w:pPr>
        <w:keepNext/>
        <w:spacing w:before="240" w:after="80"/>
        <w:jc w:val="center"/>
      </w:pPr>
      <w:r>
        <w:rPr>
          <w:rFonts w:ascii="Times New Roman" w:hAnsi="Times New Roman"/>
          <w:b/>
          <w:sz w:val="20"/>
        </w:rPr>
        <w:t>III.  PROPOSED METHODOLOGY &amp; SYSTEM ARCHITECTURE</w:t>
      </w:r>
    </w:p>
    <w:p>
      <w:pPr>
        <w:spacing w:after="0" w:line="252" w:lineRule="auto"/>
        <w:jc w:val="both"/>
      </w:pPr>
      <w:r>
        <w:rPr>
          <w:rFonts w:ascii="Times New Roman" w:hAnsi="Times New Roman"/>
          <w:sz w:val="20"/>
        </w:rPr>
        <w:t>The TruthLens verification pipeline operates as an open-world, feed-forward inference system executing across four interconnected subsystems, as conceptualized in Fig. 1.</w:t>
      </w:r>
    </w:p>
    <w:p>
      <w:pPr>
        <w:keepNext/>
        <w:spacing w:before="120" w:after="40"/>
        <w:jc w:val="center"/>
      </w:pPr>
      <w:r>
        <w:drawing>
          <wp:inline xmlns:a="http://schemas.openxmlformats.org/drawingml/2006/main" xmlns:pic="http://schemas.openxmlformats.org/drawingml/2006/picture">
            <wp:extent cx="3063240" cy="1516149"/>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3063240" cy="1516149"/>
                    </a:xfrm>
                    <a:prstGeom prst="rect"/>
                  </pic:spPr>
                </pic:pic>
              </a:graphicData>
            </a:graphic>
          </wp:inline>
        </w:drawing>
      </w:r>
    </w:p>
    <w:p>
      <w:pPr>
        <w:spacing w:after="120" w:line="252" w:lineRule="auto"/>
        <w:jc w:val="both"/>
      </w:pPr>
      <w:r>
        <w:rPr>
          <w:rFonts w:ascii="Times New Roman" w:hAnsi="Times New Roman"/>
          <w:b/>
          <w:sz w:val="16"/>
        </w:rPr>
        <w:t xml:space="preserve">Fig. 1.  </w:t>
      </w:r>
      <w:r>
        <w:rPr>
          <w:rFonts w:ascii="Times New Roman" w:hAnsi="Times New Roman"/>
          <w:sz w:val="16"/>
        </w:rPr>
        <w:t>TruthLens multi-tier computational verification pipeline: integrating institutional source provenance, automated claim extraction, live evidence pool retrieval, semantic stance NLI, and score fusion.</w:t>
      </w:r>
    </w:p>
    <w:p>
      <w:pPr>
        <w:keepNext/>
        <w:spacing w:before="160" w:after="40"/>
      </w:pPr>
      <w:r>
        <w:rPr>
          <w:rFonts w:ascii="Times New Roman" w:hAnsi="Times New Roman"/>
          <w:b/>
          <w:i/>
          <w:sz w:val="20"/>
        </w:rPr>
        <w:t>A.  Canonical Domain Resolver &amp; Source Knowledge Base</w:t>
      </w:r>
    </w:p>
    <w:p>
      <w:pPr>
        <w:spacing w:after="0" w:line="252" w:lineRule="auto"/>
        <w:ind w:firstLine="202"/>
        <w:jc w:val="both"/>
      </w:pPr>
      <w:r>
        <w:rPr>
          <w:rFonts w:ascii="Times New Roman" w:hAnsi="Times New Roman"/>
          <w:sz w:val="20"/>
        </w:rPr>
        <w:t>Publisher provenance serves as the foundational credibility baseline. When provided an arbitrary URL or domain string, the resolver executes three deterministic normalization steps: (1) stripping protocol schemes ('https://') and subdomains ('www.', 'm.'), (2) multi-part ccTLD parsing (e.g., '.co.uk', '.gov.in') via strict suffix lookup tables, and (3) apex domain isolation. The normalized domain is queried against our structured SQLite database indexing 4,442 international press outlets cataloged from Media Bias/Fact Check.</w:t>
      </w:r>
    </w:p>
    <w:p>
      <w:pPr>
        <w:spacing w:after="0" w:line="252" w:lineRule="auto"/>
        <w:ind w:firstLine="202"/>
        <w:jc w:val="both"/>
      </w:pPr>
      <w:r>
        <w:rPr>
          <w:rFonts w:ascii="Times New Roman" w:hAnsi="Times New Roman"/>
          <w:sz w:val="20"/>
        </w:rPr>
        <w:t>To guarantee real-time latency (&lt;0.02ms), the SQLite engine implements an indexed B-Tree on the canonical domain key. Editorial reliability maps to a continuous weight factor W_rep in [0.0, 1.0], summarized in Table I. Unindexed domains invoke authoritative TLD heuristics (.gov = 0.95, .edu = 0.90, .int = 0.92) or default to a neutral prior of 0.50 with an explicit unrated flag.</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3480"/>
        <w:gridCol w:w="3480"/>
        <w:gridCol w:w="3480"/>
      </w:tblGrid>
      <w:tr>
        <w:tc>
          <w:tcPr>
            <w:tcW w:type="dxa" w:w="1728"/>
            <w:tcMar>
              <w:top w:w="40" w:type="dxa"/>
              <w:bottom w:w="40" w:type="dxa"/>
              <w:left w:w="40" w:type="dxa"/>
              <w:right w:w="40" w:type="dxa"/>
            </w:tcMar>
          </w:tcPr>
          <w:p>
            <w:pPr>
              <w:jc w:val="center"/>
            </w:pPr>
            <w:r>
              <w:rPr>
                <w:rFonts w:ascii="Times New Roman" w:hAnsi="Times New Roman"/>
                <w:b/>
                <w:sz w:val="16"/>
              </w:rPr>
              <w:t>Factuality Tier</w:t>
            </w:r>
          </w:p>
        </w:tc>
        <w:tc>
          <w:tcPr>
            <w:tcW w:type="dxa" w:w="1152"/>
            <w:tcMar>
              <w:top w:w="40" w:type="dxa"/>
              <w:bottom w:w="40" w:type="dxa"/>
              <w:left w:w="40" w:type="dxa"/>
              <w:right w:w="40" w:type="dxa"/>
            </w:tcMar>
          </w:tcPr>
          <w:p>
            <w:pPr>
              <w:jc w:val="center"/>
            </w:pPr>
            <w:r>
              <w:rPr>
                <w:rFonts w:ascii="Times New Roman" w:hAnsi="Times New Roman"/>
                <w:b/>
                <w:sz w:val="16"/>
              </w:rPr>
              <w:t>Weight (W_rep)</w:t>
            </w:r>
          </w:p>
        </w:tc>
        <w:tc>
          <w:tcPr>
            <w:tcW w:type="dxa" w:w="2016"/>
            <w:tcMar>
              <w:top w:w="40" w:type="dxa"/>
              <w:bottom w:w="40" w:type="dxa"/>
              <w:left w:w="40" w:type="dxa"/>
              <w:right w:w="40" w:type="dxa"/>
            </w:tcMar>
          </w:tcPr>
          <w:p>
            <w:pPr>
              <w:jc w:val="center"/>
            </w:pPr>
            <w:r>
              <w:rPr>
                <w:rFonts w:ascii="Times New Roman" w:hAnsi="Times New Roman"/>
                <w:b/>
                <w:sz w:val="16"/>
              </w:rPr>
              <w:t>Representative Outlets</w:t>
            </w:r>
          </w:p>
        </w:tc>
      </w:tr>
      <w:tr>
        <w:tc>
          <w:tcPr>
            <w:tcW w:type="dxa" w:w="1728"/>
            <w:tcMar>
              <w:top w:w="30" w:type="dxa"/>
              <w:bottom w:w="30" w:type="dxa"/>
              <w:left w:w="40" w:type="dxa"/>
              <w:right w:w="40" w:type="dxa"/>
            </w:tcMar>
          </w:tcPr>
          <w:p>
            <w:pPr>
              <w:jc w:val="center"/>
            </w:pPr>
            <w:r>
              <w:rPr>
                <w:rFonts w:ascii="Times New Roman" w:hAnsi="Times New Roman"/>
                <w:sz w:val="15"/>
              </w:rPr>
              <w:t>VERY HIGH</w:t>
            </w:r>
          </w:p>
        </w:tc>
        <w:tc>
          <w:tcPr>
            <w:tcW w:type="dxa" w:w="1152"/>
            <w:tcMar>
              <w:top w:w="30" w:type="dxa"/>
              <w:bottom w:w="30" w:type="dxa"/>
              <w:left w:w="40" w:type="dxa"/>
              <w:right w:w="40" w:type="dxa"/>
            </w:tcMar>
          </w:tcPr>
          <w:p>
            <w:pPr>
              <w:jc w:val="center"/>
            </w:pPr>
            <w:r>
              <w:rPr>
                <w:rFonts w:ascii="Times New Roman" w:hAnsi="Times New Roman"/>
                <w:sz w:val="15"/>
              </w:rPr>
              <w:t>1.00</w:t>
            </w:r>
          </w:p>
        </w:tc>
        <w:tc>
          <w:tcPr>
            <w:tcW w:type="dxa" w:w="2016"/>
            <w:tcMar>
              <w:top w:w="30" w:type="dxa"/>
              <w:bottom w:w="30" w:type="dxa"/>
              <w:left w:w="40" w:type="dxa"/>
              <w:right w:w="40" w:type="dxa"/>
            </w:tcMar>
          </w:tcPr>
          <w:p>
            <w:pPr>
              <w:jc w:val="left"/>
            </w:pPr>
            <w:r>
              <w:rPr>
                <w:rFonts w:ascii="Times New Roman" w:hAnsi="Times New Roman"/>
                <w:sz w:val="15"/>
              </w:rPr>
              <w:t>Reuters, AP News, Nature, PBS</w:t>
            </w:r>
          </w:p>
        </w:tc>
      </w:tr>
      <w:tr>
        <w:tc>
          <w:tcPr>
            <w:tcW w:type="dxa" w:w="1728"/>
            <w:tcMar>
              <w:top w:w="30" w:type="dxa"/>
              <w:bottom w:w="30" w:type="dxa"/>
              <w:left w:w="40" w:type="dxa"/>
              <w:right w:w="40" w:type="dxa"/>
            </w:tcMar>
          </w:tcPr>
          <w:p>
            <w:pPr>
              <w:jc w:val="center"/>
            </w:pPr>
            <w:r>
              <w:rPr>
                <w:rFonts w:ascii="Times New Roman" w:hAnsi="Times New Roman"/>
                <w:sz w:val="15"/>
              </w:rPr>
              <w:t>HIGH</w:t>
            </w:r>
          </w:p>
        </w:tc>
        <w:tc>
          <w:tcPr>
            <w:tcW w:type="dxa" w:w="1152"/>
            <w:tcMar>
              <w:top w:w="30" w:type="dxa"/>
              <w:bottom w:w="30" w:type="dxa"/>
              <w:left w:w="40" w:type="dxa"/>
              <w:right w:w="40" w:type="dxa"/>
            </w:tcMar>
          </w:tcPr>
          <w:p>
            <w:pPr>
              <w:jc w:val="center"/>
            </w:pPr>
            <w:r>
              <w:rPr>
                <w:rFonts w:ascii="Times New Roman" w:hAnsi="Times New Roman"/>
                <w:sz w:val="15"/>
              </w:rPr>
              <w:t>0.85</w:t>
            </w:r>
          </w:p>
        </w:tc>
        <w:tc>
          <w:tcPr>
            <w:tcW w:type="dxa" w:w="2016"/>
            <w:tcMar>
              <w:top w:w="30" w:type="dxa"/>
              <w:bottom w:w="30" w:type="dxa"/>
              <w:left w:w="40" w:type="dxa"/>
              <w:right w:w="40" w:type="dxa"/>
            </w:tcMar>
          </w:tcPr>
          <w:p>
            <w:pPr>
              <w:jc w:val="left"/>
            </w:pPr>
            <w:r>
              <w:rPr>
                <w:rFonts w:ascii="Times New Roman" w:hAnsi="Times New Roman"/>
                <w:sz w:val="15"/>
              </w:rPr>
              <w:t>BBC, The Hindu, WSJ, NYT</w:t>
            </w:r>
          </w:p>
        </w:tc>
      </w:tr>
      <w:tr>
        <w:tc>
          <w:tcPr>
            <w:tcW w:type="dxa" w:w="1728"/>
            <w:tcMar>
              <w:top w:w="30" w:type="dxa"/>
              <w:bottom w:w="30" w:type="dxa"/>
              <w:left w:w="40" w:type="dxa"/>
              <w:right w:w="40" w:type="dxa"/>
            </w:tcMar>
          </w:tcPr>
          <w:p>
            <w:pPr>
              <w:jc w:val="center"/>
            </w:pPr>
            <w:r>
              <w:rPr>
                <w:rFonts w:ascii="Times New Roman" w:hAnsi="Times New Roman"/>
                <w:sz w:val="15"/>
              </w:rPr>
              <w:t>MOSTLY FACTUAL</w:t>
            </w:r>
          </w:p>
        </w:tc>
        <w:tc>
          <w:tcPr>
            <w:tcW w:type="dxa" w:w="1152"/>
            <w:tcMar>
              <w:top w:w="30" w:type="dxa"/>
              <w:bottom w:w="30" w:type="dxa"/>
              <w:left w:w="40" w:type="dxa"/>
              <w:right w:w="40" w:type="dxa"/>
            </w:tcMar>
          </w:tcPr>
          <w:p>
            <w:pPr>
              <w:jc w:val="center"/>
            </w:pPr>
            <w:r>
              <w:rPr>
                <w:rFonts w:ascii="Times New Roman" w:hAnsi="Times New Roman"/>
                <w:sz w:val="15"/>
              </w:rPr>
              <w:t>0.70</w:t>
            </w:r>
          </w:p>
        </w:tc>
        <w:tc>
          <w:tcPr>
            <w:tcW w:type="dxa" w:w="2016"/>
            <w:tcMar>
              <w:top w:w="30" w:type="dxa"/>
              <w:bottom w:w="30" w:type="dxa"/>
              <w:left w:w="40" w:type="dxa"/>
              <w:right w:w="40" w:type="dxa"/>
            </w:tcMar>
          </w:tcPr>
          <w:p>
            <w:pPr>
              <w:jc w:val="left"/>
            </w:pPr>
            <w:r>
              <w:rPr>
                <w:rFonts w:ascii="Times New Roman" w:hAnsi="Times New Roman"/>
                <w:sz w:val="15"/>
              </w:rPr>
              <w:t>CNN, The Guardian, Time</w:t>
            </w:r>
          </w:p>
        </w:tc>
      </w:tr>
      <w:tr>
        <w:tc>
          <w:tcPr>
            <w:tcW w:type="dxa" w:w="1728"/>
            <w:tcMar>
              <w:top w:w="30" w:type="dxa"/>
              <w:bottom w:w="30" w:type="dxa"/>
              <w:left w:w="40" w:type="dxa"/>
              <w:right w:w="40" w:type="dxa"/>
            </w:tcMar>
          </w:tcPr>
          <w:p>
            <w:pPr>
              <w:jc w:val="center"/>
            </w:pPr>
            <w:r>
              <w:rPr>
                <w:rFonts w:ascii="Times New Roman" w:hAnsi="Times New Roman"/>
                <w:sz w:val="15"/>
              </w:rPr>
              <w:t>MIXED</w:t>
            </w:r>
          </w:p>
        </w:tc>
        <w:tc>
          <w:tcPr>
            <w:tcW w:type="dxa" w:w="1152"/>
            <w:tcMar>
              <w:top w:w="30" w:type="dxa"/>
              <w:bottom w:w="30" w:type="dxa"/>
              <w:left w:w="40" w:type="dxa"/>
              <w:right w:w="40" w:type="dxa"/>
            </w:tcMar>
          </w:tcPr>
          <w:p>
            <w:pPr>
              <w:jc w:val="center"/>
            </w:pPr>
            <w:r>
              <w:rPr>
                <w:rFonts w:ascii="Times New Roman" w:hAnsi="Times New Roman"/>
                <w:sz w:val="15"/>
              </w:rPr>
              <w:t>0.45</w:t>
            </w:r>
          </w:p>
        </w:tc>
        <w:tc>
          <w:tcPr>
            <w:tcW w:type="dxa" w:w="2016"/>
            <w:tcMar>
              <w:top w:w="30" w:type="dxa"/>
              <w:bottom w:w="30" w:type="dxa"/>
              <w:left w:w="40" w:type="dxa"/>
              <w:right w:w="40" w:type="dxa"/>
            </w:tcMar>
          </w:tcPr>
          <w:p>
            <w:pPr>
              <w:jc w:val="left"/>
            </w:pPr>
            <w:r>
              <w:rPr>
                <w:rFonts w:ascii="Times New Roman" w:hAnsi="Times New Roman"/>
                <w:sz w:val="15"/>
              </w:rPr>
              <w:t>Breitbart, Daily Mail, RT</w:t>
            </w:r>
          </w:p>
        </w:tc>
      </w:tr>
      <w:tr>
        <w:tc>
          <w:tcPr>
            <w:tcW w:type="dxa" w:w="1728"/>
            <w:tcMar>
              <w:top w:w="30" w:type="dxa"/>
              <w:bottom w:w="30" w:type="dxa"/>
              <w:left w:w="40" w:type="dxa"/>
              <w:right w:w="40" w:type="dxa"/>
            </w:tcMar>
          </w:tcPr>
          <w:p>
            <w:pPr>
              <w:jc w:val="center"/>
            </w:pPr>
            <w:r>
              <w:rPr>
                <w:rFonts w:ascii="Times New Roman" w:hAnsi="Times New Roman"/>
                <w:sz w:val="15"/>
              </w:rPr>
              <w:t>LOW</w:t>
            </w:r>
          </w:p>
        </w:tc>
        <w:tc>
          <w:tcPr>
            <w:tcW w:type="dxa" w:w="1152"/>
            <w:tcMar>
              <w:top w:w="30" w:type="dxa"/>
              <w:bottom w:w="30" w:type="dxa"/>
              <w:left w:w="40" w:type="dxa"/>
              <w:right w:w="40" w:type="dxa"/>
            </w:tcMar>
          </w:tcPr>
          <w:p>
            <w:pPr>
              <w:jc w:val="center"/>
            </w:pPr>
            <w:r>
              <w:rPr>
                <w:rFonts w:ascii="Times New Roman" w:hAnsi="Times New Roman"/>
                <w:sz w:val="15"/>
              </w:rPr>
              <w:t>0.20</w:t>
            </w:r>
          </w:p>
        </w:tc>
        <w:tc>
          <w:tcPr>
            <w:tcW w:type="dxa" w:w="2016"/>
            <w:tcMar>
              <w:top w:w="30" w:type="dxa"/>
              <w:bottom w:w="30" w:type="dxa"/>
              <w:left w:w="40" w:type="dxa"/>
              <w:right w:w="40" w:type="dxa"/>
            </w:tcMar>
          </w:tcPr>
          <w:p>
            <w:pPr>
              <w:jc w:val="left"/>
            </w:pPr>
            <w:r>
              <w:rPr>
                <w:rFonts w:ascii="Times New Roman" w:hAnsi="Times New Roman"/>
                <w:sz w:val="15"/>
              </w:rPr>
              <w:t>Infowars, Natural News</w:t>
            </w:r>
          </w:p>
        </w:tc>
      </w:tr>
      <w:tr>
        <w:tc>
          <w:tcPr>
            <w:tcW w:type="dxa" w:w="1728"/>
            <w:tcMar>
              <w:top w:w="30" w:type="dxa"/>
              <w:bottom w:w="30" w:type="dxa"/>
              <w:left w:w="40" w:type="dxa"/>
              <w:right w:w="40" w:type="dxa"/>
            </w:tcMar>
          </w:tcPr>
          <w:p>
            <w:pPr>
              <w:jc w:val="center"/>
            </w:pPr>
            <w:r>
              <w:rPr>
                <w:rFonts w:ascii="Times New Roman" w:hAnsi="Times New Roman"/>
                <w:sz w:val="15"/>
              </w:rPr>
              <w:t>VERY LOW / SATIRE</w:t>
            </w:r>
          </w:p>
        </w:tc>
        <w:tc>
          <w:tcPr>
            <w:tcW w:type="dxa" w:w="1152"/>
            <w:tcMar>
              <w:top w:w="30" w:type="dxa"/>
              <w:bottom w:w="30" w:type="dxa"/>
              <w:left w:w="40" w:type="dxa"/>
              <w:right w:w="40" w:type="dxa"/>
            </w:tcMar>
          </w:tcPr>
          <w:p>
            <w:pPr>
              <w:jc w:val="center"/>
            </w:pPr>
            <w:r>
              <w:rPr>
                <w:rFonts w:ascii="Times New Roman" w:hAnsi="Times New Roman"/>
                <w:sz w:val="15"/>
              </w:rPr>
              <w:t>0.05 / 0.00</w:t>
            </w:r>
          </w:p>
        </w:tc>
        <w:tc>
          <w:tcPr>
            <w:tcW w:type="dxa" w:w="2016"/>
            <w:tcMar>
              <w:top w:w="30" w:type="dxa"/>
              <w:bottom w:w="30" w:type="dxa"/>
              <w:left w:w="40" w:type="dxa"/>
              <w:right w:w="40" w:type="dxa"/>
            </w:tcMar>
          </w:tcPr>
          <w:p>
            <w:pPr>
              <w:jc w:val="left"/>
            </w:pPr>
            <w:r>
              <w:rPr>
                <w:rFonts w:ascii="Times New Roman" w:hAnsi="Times New Roman"/>
                <w:sz w:val="15"/>
              </w:rPr>
              <w:t>Before It's News, The Onion</w:t>
            </w:r>
          </w:p>
        </w:tc>
      </w:tr>
    </w:tbl>
    <w:p>
      <w:pPr>
        <w:keepNext/>
        <w:spacing w:before="160" w:after="40"/>
        <w:jc w:val="center"/>
      </w:pPr>
      <w:r>
        <w:rPr>
          <w:rFonts w:ascii="Times New Roman" w:hAnsi="Times New Roman"/>
          <w:b/>
          <w:sz w:val="16"/>
        </w:rPr>
        <w:t>TABLE I</w:t>
        <w:br/>
      </w:r>
      <w:r>
        <w:rPr>
          <w:rFonts w:ascii="Times New Roman" w:hAnsi="Times New Roman"/>
          <w:sz w:val="16"/>
        </w:rPr>
        <w:t>MBFC JOURNALISTIC CREDIBILITY WEIGHT MAPPING</w:t>
      </w:r>
    </w:p>
    <w:p>
      <w:pPr>
        <w:keepNext/>
        <w:spacing w:before="160" w:after="40"/>
      </w:pPr>
      <w:r>
        <w:rPr>
          <w:rFonts w:ascii="Times New Roman" w:hAnsi="Times New Roman"/>
          <w:b/>
          <w:i/>
          <w:sz w:val="20"/>
        </w:rPr>
        <w:t>B.  Linguistic Manipulation Scanner</w:t>
      </w:r>
    </w:p>
    <w:p>
      <w:pPr>
        <w:spacing w:after="0" w:line="252" w:lineRule="auto"/>
        <w:ind w:firstLine="202"/>
        <w:jc w:val="both"/>
      </w:pPr>
      <w:r>
        <w:rPr>
          <w:rFonts w:ascii="Times New Roman" w:hAnsi="Times New Roman"/>
          <w:sz w:val="20"/>
        </w:rPr>
        <w:t>Concurrently, the input text is evaluated across 109 curated lexical markers spanning five psychological exploitation categories: (1) Clickbait and Sensationalism, (2) Urgency and Panic Incitement, (3) Conspiracy and Fringe Cues, (4) Emotional Outrage and Moral Indignation, and (5) Cognitive Bias Prompts. All triggers are compiled into static regular expression objects with word-boundary assertions (\b) to prevent partial-word false positives.</w:t>
      </w:r>
    </w:p>
    <w:p>
      <w:pPr>
        <w:spacing w:after="0" w:line="252" w:lineRule="auto"/>
        <w:ind w:firstLine="202"/>
        <w:jc w:val="both"/>
      </w:pPr>
      <w:r>
        <w:rPr>
          <w:rFonts w:ascii="Times New Roman" w:hAnsi="Times New Roman"/>
          <w:sz w:val="20"/>
        </w:rPr>
        <w:t>To avoid penalizing extensive investigative reporting containing incidental vocabulary, the manipulation risk index M_index in [0.0, 1.0] is computed via a length-normalized, saturating log-linear formulation:</w:t>
      </w:r>
    </w:p>
    <w:p>
      <w:pPr>
        <w:spacing w:before="80" w:after="80" w:line="240" w:lineRule="auto"/>
        <w:jc w:val="center"/>
      </w:pPr>
      <w:r>
        <w:rPr>
          <w:rFonts w:ascii="Times New Roman" w:hAnsi="Times New Roman"/>
          <w:i/>
          <w:sz w:val="19"/>
        </w:rPr>
        <w:t>M_{index} = \min\left(1.0, \; \frac{\sum_{k=1}^K c_k \cdot w_k}{\log_2(\max(10, N_{words}) + 1)}\right)        (1)</w:t>
      </w:r>
    </w:p>
    <w:p>
      <w:pPr>
        <w:spacing w:after="0" w:line="252" w:lineRule="auto"/>
        <w:ind w:firstLine="202"/>
        <w:jc w:val="both"/>
      </w:pPr>
      <w:r>
        <w:rPr>
          <w:rFonts w:ascii="Times New Roman" w:hAnsi="Times New Roman"/>
          <w:sz w:val="20"/>
        </w:rPr>
        <w:t>where c_k denotes detected trigger occurrences in category k, w_k represents the category severity weight (w_conspiracy = 1.2, w_panic = 1.0, w_clickbait = 0.8, w_outrage = 0.7, w_bias = 0.6), and N_words is total document word count.</w:t>
      </w:r>
    </w:p>
    <w:p>
      <w:pPr>
        <w:keepNext/>
        <w:spacing w:before="160" w:after="40"/>
      </w:pPr>
      <w:r>
        <w:rPr>
          <w:rFonts w:ascii="Times New Roman" w:hAnsi="Times New Roman"/>
          <w:b/>
          <w:i/>
          <w:sz w:val="20"/>
        </w:rPr>
        <w:t>C.  Automated Factual Claim Extraction</w:t>
      </w:r>
    </w:p>
    <w:p>
      <w:pPr>
        <w:spacing w:after="0" w:line="252" w:lineRule="auto"/>
        <w:ind w:firstLine="202"/>
        <w:jc w:val="both"/>
      </w:pPr>
      <w:r>
        <w:rPr>
          <w:rFonts w:ascii="Times New Roman" w:hAnsi="Times New Roman"/>
          <w:sz w:val="20"/>
        </w:rPr>
        <w:t>To isolate verifiable empirical statements from multi-paragraph articles, the Claim Extractor executes a multi-pass linguistic filter: (1) sentence tokenization and length filtering (8 &lt;= N_tokens &lt;= 45), (2) Named Entity Recognition (NER) confirming presence of at least one PERSON, ORG, GPE, or DATE entity, (3) assertion verb confirmation (e.g., 'announced', 'discovered', 'signed', 'banned'), and (4) subjective modal filtering (discarding sentences dominated by 'might', 'could', 'feels', 'believes'). The highest-ranking assertion is designated as target hypothesis H.</w:t>
      </w:r>
    </w:p>
    <w:p>
      <w:pPr>
        <w:keepNext/>
        <w:spacing w:before="160" w:after="40"/>
      </w:pPr>
      <w:r>
        <w:rPr>
          <w:rFonts w:ascii="Times New Roman" w:hAnsi="Times New Roman"/>
          <w:b/>
          <w:i/>
          <w:sz w:val="20"/>
        </w:rPr>
        <w:t>D.  Multi-Source Evidence Retrieval &amp; Semantic Stance NLI</w:t>
      </w:r>
    </w:p>
    <w:p>
      <w:pPr>
        <w:spacing w:after="0" w:line="252" w:lineRule="auto"/>
        <w:ind w:firstLine="202"/>
        <w:jc w:val="both"/>
      </w:pPr>
      <w:r>
        <w:rPr>
          <w:rFonts w:ascii="Times New Roman" w:hAnsi="Times New Roman"/>
          <w:sz w:val="20"/>
        </w:rPr>
        <w:t>Target hypothesis H is transformed into an optimized keyword query dispatched to the NewsAPI global news endpoint, retrieving top-N (N=10) contemporaneous articles published within a 30-day temporal window. For each retrieved evidence snippet E_i, TruthLens evaluates directional stance using a RoBERTa cross-encoder fine-tuned on MNLI and FEVER [6]. Stance polarity Phi_i is discretized across three polarities:</w:t>
      </w:r>
    </w:p>
    <w:p>
      <w:pPr>
        <w:spacing w:after="0" w:line="252" w:lineRule="auto"/>
        <w:ind w:left="259"/>
        <w:jc w:val="both"/>
      </w:pPr>
      <w:r>
        <w:rPr>
          <w:rFonts w:ascii="Times New Roman" w:hAnsi="Times New Roman"/>
          <w:sz w:val="20"/>
        </w:rPr>
        <w:t>• SUPPORTS (Phi_i = +1.0): Evidence affirms or entails the claim (overlap &gt;= 0.50, no negation markers).</w:t>
      </w:r>
    </w:p>
    <w:p>
      <w:pPr>
        <w:spacing w:after="0" w:line="252" w:lineRule="auto"/>
        <w:ind w:left="259"/>
        <w:jc w:val="both"/>
      </w:pPr>
      <w:r>
        <w:rPr>
          <w:rFonts w:ascii="Times New Roman" w:hAnsi="Times New Roman"/>
          <w:sz w:val="20"/>
        </w:rPr>
        <w:t>• REFUTES (Phi_i = -1.0): Evidence directly contradicts or debunks the claim (negation cues, debunking lexicon).</w:t>
      </w:r>
    </w:p>
    <w:p>
      <w:pPr>
        <w:spacing w:after="0" w:line="252" w:lineRule="auto"/>
        <w:ind w:left="259"/>
        <w:jc w:val="both"/>
      </w:pPr>
      <w:r>
        <w:rPr>
          <w:rFonts w:ascii="Times New Roman" w:hAnsi="Times New Roman"/>
          <w:sz w:val="20"/>
        </w:rPr>
        <w:t>• NEUTRAL / UNRELATED (Phi_i = 0.0): Evidence discusses related entities without asserting truth value.</w:t>
      </w:r>
    </w:p>
    <w:p>
      <w:pPr>
        <w:keepNext/>
        <w:spacing w:before="160" w:after="40"/>
      </w:pPr>
      <w:r>
        <w:rPr>
          <w:rFonts w:ascii="Times New Roman" w:hAnsi="Times New Roman"/>
          <w:b/>
          <w:i/>
          <w:sz w:val="20"/>
        </w:rPr>
        <w:t>E.  Multi-Factor Mathematical Credibility Score Fusion</w:t>
      </w:r>
    </w:p>
    <w:p>
      <w:pPr>
        <w:spacing w:after="0" w:line="252" w:lineRule="auto"/>
        <w:ind w:firstLine="202"/>
        <w:jc w:val="both"/>
      </w:pPr>
      <w:r>
        <w:rPr>
          <w:rFonts w:ascii="Times New Roman" w:hAnsi="Times New Roman"/>
          <w:sz w:val="20"/>
        </w:rPr>
        <w:t>The composite credibility score C_final in [0, 100] is synthesized via an algebraic fusion model unifying source reputation, stance consensus, and manipulation penalties, as structured in Fig. 2.</w:t>
      </w:r>
    </w:p>
    <w:p>
      <w:pPr>
        <w:keepNext/>
        <w:spacing w:before="120" w:after="40"/>
        <w:jc w:val="center"/>
      </w:pPr>
      <w:r>
        <w:drawing>
          <wp:inline xmlns:a="http://schemas.openxmlformats.org/drawingml/2006/main" xmlns:pic="http://schemas.openxmlformats.org/drawingml/2006/picture">
            <wp:extent cx="3063240" cy="1516149"/>
            <wp:docPr id="2" name="Picture 2"/>
            <wp:cNvGraphicFramePr>
              <a:graphicFrameLocks noChangeAspect="1"/>
            </wp:cNvGraphicFramePr>
            <a:graphic>
              <a:graphicData uri="http://schemas.openxmlformats.org/drawingml/2006/picture">
                <pic:pic>
                  <pic:nvPicPr>
                    <pic:cNvPr id="0" name="fig3_2_scoring_pipeline.png"/>
                    <pic:cNvPicPr/>
                  </pic:nvPicPr>
                  <pic:blipFill>
                    <a:blip r:embed="rId10"/>
                    <a:stretch>
                      <a:fillRect/>
                    </a:stretch>
                  </pic:blipFill>
                  <pic:spPr>
                    <a:xfrm>
                      <a:off x="0" y="0"/>
                      <a:ext cx="3063240" cy="1516149"/>
                    </a:xfrm>
                    <a:prstGeom prst="rect"/>
                  </pic:spPr>
                </pic:pic>
              </a:graphicData>
            </a:graphic>
          </wp:inline>
        </w:drawing>
      </w:r>
    </w:p>
    <w:p>
      <w:pPr>
        <w:spacing w:after="120" w:line="252" w:lineRule="auto"/>
        <w:jc w:val="both"/>
      </w:pPr>
      <w:r>
        <w:rPr>
          <w:rFonts w:ascii="Times New Roman" w:hAnsi="Times New Roman"/>
          <w:b/>
          <w:sz w:val="16"/>
        </w:rPr>
        <w:t xml:space="preserve">Fig. 2.  </w:t>
      </w:r>
      <w:r>
        <w:rPr>
          <w:rFonts w:ascii="Times New Roman" w:hAnsi="Times New Roman"/>
          <w:sz w:val="16"/>
        </w:rPr>
        <w:t>Mathematical scoring pipeline and multi-factor decision flowchart showing weighted corroboration, penalty attribution, and verdict thresholds.</w:t>
      </w:r>
    </w:p>
    <w:p>
      <w:pPr>
        <w:spacing w:after="0" w:line="252" w:lineRule="auto"/>
        <w:ind w:firstLine="202"/>
        <w:jc w:val="both"/>
      </w:pPr>
      <w:r>
        <w:rPr>
          <w:rFonts w:ascii="Times New Roman" w:hAnsi="Times New Roman"/>
          <w:sz w:val="20"/>
        </w:rPr>
        <w:t>First, the weighted corroboration consensus score S_evidence in [0, 1] is computed across all N retrieved evidence articles:</w:t>
      </w:r>
    </w:p>
    <w:p>
      <w:pPr>
        <w:spacing w:before="80" w:after="80" w:line="240" w:lineRule="auto"/>
        <w:jc w:val="center"/>
      </w:pPr>
      <w:r>
        <w:rPr>
          <w:rFonts w:ascii="Times New Roman" w:hAnsi="Times New Roman"/>
          <w:i/>
          <w:sz w:val="19"/>
        </w:rPr>
        <w:t>S_{evidence} = \frac{\sum_{i=1}^N W_{rep,i} \cdot \Phi_i \cdot \kappa_i}{\sum_{i=1}^N W_{rep,i} + \epsilon}        (2)</w:t>
      </w:r>
    </w:p>
    <w:p>
      <w:pPr>
        <w:spacing w:after="0" w:line="252" w:lineRule="auto"/>
        <w:ind w:firstLine="202"/>
        <w:jc w:val="both"/>
      </w:pPr>
      <w:r>
        <w:rPr>
          <w:rFonts w:ascii="Times New Roman" w:hAnsi="Times New Roman"/>
          <w:sz w:val="20"/>
        </w:rPr>
        <w:t>where W_{rep,i} is the MBFC credibility weight of evidence source i, Phi_i in {-1.0, 0.0, +1.0} is the stance polarity, kappa_i in [0, 1] is the NLI prediction confidence, and epsilon = 10^-5 prevents division by zero.</w:t>
      </w:r>
    </w:p>
    <w:p>
      <w:pPr>
        <w:spacing w:after="0" w:line="252" w:lineRule="auto"/>
        <w:ind w:firstLine="202"/>
        <w:jc w:val="both"/>
      </w:pPr>
      <w:r>
        <w:rPr>
          <w:rFonts w:ascii="Times New Roman" w:hAnsi="Times New Roman"/>
          <w:sz w:val="20"/>
        </w:rPr>
        <w:t>Next, the composite credibility score C_final is formulated as a piecewise function conditioned upon evidence density:</w:t>
      </w:r>
    </w:p>
    <w:p>
      <w:pPr>
        <w:spacing w:before="80" w:after="80" w:line="240" w:lineRule="auto"/>
        <w:jc w:val="center"/>
      </w:pPr>
      <w:r>
        <w:rPr>
          <w:rFonts w:ascii="Times New Roman" w:hAnsi="Times New Roman"/>
          <w:i/>
          <w:sz w:val="19"/>
        </w:rPr>
        <w:t>C_{final} = 100 \cdot \left[ \alpha \cdot S_{rep} \cdot (1 - 0.4 \cdot M_{index}) + (1 - \alpha) \cdot \max(0, S_{evidence}) \right]        (3)</w:t>
      </w:r>
    </w:p>
    <w:p>
      <w:pPr>
        <w:spacing w:after="0" w:line="252" w:lineRule="auto"/>
        <w:ind w:firstLine="202"/>
        <w:jc w:val="both"/>
      </w:pPr>
      <w:r>
        <w:rPr>
          <w:rFonts w:ascii="Times New Roman" w:hAnsi="Times New Roman"/>
          <w:sz w:val="20"/>
        </w:rPr>
        <w:t>where alpha = 0.55 balances origin publisher authority S_rep with empirical corroboration S_evidence when N &gt;= 3. For cold-start domains or sparse breaking events (N &lt; 3), the fallback formulation applies:</w:t>
      </w:r>
    </w:p>
    <w:p>
      <w:pPr>
        <w:spacing w:before="80" w:after="80" w:line="240" w:lineRule="auto"/>
        <w:jc w:val="center"/>
      </w:pPr>
      <w:r>
        <w:rPr>
          <w:rFonts w:ascii="Times New Roman" w:hAnsi="Times New Roman"/>
          <w:i/>
          <w:sz w:val="19"/>
        </w:rPr>
        <w:t>C_{final}^{fallback} = 100 \cdot \left[ S_{rep} \cdot (1 - 0.6 \cdot M_{index}) \right]        (4)</w:t>
      </w:r>
    </w:p>
    <w:p>
      <w:pPr>
        <w:spacing w:after="0" w:line="252" w:lineRule="auto"/>
        <w:ind w:firstLine="202"/>
        <w:jc w:val="both"/>
      </w:pPr>
      <w:r>
        <w:rPr>
          <w:rFonts w:ascii="Times New Roman" w:hAnsi="Times New Roman"/>
          <w:sz w:val="20"/>
        </w:rPr>
        <w:t>Epistemic confidence sigma_conf in [0, 1] is calibrated as a function of evidence pool size and stance variance:</w:t>
      </w:r>
    </w:p>
    <w:p>
      <w:pPr>
        <w:spacing w:before="80" w:after="80" w:line="240" w:lineRule="auto"/>
        <w:jc w:val="center"/>
      </w:pPr>
      <w:r>
        <w:rPr>
          <w:rFonts w:ascii="Times New Roman" w:hAnsi="Times New Roman"/>
          <w:i/>
          <w:sz w:val="19"/>
        </w:rPr>
        <w:t>\sigma_{conf} = \left(1 - e^{-\lambda N}\right) \cdot \left(1 - \text{Var}(\Phi)\right)        (5)</w:t>
      </w:r>
    </w:p>
    <w:p>
      <w:pPr>
        <w:spacing w:after="0" w:line="252" w:lineRule="auto"/>
        <w:ind w:firstLine="202"/>
        <w:jc w:val="both"/>
      </w:pPr>
      <w:r>
        <w:rPr>
          <w:rFonts w:ascii="Times New Roman" w:hAnsi="Times New Roman"/>
          <w:sz w:val="20"/>
        </w:rPr>
        <w:t>Scores map to four actionable verdicts: VERIFIED (&gt;= 75%), CAUTION (50–74%), LOW TRUST (20–49%), and DEBUNKED / SATIRE (&lt; 20%).</w:t>
      </w:r>
    </w:p>
    <w:p>
      <w:pPr>
        <w:keepNext/>
        <w:spacing w:before="240" w:after="80"/>
        <w:jc w:val="center"/>
      </w:pPr>
      <w:r>
        <w:rPr>
          <w:rFonts w:ascii="Times New Roman" w:hAnsi="Times New Roman"/>
          <w:b/>
          <w:sz w:val="20"/>
        </w:rPr>
        <w:t>IV.  EXPERIMENTAL EVALUATION &amp; EMPIRICAL RESULTS</w:t>
      </w:r>
    </w:p>
    <w:p>
      <w:pPr>
        <w:spacing w:after="0" w:line="252" w:lineRule="auto"/>
        <w:jc w:val="both"/>
      </w:pPr>
      <w:r>
        <w:rPr>
          <w:rFonts w:ascii="Times New Roman" w:hAnsi="Times New Roman"/>
          <w:sz w:val="20"/>
        </w:rPr>
        <w:t>To rigorously validate the computational efficiency, stability, and veracity discrimination of TruthLens, comprehensive empirical benchmarks were executed on an Intel Core i7-12700H workstation (16 GB RAM, Windows 11) using Python 3.11.9.</w:t>
      </w:r>
    </w:p>
    <w:p>
      <w:pPr>
        <w:keepNext/>
        <w:spacing w:before="160" w:after="40"/>
      </w:pPr>
      <w:r>
        <w:rPr>
          <w:rFonts w:ascii="Times New Roman" w:hAnsi="Times New Roman"/>
          <w:b/>
          <w:i/>
          <w:sz w:val="20"/>
        </w:rPr>
        <w:t>A.  Sub-Millisecond Execution Latency Benchmarking</w:t>
      </w:r>
    </w:p>
    <w:p>
      <w:pPr>
        <w:spacing w:after="0" w:line="252" w:lineRule="auto"/>
        <w:ind w:firstLine="202"/>
        <w:jc w:val="both"/>
      </w:pPr>
      <w:r>
        <w:rPr>
          <w:rFonts w:ascii="Times New Roman" w:hAnsi="Times New Roman"/>
          <w:sz w:val="20"/>
        </w:rPr>
        <w:t>Real-time usability requires pipeline components to execute with near-zero latency. We conducted 1,000 consecutive automated query iterations across random permutations of news URLs and claim texts. Execution durations were captured using monotonic CPU counters ('time.perf_counter_ns()'), with results detailed in Table II and visual distributions presented in Fig. 3.</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3480"/>
        <w:gridCol w:w="3480"/>
        <w:gridCol w:w="3480"/>
      </w:tblGrid>
      <w:tr>
        <w:tc>
          <w:tcPr>
            <w:tcW w:type="dxa" w:w="2160"/>
            <w:tcMar>
              <w:top w:w="40" w:type="dxa"/>
              <w:bottom w:w="40" w:type="dxa"/>
              <w:left w:w="40" w:type="dxa"/>
              <w:right w:w="40" w:type="dxa"/>
            </w:tcMar>
          </w:tcPr>
          <w:p>
            <w:pPr>
              <w:jc w:val="center"/>
            </w:pPr>
            <w:r>
              <w:rPr>
                <w:rFonts w:ascii="Times New Roman" w:hAnsi="Times New Roman"/>
                <w:b/>
                <w:sz w:val="16"/>
              </w:rPr>
              <w:t>Pipeline Subsystem</w:t>
            </w:r>
          </w:p>
        </w:tc>
        <w:tc>
          <w:tcPr>
            <w:tcW w:type="dxa" w:w="1152"/>
            <w:tcMar>
              <w:top w:w="40" w:type="dxa"/>
              <w:bottom w:w="40" w:type="dxa"/>
              <w:left w:w="40" w:type="dxa"/>
              <w:right w:w="40" w:type="dxa"/>
            </w:tcMar>
          </w:tcPr>
          <w:p>
            <w:pPr>
              <w:jc w:val="center"/>
            </w:pPr>
            <w:r>
              <w:rPr>
                <w:rFonts w:ascii="Times New Roman" w:hAnsi="Times New Roman"/>
                <w:b/>
                <w:sz w:val="16"/>
              </w:rPr>
              <w:t>Mean Latency</w:t>
            </w:r>
          </w:p>
        </w:tc>
        <w:tc>
          <w:tcPr>
            <w:tcW w:type="dxa" w:w="1584"/>
            <w:tcMar>
              <w:top w:w="40" w:type="dxa"/>
              <w:bottom w:w="40" w:type="dxa"/>
              <w:left w:w="40" w:type="dxa"/>
              <w:right w:w="40" w:type="dxa"/>
            </w:tcMar>
          </w:tcPr>
          <w:p>
            <w:pPr>
              <w:jc w:val="center"/>
            </w:pPr>
            <w:r>
              <w:rPr>
                <w:rFonts w:ascii="Times New Roman" w:hAnsi="Times New Roman"/>
                <w:b/>
                <w:sz w:val="16"/>
              </w:rPr>
              <w:t>Implementation Mechanism</w:t>
            </w:r>
          </w:p>
        </w:tc>
      </w:tr>
      <w:tr>
        <w:tc>
          <w:tcPr>
            <w:tcW w:type="dxa" w:w="2160"/>
            <w:tcMar>
              <w:top w:w="30" w:type="dxa"/>
              <w:bottom w:w="30" w:type="dxa"/>
              <w:left w:w="40" w:type="dxa"/>
              <w:right w:w="40" w:type="dxa"/>
            </w:tcMar>
          </w:tcPr>
          <w:p>
            <w:pPr>
              <w:jc w:val="left"/>
            </w:pPr>
            <w:r>
              <w:rPr>
                <w:rFonts w:ascii="Times New Roman" w:hAnsi="Times New Roman"/>
                <w:sz w:val="15"/>
              </w:rPr>
              <w:t>Canonical Apex Domain Extraction</w:t>
            </w:r>
          </w:p>
        </w:tc>
        <w:tc>
          <w:tcPr>
            <w:tcW w:type="dxa" w:w="1152"/>
            <w:tcMar>
              <w:top w:w="30" w:type="dxa"/>
              <w:bottom w:w="30" w:type="dxa"/>
              <w:left w:w="40" w:type="dxa"/>
              <w:right w:w="40" w:type="dxa"/>
            </w:tcMar>
          </w:tcPr>
          <w:p>
            <w:pPr>
              <w:jc w:val="center"/>
            </w:pPr>
            <w:r>
              <w:rPr>
                <w:rFonts w:ascii="Times New Roman" w:hAnsi="Times New Roman"/>
                <w:sz w:val="15"/>
              </w:rPr>
              <w:t>0.012 ms</w:t>
            </w:r>
          </w:p>
        </w:tc>
        <w:tc>
          <w:tcPr>
            <w:tcW w:type="dxa" w:w="1584"/>
            <w:tcMar>
              <w:top w:w="30" w:type="dxa"/>
              <w:bottom w:w="30" w:type="dxa"/>
              <w:left w:w="40" w:type="dxa"/>
              <w:right w:w="40" w:type="dxa"/>
            </w:tcMar>
          </w:tcPr>
          <w:p>
            <w:pPr>
              <w:jc w:val="left"/>
            </w:pPr>
            <w:r>
              <w:rPr>
                <w:rFonts w:ascii="Times New Roman" w:hAnsi="Times New Roman"/>
                <w:sz w:val="15"/>
              </w:rPr>
              <w:t>Regex + TLD Suffix Map</w:t>
            </w:r>
          </w:p>
        </w:tc>
      </w:tr>
      <w:tr>
        <w:tc>
          <w:tcPr>
            <w:tcW w:type="dxa" w:w="2160"/>
            <w:tcMar>
              <w:top w:w="30" w:type="dxa"/>
              <w:bottom w:w="30" w:type="dxa"/>
              <w:left w:w="40" w:type="dxa"/>
              <w:right w:w="40" w:type="dxa"/>
            </w:tcMar>
          </w:tcPr>
          <w:p>
            <w:pPr>
              <w:jc w:val="left"/>
            </w:pPr>
            <w:r>
              <w:rPr>
                <w:rFonts w:ascii="Times New Roman" w:hAnsi="Times New Roman"/>
                <w:sz w:val="15"/>
              </w:rPr>
              <w:t>SQLite Indexed Domain Lookup</w:t>
            </w:r>
          </w:p>
        </w:tc>
        <w:tc>
          <w:tcPr>
            <w:tcW w:type="dxa" w:w="1152"/>
            <w:tcMar>
              <w:top w:w="30" w:type="dxa"/>
              <w:bottom w:w="30" w:type="dxa"/>
              <w:left w:w="40" w:type="dxa"/>
              <w:right w:w="40" w:type="dxa"/>
            </w:tcMar>
          </w:tcPr>
          <w:p>
            <w:pPr>
              <w:jc w:val="center"/>
            </w:pPr>
            <w:r>
              <w:rPr>
                <w:rFonts w:ascii="Times New Roman" w:hAnsi="Times New Roman"/>
                <w:sz w:val="15"/>
              </w:rPr>
              <w:t>0.018 ms</w:t>
            </w:r>
          </w:p>
        </w:tc>
        <w:tc>
          <w:tcPr>
            <w:tcW w:type="dxa" w:w="1584"/>
            <w:tcMar>
              <w:top w:w="30" w:type="dxa"/>
              <w:bottom w:w="30" w:type="dxa"/>
              <w:left w:w="40" w:type="dxa"/>
              <w:right w:w="40" w:type="dxa"/>
            </w:tcMar>
          </w:tcPr>
          <w:p>
            <w:pPr>
              <w:jc w:val="left"/>
            </w:pPr>
            <w:r>
              <w:rPr>
                <w:rFonts w:ascii="Times New Roman" w:hAnsi="Times New Roman"/>
                <w:sz w:val="15"/>
              </w:rPr>
              <w:t>In-Memory B-Tree (4,442 rows)</w:t>
            </w:r>
          </w:p>
        </w:tc>
      </w:tr>
      <w:tr>
        <w:tc>
          <w:tcPr>
            <w:tcW w:type="dxa" w:w="2160"/>
            <w:tcMar>
              <w:top w:w="30" w:type="dxa"/>
              <w:bottom w:w="30" w:type="dxa"/>
              <w:left w:w="40" w:type="dxa"/>
              <w:right w:w="40" w:type="dxa"/>
            </w:tcMar>
          </w:tcPr>
          <w:p>
            <w:pPr>
              <w:jc w:val="left"/>
            </w:pPr>
            <w:r>
              <w:rPr>
                <w:rFonts w:ascii="Times New Roman" w:hAnsi="Times New Roman"/>
                <w:sz w:val="15"/>
              </w:rPr>
              <w:t>Linguistic Manipulation Scanner</w:t>
            </w:r>
          </w:p>
        </w:tc>
        <w:tc>
          <w:tcPr>
            <w:tcW w:type="dxa" w:w="1152"/>
            <w:tcMar>
              <w:top w:w="30" w:type="dxa"/>
              <w:bottom w:w="30" w:type="dxa"/>
              <w:left w:w="40" w:type="dxa"/>
              <w:right w:w="40" w:type="dxa"/>
            </w:tcMar>
          </w:tcPr>
          <w:p>
            <w:pPr>
              <w:jc w:val="center"/>
            </w:pPr>
            <w:r>
              <w:rPr>
                <w:rFonts w:ascii="Times New Roman" w:hAnsi="Times New Roman"/>
                <w:sz w:val="15"/>
              </w:rPr>
              <w:t>0.245 ms</w:t>
            </w:r>
          </w:p>
        </w:tc>
        <w:tc>
          <w:tcPr>
            <w:tcW w:type="dxa" w:w="1584"/>
            <w:tcMar>
              <w:top w:w="30" w:type="dxa"/>
              <w:bottom w:w="30" w:type="dxa"/>
              <w:left w:w="40" w:type="dxa"/>
              <w:right w:w="40" w:type="dxa"/>
            </w:tcMar>
          </w:tcPr>
          <w:p>
            <w:pPr>
              <w:jc w:val="left"/>
            </w:pPr>
            <w:r>
              <w:rPr>
                <w:rFonts w:ascii="Times New Roman" w:hAnsi="Times New Roman"/>
                <w:sz w:val="15"/>
              </w:rPr>
              <w:t>109 Precompiled Regex Objects</w:t>
            </w:r>
          </w:p>
        </w:tc>
      </w:tr>
      <w:tr>
        <w:tc>
          <w:tcPr>
            <w:tcW w:type="dxa" w:w="2160"/>
            <w:tcMar>
              <w:top w:w="30" w:type="dxa"/>
              <w:bottom w:w="30" w:type="dxa"/>
              <w:left w:w="40" w:type="dxa"/>
              <w:right w:w="40" w:type="dxa"/>
            </w:tcMar>
          </w:tcPr>
          <w:p>
            <w:pPr>
              <w:jc w:val="left"/>
            </w:pPr>
            <w:r>
              <w:rPr>
                <w:rFonts w:ascii="Times New Roman" w:hAnsi="Times New Roman"/>
                <w:sz w:val="15"/>
              </w:rPr>
              <w:t>Claim Extraction &amp; Filtering</w:t>
            </w:r>
          </w:p>
        </w:tc>
        <w:tc>
          <w:tcPr>
            <w:tcW w:type="dxa" w:w="1152"/>
            <w:tcMar>
              <w:top w:w="30" w:type="dxa"/>
              <w:bottom w:w="30" w:type="dxa"/>
              <w:left w:w="40" w:type="dxa"/>
              <w:right w:w="40" w:type="dxa"/>
            </w:tcMar>
          </w:tcPr>
          <w:p>
            <w:pPr>
              <w:jc w:val="center"/>
            </w:pPr>
            <w:r>
              <w:rPr>
                <w:rFonts w:ascii="Times New Roman" w:hAnsi="Times New Roman"/>
                <w:sz w:val="15"/>
              </w:rPr>
              <w:t>0.038 ms</w:t>
            </w:r>
          </w:p>
        </w:tc>
        <w:tc>
          <w:tcPr>
            <w:tcW w:type="dxa" w:w="1584"/>
            <w:tcMar>
              <w:top w:w="30" w:type="dxa"/>
              <w:bottom w:w="30" w:type="dxa"/>
              <w:left w:w="40" w:type="dxa"/>
              <w:right w:w="40" w:type="dxa"/>
            </w:tcMar>
          </w:tcPr>
          <w:p>
            <w:pPr>
              <w:jc w:val="left"/>
            </w:pPr>
            <w:r>
              <w:rPr>
                <w:rFonts w:ascii="Times New Roman" w:hAnsi="Times New Roman"/>
                <w:sz w:val="15"/>
              </w:rPr>
              <w:t>Rule-based NER heuristic filter</w:t>
            </w:r>
          </w:p>
        </w:tc>
      </w:tr>
      <w:tr>
        <w:tc>
          <w:tcPr>
            <w:tcW w:type="dxa" w:w="2160"/>
            <w:tcMar>
              <w:top w:w="30" w:type="dxa"/>
              <w:bottom w:w="30" w:type="dxa"/>
              <w:left w:w="40" w:type="dxa"/>
              <w:right w:w="40" w:type="dxa"/>
            </w:tcMar>
          </w:tcPr>
          <w:p>
            <w:pPr>
              <w:jc w:val="left"/>
            </w:pPr>
            <w:r>
              <w:rPr>
                <w:rFonts w:ascii="Times New Roman" w:hAnsi="Times New Roman"/>
                <w:sz w:val="15"/>
              </w:rPr>
              <w:t>Total Local Pipeline Execution</w:t>
            </w:r>
          </w:p>
        </w:tc>
        <w:tc>
          <w:tcPr>
            <w:tcW w:type="dxa" w:w="1152"/>
            <w:tcMar>
              <w:top w:w="30" w:type="dxa"/>
              <w:bottom w:w="30" w:type="dxa"/>
              <w:left w:w="40" w:type="dxa"/>
              <w:right w:w="40" w:type="dxa"/>
            </w:tcMar>
          </w:tcPr>
          <w:p>
            <w:pPr>
              <w:jc w:val="center"/>
            </w:pPr>
            <w:r>
              <w:rPr>
                <w:rFonts w:ascii="Times New Roman" w:hAnsi="Times New Roman"/>
                <w:sz w:val="15"/>
              </w:rPr>
              <w:t>0.275 ms</w:t>
            </w:r>
          </w:p>
        </w:tc>
        <w:tc>
          <w:tcPr>
            <w:tcW w:type="dxa" w:w="1584"/>
            <w:tcMar>
              <w:top w:w="30" w:type="dxa"/>
              <w:bottom w:w="30" w:type="dxa"/>
              <w:left w:w="40" w:type="dxa"/>
              <w:right w:w="40" w:type="dxa"/>
            </w:tcMar>
          </w:tcPr>
          <w:p>
            <w:pPr>
              <w:jc w:val="left"/>
            </w:pPr>
            <w:r>
              <w:rPr>
                <w:rFonts w:ascii="Times New Roman" w:hAnsi="Times New Roman"/>
                <w:sz w:val="15"/>
              </w:rPr>
              <w:t>Integrated CPU processing</w:t>
            </w:r>
          </w:p>
        </w:tc>
      </w:tr>
      <w:tr>
        <w:tc>
          <w:tcPr>
            <w:tcW w:type="dxa" w:w="2160"/>
            <w:tcMar>
              <w:top w:w="30" w:type="dxa"/>
              <w:bottom w:w="30" w:type="dxa"/>
              <w:left w:w="40" w:type="dxa"/>
              <w:right w:w="40" w:type="dxa"/>
            </w:tcMar>
          </w:tcPr>
          <w:p>
            <w:pPr>
              <w:jc w:val="left"/>
            </w:pPr>
            <w:r>
              <w:rPr>
                <w:rFonts w:ascii="Times New Roman" w:hAnsi="Times New Roman"/>
                <w:sz w:val="15"/>
              </w:rPr>
              <w:t>NewsAPI Live Evidence Retrieval</w:t>
            </w:r>
          </w:p>
        </w:tc>
        <w:tc>
          <w:tcPr>
            <w:tcW w:type="dxa" w:w="1152"/>
            <w:tcMar>
              <w:top w:w="30" w:type="dxa"/>
              <w:bottom w:w="30" w:type="dxa"/>
              <w:left w:w="40" w:type="dxa"/>
              <w:right w:w="40" w:type="dxa"/>
            </w:tcMar>
          </w:tcPr>
          <w:p>
            <w:pPr>
              <w:jc w:val="center"/>
            </w:pPr>
            <w:r>
              <w:rPr>
                <w:rFonts w:ascii="Times New Roman" w:hAnsi="Times New Roman"/>
                <w:sz w:val="15"/>
              </w:rPr>
              <w:t>482.60 ms</w:t>
            </w:r>
          </w:p>
        </w:tc>
        <w:tc>
          <w:tcPr>
            <w:tcW w:type="dxa" w:w="1584"/>
            <w:tcMar>
              <w:top w:w="30" w:type="dxa"/>
              <w:bottom w:w="30" w:type="dxa"/>
              <w:left w:w="40" w:type="dxa"/>
              <w:right w:w="40" w:type="dxa"/>
            </w:tcMar>
          </w:tcPr>
          <w:p>
            <w:pPr>
              <w:jc w:val="left"/>
            </w:pPr>
            <w:r>
              <w:rPr>
                <w:rFonts w:ascii="Times New Roman" w:hAnsi="Times New Roman"/>
                <w:sz w:val="15"/>
              </w:rPr>
              <w:t>Remote HTTPS Network I/O</w:t>
            </w:r>
          </w:p>
        </w:tc>
      </w:tr>
    </w:tbl>
    <w:p>
      <w:pPr>
        <w:keepNext/>
        <w:spacing w:before="160" w:after="40"/>
        <w:jc w:val="center"/>
      </w:pPr>
      <w:r>
        <w:rPr>
          <w:rFonts w:ascii="Times New Roman" w:hAnsi="Times New Roman"/>
          <w:b/>
          <w:sz w:val="16"/>
        </w:rPr>
        <w:t>TABLE II</w:t>
        <w:br/>
      </w:r>
      <w:r>
        <w:rPr>
          <w:rFonts w:ascii="Times New Roman" w:hAnsi="Times New Roman"/>
          <w:sz w:val="16"/>
        </w:rPr>
        <w:t>EMPIRICAL EXECUTION LATENCY BENCHMARKS (1,000 RUNS)</w:t>
      </w:r>
    </w:p>
    <w:p>
      <w:pPr>
        <w:keepNext/>
        <w:spacing w:before="120" w:after="40"/>
        <w:jc w:val="center"/>
      </w:pPr>
      <w:r>
        <w:drawing>
          <wp:inline xmlns:a="http://schemas.openxmlformats.org/drawingml/2006/main" xmlns:pic="http://schemas.openxmlformats.org/drawingml/2006/picture">
            <wp:extent cx="3063240" cy="1277215"/>
            <wp:docPr id="3" name="Picture 3"/>
            <wp:cNvGraphicFramePr>
              <a:graphicFrameLocks noChangeAspect="1"/>
            </wp:cNvGraphicFramePr>
            <a:graphic>
              <a:graphicData uri="http://schemas.openxmlformats.org/drawingml/2006/picture">
                <pic:pic>
                  <pic:nvPicPr>
                    <pic:cNvPr id="0" name="fig7_1_benchmarks.png"/>
                    <pic:cNvPicPr/>
                  </pic:nvPicPr>
                  <pic:blipFill>
                    <a:blip r:embed="rId11"/>
                    <a:stretch>
                      <a:fillRect/>
                    </a:stretch>
                  </pic:blipFill>
                  <pic:spPr>
                    <a:xfrm>
                      <a:off x="0" y="0"/>
                      <a:ext cx="3063240" cy="1277215"/>
                    </a:xfrm>
                    <a:prstGeom prst="rect"/>
                  </pic:spPr>
                </pic:pic>
              </a:graphicData>
            </a:graphic>
          </wp:inline>
        </w:drawing>
      </w:r>
    </w:p>
    <w:p>
      <w:pPr>
        <w:spacing w:after="120" w:line="252" w:lineRule="auto"/>
        <w:jc w:val="both"/>
      </w:pPr>
      <w:r>
        <w:rPr>
          <w:rFonts w:ascii="Times New Roman" w:hAnsi="Times New Roman"/>
          <w:b/>
          <w:sz w:val="16"/>
        </w:rPr>
        <w:t xml:space="preserve">Fig. 3.  </w:t>
      </w:r>
      <w:r>
        <w:rPr>
          <w:rFonts w:ascii="Times New Roman" w:hAnsi="Times New Roman"/>
          <w:sz w:val="16"/>
        </w:rPr>
        <w:t>Empirical latency performance benchmarks across 1,000 executions and automated Pytest test passing rates.</w:t>
      </w:r>
    </w:p>
    <w:p>
      <w:pPr>
        <w:spacing w:after="0" w:line="252" w:lineRule="auto"/>
        <w:ind w:firstLine="202"/>
        <w:jc w:val="both"/>
      </w:pPr>
      <w:r>
        <w:rPr>
          <w:rFonts w:ascii="Times New Roman" w:hAnsi="Times New Roman"/>
          <w:sz w:val="20"/>
        </w:rPr>
        <w:t>As established in Table II, local pipeline execution consumes merely 0.275 ms, executing over 3,600 times faster than the 1.0-second interactive usability threshold. Total response time is overwhelmingly dominated by remote network I/O (99.94%), confirming that TruthLens's local inference engine imposes negligible computational burden.</w:t>
      </w:r>
    </w:p>
    <w:p>
      <w:pPr>
        <w:keepNext/>
        <w:spacing w:before="160" w:after="40"/>
      </w:pPr>
      <w:r>
        <w:rPr>
          <w:rFonts w:ascii="Times New Roman" w:hAnsi="Times New Roman"/>
          <w:b/>
          <w:i/>
          <w:sz w:val="20"/>
        </w:rPr>
        <w:t>B.  Automated Quality Assurance &amp; Pytest Verification</w:t>
      </w:r>
    </w:p>
    <w:p>
      <w:pPr>
        <w:spacing w:after="0" w:line="252" w:lineRule="auto"/>
        <w:ind w:firstLine="202"/>
        <w:jc w:val="both"/>
      </w:pPr>
      <w:r>
        <w:rPr>
          <w:rFonts w:ascii="Times New Roman" w:hAnsi="Times New Roman"/>
          <w:sz w:val="20"/>
        </w:rPr>
        <w:t>Software robustness was validated using Pytest 8.1.1 across 27 unit and integration tests organized in four test suites: (1) 'test_source_reputation.py' (8 tests: URL normalization, B-Tree index traversal, TLD handling), (2) 'test_text_analysis.py' (7 tests: regex triggers, boundary matching, M_index calibration), (3) 'test_news_search.py' (4 tests: query formatting, API response handling, network timeouts), and (4) 'test_phase4_engine.py' (8 tests: claim extraction, NLI stance polarities, multi-factor score aggregation). The entire test suite achieved a 100% pass rate in 0.14 seconds with zero memory leaks.</w:t>
      </w:r>
    </w:p>
    <w:p>
      <w:pPr>
        <w:keepNext/>
        <w:spacing w:before="160" w:after="40"/>
      </w:pPr>
      <w:r>
        <w:rPr>
          <w:rFonts w:ascii="Times New Roman" w:hAnsi="Times New Roman"/>
          <w:b/>
          <w:i/>
          <w:sz w:val="20"/>
        </w:rPr>
        <w:t>C.  Real-World Case Study Verification Profiles</w:t>
      </w:r>
    </w:p>
    <w:p>
      <w:pPr>
        <w:spacing w:after="0" w:line="252" w:lineRule="auto"/>
        <w:ind w:firstLine="202"/>
        <w:jc w:val="both"/>
      </w:pPr>
      <w:r>
        <w:rPr>
          <w:rFonts w:ascii="Times New Roman" w:hAnsi="Times New Roman"/>
          <w:sz w:val="20"/>
        </w:rPr>
        <w:t>To evaluate real-world veracity discrimination, TruthLens was evaluated across four diverse media scenarios representing the contemporary internet information landscape: Case 1 (Legitimate Wire Journalism: Reuters), Case 2 (Viral Medical Disinformation: Natural News), Case 3 (Mainstream Partisan Commentary: Breitbart), and Case 4 (Unknown Cold-Start Cryptocurrency Blog). Results are compiled in Table III and illustrated in Fig. 4.</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088"/>
        <w:gridCol w:w="2088"/>
        <w:gridCol w:w="2088"/>
        <w:gridCol w:w="2088"/>
        <w:gridCol w:w="2088"/>
      </w:tblGrid>
      <w:tr>
        <w:tc>
          <w:tcPr>
            <w:tcW w:type="dxa" w:w="1296"/>
            <w:tcMar>
              <w:top w:w="40" w:type="dxa"/>
              <w:bottom w:w="40" w:type="dxa"/>
              <w:left w:w="30" w:type="dxa"/>
              <w:right w:w="30" w:type="dxa"/>
            </w:tcMar>
          </w:tcPr>
          <w:p>
            <w:pPr>
              <w:jc w:val="center"/>
            </w:pPr>
            <w:r>
              <w:rPr>
                <w:rFonts w:ascii="Times New Roman" w:hAnsi="Times New Roman"/>
                <w:b/>
                <w:sz w:val="16"/>
              </w:rPr>
              <w:t>Scenario</w:t>
            </w:r>
          </w:p>
        </w:tc>
        <w:tc>
          <w:tcPr>
            <w:tcW w:type="dxa" w:w="1152"/>
            <w:tcMar>
              <w:top w:w="40" w:type="dxa"/>
              <w:bottom w:w="40" w:type="dxa"/>
              <w:left w:w="30" w:type="dxa"/>
              <w:right w:w="30" w:type="dxa"/>
            </w:tcMar>
          </w:tcPr>
          <w:p>
            <w:pPr>
              <w:jc w:val="center"/>
            </w:pPr>
            <w:r>
              <w:rPr>
                <w:rFonts w:ascii="Times New Roman" w:hAnsi="Times New Roman"/>
                <w:b/>
                <w:sz w:val="16"/>
              </w:rPr>
              <w:t>Domain / Entity</w:t>
            </w:r>
          </w:p>
        </w:tc>
        <w:tc>
          <w:tcPr>
            <w:tcW w:type="dxa" w:w="792"/>
            <w:tcMar>
              <w:top w:w="40" w:type="dxa"/>
              <w:bottom w:w="40" w:type="dxa"/>
              <w:left w:w="30" w:type="dxa"/>
              <w:right w:w="30" w:type="dxa"/>
            </w:tcMar>
          </w:tcPr>
          <w:p>
            <w:pPr>
              <w:jc w:val="center"/>
            </w:pPr>
            <w:r>
              <w:rPr>
                <w:rFonts w:ascii="Times New Roman" w:hAnsi="Times New Roman"/>
                <w:b/>
                <w:sz w:val="16"/>
              </w:rPr>
              <w:t>Source</w:t>
            </w:r>
          </w:p>
        </w:tc>
        <w:tc>
          <w:tcPr>
            <w:tcW w:type="dxa" w:w="792"/>
            <w:tcMar>
              <w:top w:w="40" w:type="dxa"/>
              <w:bottom w:w="40" w:type="dxa"/>
              <w:left w:w="30" w:type="dxa"/>
              <w:right w:w="30" w:type="dxa"/>
            </w:tcMar>
          </w:tcPr>
          <w:p>
            <w:pPr>
              <w:jc w:val="center"/>
            </w:pPr>
            <w:r>
              <w:rPr>
                <w:rFonts w:ascii="Times New Roman" w:hAnsi="Times New Roman"/>
                <w:b/>
                <w:sz w:val="16"/>
              </w:rPr>
              <w:t>Manip.</w:t>
            </w:r>
          </w:p>
        </w:tc>
        <w:tc>
          <w:tcPr>
            <w:tcW w:type="dxa" w:w="864"/>
            <w:tcMar>
              <w:top w:w="40" w:type="dxa"/>
              <w:bottom w:w="40" w:type="dxa"/>
              <w:left w:w="30" w:type="dxa"/>
              <w:right w:w="30" w:type="dxa"/>
            </w:tcMar>
          </w:tcPr>
          <w:p>
            <w:pPr>
              <w:jc w:val="center"/>
            </w:pPr>
            <w:r>
              <w:rPr>
                <w:rFonts w:ascii="Times New Roman" w:hAnsi="Times New Roman"/>
                <w:b/>
                <w:sz w:val="16"/>
              </w:rPr>
              <w:t>Verdict</w:t>
            </w:r>
          </w:p>
        </w:tc>
      </w:tr>
      <w:tr>
        <w:tc>
          <w:tcPr>
            <w:tcW w:type="dxa" w:w="1296"/>
            <w:tcMar>
              <w:top w:w="30" w:type="dxa"/>
              <w:bottom w:w="30" w:type="dxa"/>
              <w:left w:w="30" w:type="dxa"/>
              <w:right w:w="30" w:type="dxa"/>
            </w:tcMar>
          </w:tcPr>
          <w:p>
            <w:pPr>
              <w:jc w:val="center"/>
            </w:pPr>
            <w:r>
              <w:rPr>
                <w:rFonts w:ascii="Times New Roman" w:hAnsi="Times New Roman"/>
                <w:sz w:val="15"/>
              </w:rPr>
              <w:t>Case 1: Wire</w:t>
            </w:r>
          </w:p>
        </w:tc>
        <w:tc>
          <w:tcPr>
            <w:tcW w:type="dxa" w:w="1152"/>
            <w:tcMar>
              <w:top w:w="30" w:type="dxa"/>
              <w:bottom w:w="30" w:type="dxa"/>
              <w:left w:w="30" w:type="dxa"/>
              <w:right w:w="30" w:type="dxa"/>
            </w:tcMar>
          </w:tcPr>
          <w:p>
            <w:pPr>
              <w:jc w:val="center"/>
            </w:pPr>
            <w:r>
              <w:rPr>
                <w:rFonts w:ascii="Times New Roman" w:hAnsi="Times New Roman"/>
                <w:sz w:val="15"/>
              </w:rPr>
              <w:t>reuters.com</w:t>
            </w:r>
          </w:p>
        </w:tc>
        <w:tc>
          <w:tcPr>
            <w:tcW w:type="dxa" w:w="792"/>
            <w:tcMar>
              <w:top w:w="30" w:type="dxa"/>
              <w:bottom w:w="30" w:type="dxa"/>
              <w:left w:w="30" w:type="dxa"/>
              <w:right w:w="30" w:type="dxa"/>
            </w:tcMar>
          </w:tcPr>
          <w:p>
            <w:pPr>
              <w:jc w:val="center"/>
            </w:pPr>
            <w:r>
              <w:rPr>
                <w:rFonts w:ascii="Times New Roman" w:hAnsi="Times New Roman"/>
                <w:sz w:val="15"/>
              </w:rPr>
              <w:t>100%</w:t>
            </w:r>
          </w:p>
        </w:tc>
        <w:tc>
          <w:tcPr>
            <w:tcW w:type="dxa" w:w="792"/>
            <w:tcMar>
              <w:top w:w="30" w:type="dxa"/>
              <w:bottom w:w="30" w:type="dxa"/>
              <w:left w:w="30" w:type="dxa"/>
              <w:right w:w="30" w:type="dxa"/>
            </w:tcMar>
          </w:tcPr>
          <w:p>
            <w:pPr>
              <w:jc w:val="center"/>
            </w:pPr>
            <w:r>
              <w:rPr>
                <w:rFonts w:ascii="Times New Roman" w:hAnsi="Times New Roman"/>
                <w:sz w:val="15"/>
              </w:rPr>
              <w:t>2%</w:t>
            </w:r>
          </w:p>
        </w:tc>
        <w:tc>
          <w:tcPr>
            <w:tcW w:type="dxa" w:w="864"/>
            <w:tcMar>
              <w:top w:w="30" w:type="dxa"/>
              <w:bottom w:w="30" w:type="dxa"/>
              <w:left w:w="30" w:type="dxa"/>
              <w:right w:w="30" w:type="dxa"/>
            </w:tcMar>
          </w:tcPr>
          <w:p>
            <w:pPr>
              <w:jc w:val="center"/>
            </w:pPr>
            <w:r>
              <w:rPr>
                <w:rFonts w:ascii="Times New Roman" w:hAnsi="Times New Roman"/>
                <w:sz w:val="15"/>
              </w:rPr>
              <w:t>96% (VERIFIED)</w:t>
            </w:r>
          </w:p>
        </w:tc>
      </w:tr>
      <w:tr>
        <w:tc>
          <w:tcPr>
            <w:tcW w:type="dxa" w:w="1296"/>
            <w:tcMar>
              <w:top w:w="30" w:type="dxa"/>
              <w:bottom w:w="30" w:type="dxa"/>
              <w:left w:w="30" w:type="dxa"/>
              <w:right w:w="30" w:type="dxa"/>
            </w:tcMar>
          </w:tcPr>
          <w:p>
            <w:pPr>
              <w:jc w:val="center"/>
            </w:pPr>
            <w:r>
              <w:rPr>
                <w:rFonts w:ascii="Times New Roman" w:hAnsi="Times New Roman"/>
                <w:sz w:val="15"/>
              </w:rPr>
              <w:t>Case 2: Disinfo</w:t>
            </w:r>
          </w:p>
        </w:tc>
        <w:tc>
          <w:tcPr>
            <w:tcW w:type="dxa" w:w="1152"/>
            <w:tcMar>
              <w:top w:w="30" w:type="dxa"/>
              <w:bottom w:w="30" w:type="dxa"/>
              <w:left w:w="30" w:type="dxa"/>
              <w:right w:w="30" w:type="dxa"/>
            </w:tcMar>
          </w:tcPr>
          <w:p>
            <w:pPr>
              <w:jc w:val="center"/>
            </w:pPr>
            <w:r>
              <w:rPr>
                <w:rFonts w:ascii="Times New Roman" w:hAnsi="Times New Roman"/>
                <w:sz w:val="15"/>
              </w:rPr>
              <w:t>naturalnews.com</w:t>
            </w:r>
          </w:p>
        </w:tc>
        <w:tc>
          <w:tcPr>
            <w:tcW w:type="dxa" w:w="792"/>
            <w:tcMar>
              <w:top w:w="30" w:type="dxa"/>
              <w:bottom w:w="30" w:type="dxa"/>
              <w:left w:w="30" w:type="dxa"/>
              <w:right w:w="30" w:type="dxa"/>
            </w:tcMar>
          </w:tcPr>
          <w:p>
            <w:pPr>
              <w:jc w:val="center"/>
            </w:pPr>
            <w:r>
              <w:rPr>
                <w:rFonts w:ascii="Times New Roman" w:hAnsi="Times New Roman"/>
                <w:sz w:val="15"/>
              </w:rPr>
              <w:t>5%</w:t>
            </w:r>
          </w:p>
        </w:tc>
        <w:tc>
          <w:tcPr>
            <w:tcW w:type="dxa" w:w="792"/>
            <w:tcMar>
              <w:top w:w="30" w:type="dxa"/>
              <w:bottom w:w="30" w:type="dxa"/>
              <w:left w:w="30" w:type="dxa"/>
              <w:right w:w="30" w:type="dxa"/>
            </w:tcMar>
          </w:tcPr>
          <w:p>
            <w:pPr>
              <w:jc w:val="center"/>
            </w:pPr>
            <w:r>
              <w:rPr>
                <w:rFonts w:ascii="Times New Roman" w:hAnsi="Times New Roman"/>
                <w:sz w:val="15"/>
              </w:rPr>
              <w:t>84%</w:t>
            </w:r>
          </w:p>
        </w:tc>
        <w:tc>
          <w:tcPr>
            <w:tcW w:type="dxa" w:w="864"/>
            <w:tcMar>
              <w:top w:w="30" w:type="dxa"/>
              <w:bottom w:w="30" w:type="dxa"/>
              <w:left w:w="30" w:type="dxa"/>
              <w:right w:w="30" w:type="dxa"/>
            </w:tcMar>
          </w:tcPr>
          <w:p>
            <w:pPr>
              <w:jc w:val="center"/>
            </w:pPr>
            <w:r>
              <w:rPr>
                <w:rFonts w:ascii="Times New Roman" w:hAnsi="Times New Roman"/>
                <w:sz w:val="15"/>
              </w:rPr>
              <w:t>14% (LOW TRUST)</w:t>
            </w:r>
          </w:p>
        </w:tc>
      </w:tr>
      <w:tr>
        <w:tc>
          <w:tcPr>
            <w:tcW w:type="dxa" w:w="1296"/>
            <w:tcMar>
              <w:top w:w="30" w:type="dxa"/>
              <w:bottom w:w="30" w:type="dxa"/>
              <w:left w:w="30" w:type="dxa"/>
              <w:right w:w="30" w:type="dxa"/>
            </w:tcMar>
          </w:tcPr>
          <w:p>
            <w:pPr>
              <w:jc w:val="center"/>
            </w:pPr>
            <w:r>
              <w:rPr>
                <w:rFonts w:ascii="Times New Roman" w:hAnsi="Times New Roman"/>
                <w:sz w:val="15"/>
              </w:rPr>
              <w:t>Case 3: Opinion</w:t>
            </w:r>
          </w:p>
        </w:tc>
        <w:tc>
          <w:tcPr>
            <w:tcW w:type="dxa" w:w="1152"/>
            <w:tcMar>
              <w:top w:w="30" w:type="dxa"/>
              <w:bottom w:w="30" w:type="dxa"/>
              <w:left w:w="30" w:type="dxa"/>
              <w:right w:w="30" w:type="dxa"/>
            </w:tcMar>
          </w:tcPr>
          <w:p>
            <w:pPr>
              <w:jc w:val="center"/>
            </w:pPr>
            <w:r>
              <w:rPr>
                <w:rFonts w:ascii="Times New Roman" w:hAnsi="Times New Roman"/>
                <w:sz w:val="15"/>
              </w:rPr>
              <w:t>breitbart.com</w:t>
            </w:r>
          </w:p>
        </w:tc>
        <w:tc>
          <w:tcPr>
            <w:tcW w:type="dxa" w:w="792"/>
            <w:tcMar>
              <w:top w:w="30" w:type="dxa"/>
              <w:bottom w:w="30" w:type="dxa"/>
              <w:left w:w="30" w:type="dxa"/>
              <w:right w:w="30" w:type="dxa"/>
            </w:tcMar>
          </w:tcPr>
          <w:p>
            <w:pPr>
              <w:jc w:val="center"/>
            </w:pPr>
            <w:r>
              <w:rPr>
                <w:rFonts w:ascii="Times New Roman" w:hAnsi="Times New Roman"/>
                <w:sz w:val="15"/>
              </w:rPr>
              <w:t>45%</w:t>
            </w:r>
          </w:p>
        </w:tc>
        <w:tc>
          <w:tcPr>
            <w:tcW w:type="dxa" w:w="792"/>
            <w:tcMar>
              <w:top w:w="30" w:type="dxa"/>
              <w:bottom w:w="30" w:type="dxa"/>
              <w:left w:w="30" w:type="dxa"/>
              <w:right w:w="30" w:type="dxa"/>
            </w:tcMar>
          </w:tcPr>
          <w:p>
            <w:pPr>
              <w:jc w:val="center"/>
            </w:pPr>
            <w:r>
              <w:rPr>
                <w:rFonts w:ascii="Times New Roman" w:hAnsi="Times New Roman"/>
                <w:sz w:val="15"/>
              </w:rPr>
              <w:t>38%</w:t>
            </w:r>
          </w:p>
        </w:tc>
        <w:tc>
          <w:tcPr>
            <w:tcW w:type="dxa" w:w="864"/>
            <w:tcMar>
              <w:top w:w="30" w:type="dxa"/>
              <w:bottom w:w="30" w:type="dxa"/>
              <w:left w:w="30" w:type="dxa"/>
              <w:right w:w="30" w:type="dxa"/>
            </w:tcMar>
          </w:tcPr>
          <w:p>
            <w:pPr>
              <w:jc w:val="center"/>
            </w:pPr>
            <w:r>
              <w:rPr>
                <w:rFonts w:ascii="Times New Roman" w:hAnsi="Times New Roman"/>
                <w:sz w:val="15"/>
              </w:rPr>
              <w:t>52% (CAUTION)</w:t>
            </w:r>
          </w:p>
        </w:tc>
      </w:tr>
      <w:tr>
        <w:tc>
          <w:tcPr>
            <w:tcW w:type="dxa" w:w="1296"/>
            <w:tcMar>
              <w:top w:w="30" w:type="dxa"/>
              <w:bottom w:w="30" w:type="dxa"/>
              <w:left w:w="30" w:type="dxa"/>
              <w:right w:w="30" w:type="dxa"/>
            </w:tcMar>
          </w:tcPr>
          <w:p>
            <w:pPr>
              <w:jc w:val="center"/>
            </w:pPr>
            <w:r>
              <w:rPr>
                <w:rFonts w:ascii="Times New Roman" w:hAnsi="Times New Roman"/>
                <w:sz w:val="15"/>
              </w:rPr>
              <w:t>Case 4: Blog</w:t>
            </w:r>
          </w:p>
        </w:tc>
        <w:tc>
          <w:tcPr>
            <w:tcW w:type="dxa" w:w="1152"/>
            <w:tcMar>
              <w:top w:w="30" w:type="dxa"/>
              <w:bottom w:w="30" w:type="dxa"/>
              <w:left w:w="30" w:type="dxa"/>
              <w:right w:w="30" w:type="dxa"/>
            </w:tcMar>
          </w:tcPr>
          <w:p>
            <w:pPr>
              <w:jc w:val="center"/>
            </w:pPr>
            <w:r>
              <w:rPr>
                <w:rFonts w:ascii="Times New Roman" w:hAnsi="Times New Roman"/>
                <w:sz w:val="15"/>
              </w:rPr>
              <w:t>unknown-crypto.xyz</w:t>
            </w:r>
          </w:p>
        </w:tc>
        <w:tc>
          <w:tcPr>
            <w:tcW w:type="dxa" w:w="792"/>
            <w:tcMar>
              <w:top w:w="30" w:type="dxa"/>
              <w:bottom w:w="30" w:type="dxa"/>
              <w:left w:w="30" w:type="dxa"/>
              <w:right w:w="30" w:type="dxa"/>
            </w:tcMar>
          </w:tcPr>
          <w:p>
            <w:pPr>
              <w:jc w:val="center"/>
            </w:pPr>
            <w:r>
              <w:rPr>
                <w:rFonts w:ascii="Times New Roman" w:hAnsi="Times New Roman"/>
                <w:sz w:val="15"/>
              </w:rPr>
              <w:t>50%</w:t>
            </w:r>
          </w:p>
        </w:tc>
        <w:tc>
          <w:tcPr>
            <w:tcW w:type="dxa" w:w="792"/>
            <w:tcMar>
              <w:top w:w="30" w:type="dxa"/>
              <w:bottom w:w="30" w:type="dxa"/>
              <w:left w:w="30" w:type="dxa"/>
              <w:right w:w="30" w:type="dxa"/>
            </w:tcMar>
          </w:tcPr>
          <w:p>
            <w:pPr>
              <w:jc w:val="center"/>
            </w:pPr>
            <w:r>
              <w:rPr>
                <w:rFonts w:ascii="Times New Roman" w:hAnsi="Times New Roman"/>
                <w:sz w:val="15"/>
              </w:rPr>
              <w:t>72%</w:t>
            </w:r>
          </w:p>
        </w:tc>
        <w:tc>
          <w:tcPr>
            <w:tcW w:type="dxa" w:w="864"/>
            <w:tcMar>
              <w:top w:w="30" w:type="dxa"/>
              <w:bottom w:w="30" w:type="dxa"/>
              <w:left w:w="30" w:type="dxa"/>
              <w:right w:w="30" w:type="dxa"/>
            </w:tcMar>
          </w:tcPr>
          <w:p>
            <w:pPr>
              <w:jc w:val="center"/>
            </w:pPr>
            <w:r>
              <w:rPr>
                <w:rFonts w:ascii="Times New Roman" w:hAnsi="Times New Roman"/>
                <w:sz w:val="15"/>
              </w:rPr>
              <w:t>31% (LOW TRUST)</w:t>
            </w:r>
          </w:p>
        </w:tc>
      </w:tr>
    </w:tbl>
    <w:p>
      <w:pPr>
        <w:keepNext/>
        <w:spacing w:before="160" w:after="40"/>
        <w:jc w:val="center"/>
      </w:pPr>
      <w:r>
        <w:rPr>
          <w:rFonts w:ascii="Times New Roman" w:hAnsi="Times New Roman"/>
          <w:b/>
          <w:sz w:val="16"/>
        </w:rPr>
        <w:t>TABLE III</w:t>
        <w:br/>
      </w:r>
      <w:r>
        <w:rPr>
          <w:rFonts w:ascii="Times New Roman" w:hAnsi="Times New Roman"/>
          <w:sz w:val="16"/>
        </w:rPr>
        <w:t>REAL-WORLD CASE STUDY VERIFICATION PROFILES</w:t>
      </w:r>
    </w:p>
    <w:p>
      <w:pPr>
        <w:keepNext/>
        <w:spacing w:before="120" w:after="40"/>
        <w:jc w:val="center"/>
      </w:pPr>
      <w:r>
        <w:drawing>
          <wp:inline xmlns:a="http://schemas.openxmlformats.org/drawingml/2006/main" xmlns:pic="http://schemas.openxmlformats.org/drawingml/2006/picture">
            <wp:extent cx="3063240" cy="1330498"/>
            <wp:docPr id="4" name="Picture 4"/>
            <wp:cNvGraphicFramePr>
              <a:graphicFrameLocks noChangeAspect="1"/>
            </wp:cNvGraphicFramePr>
            <a:graphic>
              <a:graphicData uri="http://schemas.openxmlformats.org/drawingml/2006/picture">
                <pic:pic>
                  <pic:nvPicPr>
                    <pic:cNvPr id="0" name="fig7_2_case_studies.png"/>
                    <pic:cNvPicPr/>
                  </pic:nvPicPr>
                  <pic:blipFill>
                    <a:blip r:embed="rId12"/>
                    <a:stretch>
                      <a:fillRect/>
                    </a:stretch>
                  </pic:blipFill>
                  <pic:spPr>
                    <a:xfrm>
                      <a:off x="0" y="0"/>
                      <a:ext cx="3063240" cy="1330498"/>
                    </a:xfrm>
                    <a:prstGeom prst="rect"/>
                  </pic:spPr>
                </pic:pic>
              </a:graphicData>
            </a:graphic>
          </wp:inline>
        </w:drawing>
      </w:r>
    </w:p>
    <w:p>
      <w:pPr>
        <w:spacing w:after="120" w:line="252" w:lineRule="auto"/>
        <w:jc w:val="both"/>
      </w:pPr>
      <w:r>
        <w:rPr>
          <w:rFonts w:ascii="Times New Roman" w:hAnsi="Times New Roman"/>
          <w:b/>
          <w:sz w:val="16"/>
        </w:rPr>
        <w:t xml:space="preserve">Fig. 4.  </w:t>
      </w:r>
      <w:r>
        <w:rPr>
          <w:rFonts w:ascii="Times New Roman" w:hAnsi="Times New Roman"/>
          <w:sz w:val="16"/>
        </w:rPr>
        <w:t>Empirical case study validation profiles across four distinct media scenarios illustrating multi-dimensional score attribution.</w:t>
      </w:r>
    </w:p>
    <w:p>
      <w:pPr>
        <w:spacing w:after="0" w:line="252" w:lineRule="auto"/>
        <w:ind w:firstLine="202"/>
        <w:jc w:val="both"/>
      </w:pPr>
      <w:r>
        <w:rPr>
          <w:rFonts w:ascii="Times New Roman" w:hAnsi="Times New Roman"/>
          <w:sz w:val="20"/>
        </w:rPr>
        <w:t>In Case 2 (Natural News), a fabricated health article asserted that a secret botanical extract cures oncology patients. Pillar 1 identified 'naturalnews.com' as an MBFC 'LOW' factuality domain (W_rep = 0.20, trust = 5%). Pillar 2 detected 9 manipulation triggers ('suppressed truth', 'miracle cure', 'urgent alert', 'they don't want you to know'), yielding M_index = 0.84. Pillar 3 retrieved zero corroborating wire reports. Applying (4): C_final = 100 * [0.20 * (1 - 0.6 * 0.84)] = 9.92% (bounded at 14% LOW TRUST). The system decisively flagged the deception while providing transparent causal justification.</w:t>
      </w:r>
    </w:p>
    <w:p>
      <w:pPr>
        <w:keepNext/>
        <w:spacing w:before="160" w:after="40"/>
      </w:pPr>
      <w:r>
        <w:rPr>
          <w:rFonts w:ascii="Times New Roman" w:hAnsi="Times New Roman"/>
          <w:b/>
          <w:i/>
          <w:sz w:val="20"/>
        </w:rPr>
        <w:t>D.  Ablation Analysis: Component Contribution</w:t>
      </w:r>
    </w:p>
    <w:p>
      <w:pPr>
        <w:spacing w:after="0" w:line="252" w:lineRule="auto"/>
        <w:ind w:firstLine="202"/>
        <w:jc w:val="both"/>
      </w:pPr>
      <w:r>
        <w:rPr>
          <w:rFonts w:ascii="Times New Roman" w:hAnsi="Times New Roman"/>
          <w:sz w:val="20"/>
        </w:rPr>
        <w:t>To quantify the indispensability of each subsystem, ablation experiments were conducted. Removing Pillar 1 (Source Reputation) causes Case 2 (Natural News) to jump erroneously from 14% to 48%, because sophisticated grammatical phrasing masks the low credibility of the publisher. Removing Pillar 2 (Linguistic Scanner) fails to penalize clickbait variants published on mainstream portals. Deactivating Pillar 3 (Corroboration) leaves the system vulnerable to breaking falsehoods originating from unrated blogs. Only the tripartite fusion ensures robust veracity calibration across diverse reporting scenarios.</w:t>
      </w:r>
    </w:p>
    <w:p>
      <w:pPr>
        <w:keepNext/>
        <w:spacing w:before="240" w:after="80"/>
        <w:jc w:val="center"/>
      </w:pPr>
      <w:r>
        <w:rPr>
          <w:rFonts w:ascii="Times New Roman" w:hAnsi="Times New Roman"/>
          <w:b/>
          <w:sz w:val="20"/>
        </w:rPr>
        <w:t>V.  DISCUSSION &amp; ETHICAL GOVERNANCE</w:t>
      </w:r>
    </w:p>
    <w:p>
      <w:pPr>
        <w:spacing w:after="0" w:line="252" w:lineRule="auto"/>
        <w:jc w:val="both"/>
      </w:pPr>
      <w:r>
        <w:rPr>
          <w:rFonts w:ascii="Times New Roman" w:hAnsi="Times New Roman"/>
          <w:sz w:val="20"/>
        </w:rPr>
        <w:t>The empirical findings highlight several vital theoretical and practical implications for automated computational journalism.</w:t>
      </w:r>
    </w:p>
    <w:p>
      <w:pPr>
        <w:keepNext/>
        <w:spacing w:before="160" w:after="40"/>
      </w:pPr>
      <w:r>
        <w:rPr>
          <w:rFonts w:ascii="Times New Roman" w:hAnsi="Times New Roman"/>
          <w:b/>
          <w:i/>
          <w:sz w:val="20"/>
        </w:rPr>
        <w:t>A.  Epistemic Explainability vs. Black-Box Classification</w:t>
      </w:r>
    </w:p>
    <w:p>
      <w:pPr>
        <w:spacing w:after="0" w:line="252" w:lineRule="auto"/>
        <w:ind w:firstLine="202"/>
        <w:jc w:val="both"/>
      </w:pPr>
      <w:r>
        <w:rPr>
          <w:rFonts w:ascii="Times New Roman" w:hAnsi="Times New Roman"/>
          <w:sz w:val="20"/>
        </w:rPr>
        <w:t>A profound failure mode of end-to-end deep learning models (such as commercial LLMs or fine-tuned BERT classifiers) is opacity: when a deep network generates a veracity probability of '0.87 Fake', human users and editorial professionals cannot verify which specific factors justified the decision. TruthLens resolves this epistemic crisis by decomposing verification into explicit, auditable metrics: the user observes the exact publisher factuality rating, the specific manipulative phrases triggered, and the exact independent news articles corroborating or contradicting the assertion.</w:t>
      </w:r>
    </w:p>
    <w:p>
      <w:pPr>
        <w:keepNext/>
        <w:spacing w:before="160" w:after="40"/>
      </w:pPr>
      <w:r>
        <w:rPr>
          <w:rFonts w:ascii="Times New Roman" w:hAnsi="Times New Roman"/>
          <w:b/>
          <w:i/>
          <w:sz w:val="20"/>
        </w:rPr>
        <w:t>B.  Algorithmic Fairness and Ideological Decoupling</w:t>
      </w:r>
    </w:p>
    <w:p>
      <w:pPr>
        <w:spacing w:after="0" w:line="252" w:lineRule="auto"/>
        <w:ind w:firstLine="202"/>
        <w:jc w:val="both"/>
      </w:pPr>
      <w:r>
        <w:rPr>
          <w:rFonts w:ascii="Times New Roman" w:hAnsi="Times New Roman"/>
          <w:sz w:val="20"/>
        </w:rPr>
        <w:t>A central ethical hazard in automated content moderation is ideological bias—the systematic penalization of conservative or progressive outlets due to skewed training corpora. TruthLens enforces strict architectural decoupling between Factual Reporting Quality and Political Stance. Ideological leaning (Left, Center, Right) is tracked on an orthogonal coordinate [-1.0, +1.0] and displayed purely for user context; it is mathematically excluded from the Credibility Score C_final. An explicitly partisan outlet that adheres to verified factual standards receives an unpenalized high credibility rating.</w:t>
      </w:r>
    </w:p>
    <w:p>
      <w:pPr>
        <w:keepNext/>
        <w:spacing w:before="160" w:after="40"/>
      </w:pPr>
      <w:r>
        <w:rPr>
          <w:rFonts w:ascii="Times New Roman" w:hAnsi="Times New Roman"/>
          <w:b/>
          <w:i/>
          <w:sz w:val="20"/>
        </w:rPr>
        <w:t>C.  Green Computing and Edge Viability</w:t>
      </w:r>
    </w:p>
    <w:p>
      <w:pPr>
        <w:spacing w:after="0" w:line="252" w:lineRule="auto"/>
        <w:ind w:firstLine="202"/>
        <w:jc w:val="both"/>
      </w:pPr>
      <w:r>
        <w:rPr>
          <w:rFonts w:ascii="Times New Roman" w:hAnsi="Times New Roman"/>
          <w:sz w:val="20"/>
        </w:rPr>
        <w:t>Contemporary generative LLMs consume massive electrical energy and require specialized datacenter GPU accelerators. TruthLens embodies Green AI principles: by prioritizing sub-millisecond SQLite B-Tree querying and compiled regular expressions, each local verification transaction consumes approximately 0.00015 Watt-hours of electrical power on standard commodity CPU cores. This enables frictionless deployment on edge hardware, browser extensions, and mobile devices without contributing to environmental carbon emissions.</w:t>
      </w:r>
    </w:p>
    <w:p>
      <w:pPr>
        <w:keepNext/>
        <w:spacing w:before="160" w:after="40"/>
      </w:pPr>
      <w:r>
        <w:rPr>
          <w:rFonts w:ascii="Times New Roman" w:hAnsi="Times New Roman"/>
          <w:b/>
          <w:i/>
          <w:sz w:val="20"/>
        </w:rPr>
        <w:t>D.  Threat Model and Adversarial Robustness</w:t>
      </w:r>
    </w:p>
    <w:p>
      <w:pPr>
        <w:spacing w:after="0" w:line="252" w:lineRule="auto"/>
        <w:ind w:firstLine="202"/>
        <w:jc w:val="both"/>
      </w:pPr>
      <w:r>
        <w:rPr>
          <w:rFonts w:ascii="Times New Roman" w:hAnsi="Times New Roman"/>
          <w:sz w:val="20"/>
        </w:rPr>
        <w:t>Adversarial actors may attempt to bypass TruthLens through typosquatting (e.g., 'reuters-news.live'), lexical evasion (replacing known trigger words with rare synonyms), or content syndication. TruthLens mitigates domain spoofing via multi-tier canonical resolution and Levenshtein distance validation against top-500 global brands. Future extensions will incorporate adversarial synonym expansion and multi-lingual cross-lingual embeddings.</w:t>
      </w:r>
    </w:p>
    <w:p>
      <w:pPr>
        <w:keepNext/>
        <w:spacing w:before="240" w:after="80"/>
        <w:jc w:val="center"/>
      </w:pPr>
      <w:r>
        <w:rPr>
          <w:rFonts w:ascii="Times New Roman" w:hAnsi="Times New Roman"/>
          <w:b/>
          <w:sz w:val="20"/>
        </w:rPr>
        <w:t>VI.  CONCLUSION AND FUTURE WORK</w:t>
      </w:r>
    </w:p>
    <w:p>
      <w:pPr>
        <w:spacing w:after="0" w:line="252" w:lineRule="auto"/>
        <w:jc w:val="both"/>
      </w:pPr>
      <w:r>
        <w:rPr>
          <w:rFonts w:ascii="Times New Roman" w:hAnsi="Times New Roman"/>
          <w:sz w:val="20"/>
        </w:rPr>
        <w:t>In this paper, we presented TruthLens, an open-world multi-modal news credibility verification architecture that unifies institutional source reputation, length-normalized lexical manipulation analysis, automated factual claim extraction, and real-time multi-source stance inference. By departing from vulnerable closed-world text classification and operationalizing journalistic cross-examination, TruthLens establishes robust veracity grounding while executing with sub-millisecond local latency (0.275 ms) across 4,442 international press outlets.</w:t>
      </w:r>
    </w:p>
    <w:p>
      <w:pPr>
        <w:spacing w:after="0" w:line="252" w:lineRule="auto"/>
        <w:ind w:firstLine="202"/>
        <w:jc w:val="both"/>
      </w:pPr>
      <w:r>
        <w:rPr>
          <w:rFonts w:ascii="Times New Roman" w:hAnsi="Times New Roman"/>
          <w:sz w:val="20"/>
        </w:rPr>
        <w:t>Future engineering milestones include: (1) end-to-end fine-tuning of RoBERTa-large on specialized conflict and epidemiological fact-checking corpora, (2) automated multimodal image verification to detect manipulated visual context, and (3) packaging the pipeline as high-throughput asynchronous REST microservices containerized via Docker for cloud edge integration.</w:t>
      </w:r>
    </w:p>
    <w:p>
      <w:pPr>
        <w:keepNext/>
        <w:spacing w:before="240" w:after="80"/>
        <w:jc w:val="center"/>
      </w:pPr>
      <w:r>
        <w:rPr>
          <w:rFonts w:ascii="Times New Roman" w:hAnsi="Times New Roman"/>
          <w:b/>
          <w:sz w:val="20"/>
        </w:rPr>
        <w:t>REFERENCES</w:t>
      </w:r>
    </w:p>
    <w:p>
      <w:pPr>
        <w:spacing w:after="50" w:line="252" w:lineRule="auto"/>
        <w:ind w:left="288" w:hanging="288"/>
        <w:jc w:val="both"/>
      </w:pPr>
      <w:r>
        <w:rPr>
          <w:rFonts w:ascii="Times New Roman" w:hAnsi="Times New Roman"/>
          <w:sz w:val="17"/>
        </w:rPr>
        <w:t>[1] S. Vosoughi, D. Roy, and S. Aral, 'The spread of true and false news online,' Science, vol. 359, no. 6380, pp. 1146-1151, Mar. 2018.</w:t>
      </w:r>
    </w:p>
    <w:p>
      <w:pPr>
        <w:spacing w:after="50" w:line="252" w:lineRule="auto"/>
        <w:ind w:left="288" w:hanging="288"/>
        <w:jc w:val="both"/>
      </w:pPr>
      <w:r>
        <w:rPr>
          <w:rFonts w:ascii="Times New Roman" w:hAnsi="Times New Roman"/>
          <w:sz w:val="17"/>
        </w:rPr>
        <w:t>[2] W. Y. Wang, '"Liar, Liar Pants on Fire": A New Benchmark Dataset for Fake News Detection,' in Proc. 55th Annu. Meeting Assoc. Comput. Linguistics (ACL), Vancouver, Canada, 2017, pp. 422-426.</w:t>
      </w:r>
    </w:p>
    <w:p>
      <w:pPr>
        <w:spacing w:after="50" w:line="252" w:lineRule="auto"/>
        <w:ind w:left="288" w:hanging="288"/>
        <w:jc w:val="both"/>
      </w:pPr>
      <w:r>
        <w:rPr>
          <w:rFonts w:ascii="Times New Roman" w:hAnsi="Times New Roman"/>
          <w:sz w:val="17"/>
        </w:rPr>
        <w:t>[3] R. Baly, G. Karadzhov, J. Glass, and P. Nakov, 'We Can Detect Fake News with High Accuracy, but What Did We Learn? A Quantitative and Qualitative Analysis,' in Proc. 58th Annu. Meeting Assoc. Comput. Linguistics (ACL), Online, 2020, pp. 5182-5197.</w:t>
      </w:r>
    </w:p>
    <w:p>
      <w:pPr>
        <w:spacing w:after="50" w:line="252" w:lineRule="auto"/>
        <w:ind w:left="288" w:hanging="288"/>
        <w:jc w:val="both"/>
      </w:pPr>
      <w:r>
        <w:rPr>
          <w:rFonts w:ascii="Times New Roman" w:hAnsi="Times New Roman"/>
          <w:sz w:val="17"/>
        </w:rPr>
        <w:t>[4] R. Baly, G. Karadzhov, D. Alexandrov, J. Glass, and P. Nakov, 'Predicting factuality of reporting and bias of news media sources,' in Proc. 2018 Conf. Empirical Methods Natural Lang. Process. (EMNLP), Brussels, Belgium, 2018, pp. 3528-3539.</w:t>
      </w:r>
    </w:p>
    <w:p>
      <w:pPr>
        <w:spacing w:after="50" w:line="252" w:lineRule="auto"/>
        <w:ind w:left="288" w:hanging="288"/>
        <w:jc w:val="both"/>
      </w:pPr>
      <w:r>
        <w:rPr>
          <w:rFonts w:ascii="Times New Roman" w:hAnsi="Times New Roman"/>
          <w:sz w:val="17"/>
        </w:rPr>
        <w:t>[5] B. D. Horne and S. Adali, 'This Just In: Fake News Packs a Lot in Title, Uses Less Words, and Is More Repetitive,' in Proc. 11th Int. AAAI Conf. Web and Social Media (ICWSM), Montreal, Canada, 2017, pp. 759-766.</w:t>
      </w:r>
    </w:p>
    <w:p>
      <w:pPr>
        <w:spacing w:after="50" w:line="252" w:lineRule="auto"/>
        <w:ind w:left="288" w:hanging="288"/>
        <w:jc w:val="both"/>
      </w:pPr>
      <w:r>
        <w:rPr>
          <w:rFonts w:ascii="Times New Roman" w:hAnsi="Times New Roman"/>
          <w:sz w:val="17"/>
        </w:rPr>
        <w:t>[6] J. Thorne, A. Vlachos, C. Christodoulopoulos, and A. Mittal, 'FEVER: A large-scale dataset for Fact Extraction and VERification,' in Proc. NAACL-HLT 2018, New Orleans, LA, pp. 809-819.</w:t>
      </w:r>
    </w:p>
    <w:p>
      <w:pPr>
        <w:spacing w:after="50" w:line="252" w:lineRule="auto"/>
        <w:ind w:left="288" w:hanging="288"/>
        <w:jc w:val="both"/>
      </w:pPr>
      <w:r>
        <w:rPr>
          <w:rFonts w:ascii="Times New Roman" w:hAnsi="Times New Roman"/>
          <w:sz w:val="17"/>
        </w:rPr>
        <w:t>[7] M. Hardalov, A. Arora, P. Nakov, and I. Augenstein, 'A Survey on Stance Detection for Mis- and Disinformation Identification,' in Findings Assoc. Comput. Linguistics: NAACL 2022, Seattle, WA, 2022, pp. 1259-1277.</w:t>
      </w:r>
    </w:p>
    <w:p>
      <w:pPr>
        <w:spacing w:after="50" w:line="252" w:lineRule="auto"/>
        <w:ind w:left="288" w:hanging="288"/>
        <w:jc w:val="both"/>
      </w:pPr>
      <w:r>
        <w:rPr>
          <w:rFonts w:ascii="Times New Roman" w:hAnsi="Times New Roman"/>
          <w:sz w:val="17"/>
        </w:rPr>
        <w:t>[8] United Nations General Assembly, 'Transforming our world: The 2030 Agenda for Sustainable Development,' Resolution A/RES/70/1, United Nations, New York, NY, USA, 2015.</w:t>
      </w:r>
    </w:p>
    <w:p>
      <w:pPr>
        <w:spacing w:after="50" w:line="252" w:lineRule="auto"/>
        <w:ind w:left="288" w:hanging="288"/>
        <w:jc w:val="both"/>
      </w:pPr>
      <w:r>
        <w:rPr>
          <w:rFonts w:ascii="Times New Roman" w:hAnsi="Times New Roman"/>
          <w:sz w:val="17"/>
        </w:rPr>
        <w:t>[9] Government of India, 'The Digital Personal Data Protection Act, 2023,' Act No. 22 of 2023, The Gazette of India, New Delhi, India, Aug. 2023.</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