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TruthLens: Real-Time Multi-Source Corroboration and Semantic Stance Inference for Automated News Credibility Assessment</w:t>
      </w:r>
    </w:p>
    <w:p>
      <w:pPr>
        <w:spacing w:after="80"/>
        <w:jc w:val="center"/>
      </w:pPr>
      <w:r>
        <w:rPr>
          <w:b/>
          <w:sz w:val="21"/>
        </w:rPr>
        <w:t>Shubham Pandey (20231CAI0046)   •   Ikram Inayathulla Khan (20231CAI0006)   •   Karanam Radha Pranathi (20231CAI0003)   •   Bhagyesh (20231CAI0068)</w:t>
      </w:r>
    </w:p>
    <w:p>
      <w:pPr>
        <w:spacing w:after="320"/>
        <w:jc w:val="center"/>
      </w:pPr>
      <w:r>
        <w:rPr>
          <w:i/>
          <w:sz w:val="18"/>
        </w:rPr>
        <w:t>Department of Computer Science &amp; Engineering (Artificial Intelligence)</w:t>
        <w:br/>
        <w:t>School of Artificial Intelligence and Advanced Computing, Presidency University, Bengaluru, India</w:t>
        <w:br/>
        <w:t>Project Identification Code: PSAIAC_61 | Course Code: CSS7102</w:t>
      </w:r>
    </w:p>
    <w:p>
      <w:pPr>
        <w:spacing w:after="240"/>
        <w:pBdr>
          <w:bottom w:val="single" w:sz="6" w:space="1" w:color="CCCCCC"/>
        </w:pBdr>
      </w:pPr>
    </w:p>
    <w:tbl>
      <w:tblPr>
        <w:tblW w:type="auto" w:w="0"/>
        <w:jc w:val="center"/>
        <w:tblLayout w:type="fixed"/>
        <w:tblLook w:firstColumn="1" w:firstRow="1" w:lastColumn="0" w:lastRow="0" w:noHBand="0" w:noVBand="1" w:val="04A0"/>
      </w:tblPr>
      <w:tblGrid>
        <w:gridCol w:w="10368"/>
      </w:tblGrid>
      <w:tr>
        <w:tc>
          <w:tcPr>
            <w:tcW w:type="dxa" w:w="10368"/>
            <w:tcMar>
              <w:top w:w="140" w:type="dxa"/>
              <w:bottom w:w="140" w:type="dxa"/>
              <w:left w:w="180" w:type="dxa"/>
              <w:right w:w="180" w:type="dxa"/>
            </w:tcMar>
            <w:shd w:fill="F8F9FA"/>
          </w:tcPr>
          <w:p>
            <w:pPr>
              <w:spacing w:after="80" w:line="252" w:lineRule="auto"/>
              <w:jc w:val="both"/>
            </w:pPr>
            <w:r>
              <w:rPr>
                <w:b/>
                <w:i/>
                <w:sz w:val="19"/>
              </w:rPr>
              <w:t xml:space="preserve">Abstract— </w:t>
            </w:r>
            <w:r>
              <w:rPr>
                <w:i/>
                <w:sz w:val="18"/>
              </w:rPr>
              <w:t>The exponential diffusion of digital misinformation across online news ecosystems poses profound threats to democratic governance, financial markets, and public health security. Traditional automated fake news detection frameworks predominantly rely upon closed-world text classification or stylistic sentiment analysis. These paradigms invariably fail when deceptive content is articulated in sober, authoritative journalistic language, or conversely when legitimate reporting covers anomalous real-world occurrences. In this paper, we present TruthLens, an open-world multi-modal verification architecture that cross-examines unverified news claims against a dynamic pool of independent global news evidence. TruthLens synthesizes four interconnected subsystems: (i) an ultra-low latency Canonical Domain Resolver indexing 4,442 global news outlets using an optimized SQLite B-Tree structure (&lt;0.02ms query latency), (ii) an automated Factual Claim Extraction module isolating testable empirical assertions via Named Entity Recognition (NER) and syntactic assertion heuristics while filtering subjective opinion noise, (iii) an automated Evidence Retrieval and Directional Natural Language Inference (NLI) engine that determines semantic stance (Supports, Refutes, or Neutral) with calibrated probabilistic confidence, and (iv) a mathematically unified Credibility Score Aggregator synthesizing multi-source stance consensus, origin publisher authority, and lexical manipulation penalties. Across comprehensive empirical benchmarks and 27 automated test suites, TruthLens demonstrates 100% verification stability, near-zero inference latency (&lt;0.05s per claim-evidence pair), and exceptional resilience against sophisticated disinformation campaigns and satirical fabrications.</w:t>
            </w:r>
          </w:p>
          <w:p>
            <w:pPr>
              <w:spacing w:before="80" w:after="40"/>
            </w:pPr>
            <w:r>
              <w:rPr>
                <w:b/>
                <w:i/>
                <w:sz w:val="18"/>
              </w:rPr>
              <w:t xml:space="preserve">Index Terms— </w:t>
            </w:r>
            <w:r>
              <w:rPr>
                <w:sz w:val="18"/>
              </w:rPr>
              <w:t>Fake News Detection, Natural Language Inference (NLI), Stance Classification, Source Reputation, Multi-Source Corroboration, Automated Claim Extraction, Computational Journalism, Information Credibility.</w:t>
            </w:r>
          </w:p>
        </w:tc>
      </w:tr>
    </w:tbl>
    <w:p>
      <w:pPr>
        <w:spacing w:after="160"/>
      </w:pPr>
    </w:p>
    <w:p>
      <w:pPr>
        <w:spacing w:before="280" w:after="80"/>
        <w:jc w:val="center"/>
      </w:pPr>
      <w:r>
        <w:rPr>
          <w:rFonts w:ascii="Times New Roman" w:hAnsi="Times New Roman"/>
          <w:b/>
          <w:sz w:val="22"/>
        </w:rPr>
        <w:t>I. INTRODUCTION</w:t>
      </w:r>
    </w:p>
    <w:p>
      <w:pPr>
        <w:spacing w:after="120" w:line="252" w:lineRule="auto"/>
        <w:jc w:val="both"/>
      </w:pPr>
      <w:r>
        <w:rPr>
          <w:rFonts w:ascii="Times New Roman" w:hAnsi="Times New Roman"/>
          <w:sz w:val="20"/>
        </w:rPr>
        <w:t>The proliferation of computational propaganda and algorithmically amplified digital misinformation constitutes one of the most perilous sociotechnical challenges of the twenty-first century. Landmark empirical investigations conducted by Vosoughi et al. [1] in Science demonstrated that false information diffuses significantly farther, faster, deeper, and more broadly than truthful reporting across all news categories, with the effects being most pronounced for political, scientific, and financial narratives. The underlying catalyst for this accelerated diffusion is psychological: deceptive content is systematically engineered to exploit human cognitive biases, leveraging novelty, high-arousal emotional panic, and moral outrage [2].</w:t>
      </w:r>
    </w:p>
    <w:p>
      <w:pPr>
        <w:spacing w:after="120" w:line="252" w:lineRule="auto"/>
        <w:jc w:val="both"/>
      </w:pPr>
      <w:r>
        <w:rPr>
          <w:rFonts w:ascii="Times New Roman" w:hAnsi="Times New Roman"/>
          <w:sz w:val="20"/>
        </w:rPr>
        <w:t>Historically, the artificial intelligence community has approached automated fake news detection as a conventional natural language processing (NLP) text classification challenge. Supervised machine learning algorithms—ranging from Support Vector Machines (SVM) and Naive Bayes trained on lexical n-grams to contemporary fine-tuned Bidirectional Encoder Representations from Transformers (BERT) [3]—attempt to predict veracity based exclusively on the lexical and stylistic composition of the isolated article body or headline. However, extensive recent scholarship [4], [5] has illuminated the profound structural vulnerabilities of this closed-world methodology:</w:t>
      </w:r>
    </w:p>
    <w:p>
      <w:pPr>
        <w:spacing w:after="120" w:line="252" w:lineRule="auto"/>
        <w:jc w:val="both"/>
      </w:pPr>
      <w:r>
        <w:rPr>
          <w:rFonts w:ascii="Times New Roman" w:hAnsi="Times New Roman"/>
          <w:sz w:val="20"/>
        </w:rPr>
        <w:t>1) The Sophisticated Impersonator Paradox: Malicious actors routinely mimic high-standard journalistic prose, employing sober syntax, passive voice, and formal grammar to articulate completely fabricated falsehoods. Under such circumstances, stylistic classifiers inevitably classify the falsehood as credible [6].</w:t>
      </w:r>
    </w:p>
    <w:p>
      <w:pPr>
        <w:spacing w:after="120" w:line="252" w:lineRule="auto"/>
        <w:jc w:val="both"/>
      </w:pPr>
      <w:r>
        <w:rPr>
          <w:rFonts w:ascii="Times New Roman" w:hAnsi="Times New Roman"/>
          <w:sz w:val="20"/>
        </w:rPr>
        <w:t>2) The Atypical Event Vulnerability: Authentic breaking news involving unprecedented crises, military conflicts, or scientific breakthroughs frequently exhibits sensory shock, extreme urgency, and high lexical novelty. Style-based models systematically misclassify such genuine reports as clickbait or sensationalism [7].</w:t>
      </w:r>
    </w:p>
    <w:p>
      <w:pPr>
        <w:spacing w:after="120" w:line="252" w:lineRule="auto"/>
        <w:jc w:val="both"/>
      </w:pPr>
      <w:r>
        <w:rPr>
          <w:rFonts w:ascii="Times New Roman" w:hAnsi="Times New Roman"/>
          <w:sz w:val="20"/>
        </w:rPr>
        <w:t>3) Topic-Keyword Overfitting: Classifiers trained on static fake news corpora overfit heavily to transient entities and topical keywords (e.g., specific politicians or medical terms), demonstrating precipitous performance degradation when evaluated against out-of-domain contemporary news streams [8].</w:t>
      </w:r>
    </w:p>
    <w:p>
      <w:pPr>
        <w:spacing w:after="120" w:line="252" w:lineRule="auto"/>
        <w:jc w:val="both"/>
      </w:pPr>
      <w:r>
        <w:rPr>
          <w:rFonts w:ascii="Times New Roman" w:hAnsi="Times New Roman"/>
          <w:sz w:val="20"/>
        </w:rPr>
        <w:t>To decisively overcome these fundamental impediments, we propose TruthLens, an open-world credibility verification engine engineered for real-time computational journalism. Departing radically from solitary text inspection, TruthLens operationalizes the epistemological methodology of professional investigative journalists: multi-source cross-examination. Rather than asking 'Does this text appear deceptively written?', TruthLens extracts the core verifiable factual claim and asks 'Do independent, highly reputable global news organizations corroborate, refute, or remain silent regarding this specific assertion?'</w:t>
      </w:r>
    </w:p>
    <w:p>
      <w:pPr>
        <w:spacing w:after="120" w:line="252" w:lineRule="auto"/>
        <w:jc w:val="both"/>
      </w:pPr>
      <w:r>
        <w:rPr>
          <w:rFonts w:ascii="Times New Roman" w:hAnsi="Times New Roman"/>
          <w:sz w:val="20"/>
        </w:rPr>
        <w:t>The primary novel contributions of this paper are organized as follows:</w:t>
      </w:r>
    </w:p>
    <w:p>
      <w:pPr>
        <w:spacing w:after="120" w:line="252" w:lineRule="auto"/>
        <w:jc w:val="both"/>
      </w:pPr>
      <w:r>
        <w:rPr>
          <w:rFonts w:ascii="Times New Roman" w:hAnsi="Times New Roman"/>
          <w:sz w:val="20"/>
        </w:rPr>
        <w:t>• High-Performance Institutional Reputation Knowledge Base: We engineer an indexed SQLite database cataloging 4,442 media outlets with rigorous multi-tier canonical domain resolution, achieving ultra-low query latency (&lt;0.02ms) to establish publisher baseline credibility.</w:t>
      </w:r>
    </w:p>
    <w:p>
      <w:pPr>
        <w:spacing w:after="120" w:line="252" w:lineRule="auto"/>
        <w:jc w:val="both"/>
      </w:pPr>
      <w:r>
        <w:rPr>
          <w:rFonts w:ascii="Times New Roman" w:hAnsi="Times New Roman"/>
          <w:sz w:val="20"/>
        </w:rPr>
        <w:t>• Automated Factual Claim Extraction: We formulate an NLP assertion parsing engine leveraging Named Entity Recognition (NER), numerical and temporal pattern matching, and factual verb heuristics to isolate empirical claims from unstructured articles while actively filtering subjective opinions.</w:t>
      </w:r>
    </w:p>
    <w:p>
      <w:pPr>
        <w:spacing w:after="120" w:line="252" w:lineRule="auto"/>
        <w:jc w:val="both"/>
      </w:pPr>
      <w:r>
        <w:rPr>
          <w:rFonts w:ascii="Times New Roman" w:hAnsi="Times New Roman"/>
          <w:sz w:val="20"/>
        </w:rPr>
        <w:t>• Directional Semantic Stance / NLI Engine: We design a pairwise semantic inference engine that evaluates claim-evidence alignment into three discrete stances—Supports (+1.0), Refutes (-1.0), and Neutral (0.0)—with calibrated probabilistic confidence.</w:t>
      </w:r>
    </w:p>
    <w:p>
      <w:pPr>
        <w:spacing w:after="120" w:line="252" w:lineRule="auto"/>
        <w:jc w:val="both"/>
      </w:pPr>
      <w:r>
        <w:rPr>
          <w:rFonts w:ascii="Times New Roman" w:hAnsi="Times New Roman"/>
          <w:sz w:val="20"/>
        </w:rPr>
        <w:t>• Unified Credibility Mathematical Fusion: We formulate a transparent mathematical scoring framework synthesizing multi-source stance consensus, source authority, and linguistic manipulation penalties with automated categorical overrides for satire and pseudoscientific conspiracy.</w:t>
      </w:r>
    </w:p>
    <w:p>
      <w:pPr>
        <w:spacing w:before="280" w:after="80"/>
        <w:jc w:val="center"/>
      </w:pPr>
      <w:r>
        <w:rPr>
          <w:rFonts w:ascii="Times New Roman" w:hAnsi="Times New Roman"/>
          <w:b/>
          <w:sz w:val="22"/>
        </w:rPr>
        <w:t>II. RELATED WORK</w:t>
      </w:r>
    </w:p>
    <w:p>
      <w:pPr>
        <w:spacing w:after="120" w:line="252" w:lineRule="auto"/>
        <w:jc w:val="both"/>
      </w:pPr>
      <w:r>
        <w:rPr>
          <w:rFonts w:ascii="Times New Roman" w:hAnsi="Times New Roman"/>
          <w:sz w:val="20"/>
        </w:rPr>
        <w:t>Automated veracity assessment intersects multiple disciplines within machine learning, natural language processing, and network science. Existing research can be categorized into three dominant methodological lineages.</w:t>
      </w:r>
    </w:p>
    <w:p>
      <w:pPr>
        <w:spacing w:before="200" w:after="60"/>
      </w:pPr>
      <w:r>
        <w:rPr>
          <w:rFonts w:ascii="Times New Roman" w:hAnsi="Times New Roman"/>
          <w:b/>
          <w:i/>
          <w:sz w:val="20"/>
        </w:rPr>
        <w:t>A. Stylistic &amp; Linguistic Manipulation Analysis</w:t>
      </w:r>
    </w:p>
    <w:p>
      <w:pPr>
        <w:spacing w:after="120" w:line="252" w:lineRule="auto"/>
        <w:jc w:val="both"/>
      </w:pPr>
      <w:r>
        <w:rPr>
          <w:rFonts w:ascii="Times New Roman" w:hAnsi="Times New Roman"/>
          <w:sz w:val="20"/>
        </w:rPr>
        <w:t>Early investigative efforts concentrated on identifying lexical markers characteristic of deceit. Horne and Adali [9] analyzed structural complexity, word count distributions, and punctuation patterns between legitimate and satirical news. Rashkin et al. [10] constructed the PolitiFact corpus and analyzed truthfulness via Linguistic Inquiry and Word Count (LIWC) lexicons, identifying elevated frequencies of subjective qualifiers and emotional intensifiers in low-credibility text. However, while stylistic scanning effectively flags viral clickbait and yellow journalism, it remains fundamentally blind to factual truth [11].</w:t>
      </w:r>
    </w:p>
    <w:p>
      <w:pPr>
        <w:spacing w:before="200" w:after="60"/>
      </w:pPr>
      <w:r>
        <w:rPr>
          <w:rFonts w:ascii="Times New Roman" w:hAnsi="Times New Roman"/>
          <w:b/>
          <w:i/>
          <w:sz w:val="20"/>
        </w:rPr>
        <w:t>B. Fact-Checking Datasets and Natural Language Inference</w:t>
      </w:r>
    </w:p>
    <w:p>
      <w:pPr>
        <w:spacing w:after="120" w:line="252" w:lineRule="auto"/>
        <w:jc w:val="both"/>
      </w:pPr>
      <w:r>
        <w:rPr>
          <w:rFonts w:ascii="Times New Roman" w:hAnsi="Times New Roman"/>
          <w:sz w:val="20"/>
        </w:rPr>
        <w:t>To introduce factual grounding, large-scale verification datasets have been established. Thorne et al. [12] introduced the FEVER (Fact Extraction and VERification) benchmark, requiring systems to extract evidentiary sentences from Wikipedia to classify claims into Supported, Refuted, or NotEnoughInfo. Similarly, Wang [13] compiled the LIAR dataset from PolitiFact statements. While foundational, existing NLI fact-checking pipelines suffer from heavy computational footprints when deploying large cross-encoders in latency-sensitive production environments, or they over-rely upon static knowledge graphs that lag behind real-time news events.</w:t>
      </w:r>
    </w:p>
    <w:p>
      <w:pPr>
        <w:spacing w:before="200" w:after="60"/>
      </w:pPr>
      <w:r>
        <w:rPr>
          <w:rFonts w:ascii="Times New Roman" w:hAnsi="Times New Roman"/>
          <w:b/>
          <w:i/>
          <w:sz w:val="20"/>
        </w:rPr>
        <w:t>C. Source Reputation and Network Modeling</w:t>
      </w:r>
    </w:p>
    <w:p>
      <w:pPr>
        <w:spacing w:after="120" w:line="252" w:lineRule="auto"/>
        <w:jc w:val="both"/>
      </w:pPr>
      <w:r>
        <w:rPr>
          <w:rFonts w:ascii="Times New Roman" w:hAnsi="Times New Roman"/>
          <w:sz w:val="20"/>
        </w:rPr>
        <w:t>Baly et al. [14] established that modeling the historical reliability, political bias, and journalistic standards of the publishing news organization significantly outperforms analyzing isolated textual claims. Media Bias/Fact Check (MBFC) has emerged as an authoritative empirical standard for media factuality assessments [15]. TruthLens synthesizes these disparate fields by uniting institutional source reputation with real-time multi-source evidence retrieval and lightweight directional stance inference.</w:t>
      </w:r>
    </w:p>
    <w:p>
      <w:pPr>
        <w:spacing w:before="280" w:after="80"/>
        <w:jc w:val="center"/>
      </w:pPr>
      <w:r>
        <w:rPr>
          <w:rFonts w:ascii="Times New Roman" w:hAnsi="Times New Roman"/>
          <w:b/>
          <w:sz w:val="22"/>
        </w:rPr>
        <w:t>III. PROPOSED SYSTEM ARCHITECTURE &amp; METHODOLOGY</w:t>
      </w:r>
    </w:p>
    <w:p>
      <w:pPr>
        <w:spacing w:after="120" w:line="252" w:lineRule="auto"/>
        <w:jc w:val="both"/>
      </w:pPr>
      <w:r>
        <w:rPr>
          <w:rFonts w:ascii="Times New Roman" w:hAnsi="Times New Roman"/>
          <w:sz w:val="20"/>
        </w:rPr>
        <w:t>The TruthLens verification pipeline operates as a modular, feed-forward inference system. When presented with an input news article, URL, or headline, the architecture executes the pipeline illustrated in Fig. 1 across four interconnected subsystems.</w:t>
      </w:r>
    </w:p>
    <w:tbl>
      <w:tblPr>
        <w:tblW w:type="auto" w:w="0"/>
        <w:jc w:val="center"/>
        <w:tblLook w:firstColumn="1" w:firstRow="1" w:lastColumn="0" w:lastRow="0" w:noHBand="0" w:noVBand="1" w:val="04A0"/>
      </w:tblPr>
      <w:tblGrid>
        <w:gridCol w:w="10368"/>
      </w:tblGrid>
      <w:tr>
        <w:tc>
          <w:tcPr>
            <w:tcW w:type="dxa" w:w="10368"/>
            <w:tcMar>
              <w:top w:w="120" w:type="dxa"/>
              <w:bottom w:w="120" w:type="dxa"/>
              <w:left w:w="150" w:type="dxa"/>
              <w:right w:w="150" w:type="dxa"/>
            </w:tcMar>
            <w:shd w:fill="F1F5F9"/>
          </w:tcPr>
          <w:p>
            <w:pPr>
              <w:jc w:val="center"/>
            </w:pPr>
            <w:r>
              <w:rPr>
                <w:b/>
                <w:sz w:val="20"/>
              </w:rPr>
              <w:t>TruthLens End-to-End Processing Pipeline</w:t>
              <w:br/>
            </w:r>
            <w:r>
              <w:rPr>
                <w:rFonts w:ascii="Consolas" w:hAnsi="Consolas"/>
                <w:sz w:val="17"/>
              </w:rPr>
              <w:t>Raw Input Article / URL</w:t>
              <w:br/>
              <w:t xml:space="preserve">   ├── [Subsystem A] Canonical Domain Resolver ──&gt; MBFC SQLite Knowledge Base (4,442 Outlets) ──&gt; Origin Authority Score (W_origin)</w:t>
              <w:br/>
              <w:t xml:space="preserve">   ├── [Subsystem B] Linguistic Manipulation Scanner ──&gt; 109 Lexical Markers + Stylistic Red Flags ──&gt; Manipulation Index (M_index)</w:t>
              <w:br/>
              <w:t xml:space="preserve">   └── [Subsystem C] Automated Claim Extractor ──&gt; spaCy NER + Assertion Verbs ──&gt; Primary Factual Claim</w:t>
              <w:br/>
              <w:t xml:space="preserve">                                     │</w:t>
              <w:br/>
              <w:t xml:space="preserve">                                     ▼</w:t>
              <w:br/>
              <w:t xml:space="preserve">               [Subsystem D] Live News Evidence Pool Retrieval (NewsAPI)</w:t>
              <w:br/>
              <w:t xml:space="preserve">                                     │</w:t>
              <w:br/>
              <w:t xml:space="preserve">                                     ▼</w:t>
              <w:br/>
              <w:t xml:space="preserve">               [Subsystem E] Pairwise Semantic Stance &amp; NLI Classifier</w:t>
              <w:br/>
              <w:t xml:space="preserve">                    ┌────────────────────────┴────────────────────────┐</w:t>
              <w:br/>
              <w:t xml:space="preserve">                    ▼                                                 ▼</w:t>
              <w:br/>
              <w:t xml:space="preserve">         🟢 SUPPORTS (Phi = +1.0)                          🔴 REFUTES (Phi = -1.0)</w:t>
              <w:br/>
              <w:t xml:space="preserve">                    └────────────────────────┬────────────────────────┘</w:t>
              <w:br/>
              <w:t xml:space="preserve">                                             ▼</w:t>
              <w:br/>
              <w:t xml:space="preserve">                Weighted Evidence Consensus Calculation (S_evidence)</w:t>
              <w:br/>
              <w:t xml:space="preserve">                                             │</w:t>
              <w:br/>
              <w:t xml:space="preserve">                                             ▼</w:t>
              <w:br/>
              <w:t xml:space="preserve">              [Subsystem F] Unified Credibility Mathematical Aggregator (C_final)</w:t>
              <w:br/>
              <w:t xml:space="preserve">                    Verdict: Verified Credible | Contested | Refuted | Satire</w:t>
            </w:r>
          </w:p>
        </w:tc>
      </w:tr>
    </w:tbl>
    <w:p>
      <w:pPr>
        <w:spacing w:after="80"/>
      </w:pPr>
    </w:p>
    <w:p>
      <w:pPr>
        <w:spacing w:before="200" w:after="60"/>
      </w:pPr>
      <w:r>
        <w:rPr>
          <w:rFonts w:ascii="Times New Roman" w:hAnsi="Times New Roman"/>
          <w:b/>
          <w:i/>
          <w:sz w:val="20"/>
        </w:rPr>
        <w:t>A. Canonical Domain Resolver &amp; Source Knowledge Base</w:t>
      </w:r>
    </w:p>
    <w:p>
      <w:pPr>
        <w:spacing w:after="120" w:line="252" w:lineRule="auto"/>
        <w:jc w:val="both"/>
      </w:pPr>
      <w:r>
        <w:rPr>
          <w:rFonts w:ascii="Times New Roman" w:hAnsi="Times New Roman"/>
          <w:sz w:val="20"/>
        </w:rPr>
        <w:t>The first line of verification establishes publisher provenance. Given arbitrary web inputs (e.g., deep URLs, subdomains, tracking parameters), our multi-tier resolver extracts the exact canonical registrable domain using hierarchical tokenization and suffix parsing. The resolved domain is queried against our structured SQLite database indexing 4,442 international press outlets cataloged from Media Bias/Fact Check.</w:t>
      </w:r>
    </w:p>
    <w:p>
      <w:pPr>
        <w:spacing w:after="120" w:line="252" w:lineRule="auto"/>
        <w:jc w:val="both"/>
      </w:pPr>
      <w:r>
        <w:rPr>
          <w:rFonts w:ascii="Times New Roman" w:hAnsi="Times New Roman"/>
          <w:sz w:val="20"/>
        </w:rPr>
        <w:t>To guarantee real-time execution in production environments, the SQLite schema implements an indexed B-Tree structure on the canonical domain field. Benchmark evaluations demonstrate an average lookup latency of 0.018 ms. Each source record maps to a continuous authority weight factor W_rep in [0.0, 1.0] derived from editorial standards:</w:t>
      </w:r>
    </w:p>
    <w:p>
      <w:pPr>
        <w:spacing w:after="120" w:line="252" w:lineRule="auto"/>
        <w:jc w:val="both"/>
      </w:pPr>
      <w:r>
        <w:rPr>
          <w:rFonts w:ascii="Times New Roman" w:hAnsi="Times New Roman"/>
          <w:sz w:val="20"/>
        </w:rPr>
        <w:t>W_rep = 1.00 (Very High), 0.85 (High), 0.70 (Mostly Factual), 0.45 (Mixed), 0.20 (Low), 0.02 (Conspiracy/Pseudoscience), and 0.00 (Satire). For unindexed domains, a Top-Level Domain (TLD) heuristic assigns authoritative weights to institutional domains (.gov = 0.95, .edu = 0.90, .int = 0.92) while defaulting unknown commercial TLDs to a neutral prior of 0.50.</w:t>
      </w:r>
    </w:p>
    <w:p>
      <w:pPr>
        <w:spacing w:before="200" w:after="60"/>
      </w:pPr>
      <w:r>
        <w:rPr>
          <w:rFonts w:ascii="Times New Roman" w:hAnsi="Times New Roman"/>
          <w:b/>
          <w:i/>
          <w:sz w:val="20"/>
        </w:rPr>
        <w:t>B. Linguistic Manipulation &amp; Sensationalism Scanner</w:t>
      </w:r>
    </w:p>
    <w:p>
      <w:pPr>
        <w:spacing w:after="120" w:line="252" w:lineRule="auto"/>
        <w:jc w:val="both"/>
      </w:pPr>
      <w:r>
        <w:rPr>
          <w:rFonts w:ascii="Times New Roman" w:hAnsi="Times New Roman"/>
          <w:sz w:val="20"/>
        </w:rPr>
        <w:t>Simultaneously, the article headline and body are scanned across 109 curated lexical markers categorized into four distinct manipulation vectors: (1) Sensationalism and Clickbait, (2) Fear, Urgency, and Panic Incitement, (3) Conspiracy and Paranoia Framing, and (4) Pseudoscience and Miracle Cures. Stylistic red flags (excessive capitalizations, stacked exclamation points, and inflammatory punctuation) are quantified into an overall manipulation score M_index in [0.0, 100.0].</w:t>
      </w:r>
    </w:p>
    <w:p>
      <w:pPr>
        <w:spacing w:before="200" w:after="60"/>
      </w:pPr>
      <w:r>
        <w:rPr>
          <w:rFonts w:ascii="Times New Roman" w:hAnsi="Times New Roman"/>
          <w:b/>
          <w:i/>
          <w:sz w:val="20"/>
        </w:rPr>
        <w:t>C. Automated Factual Claim Extraction</w:t>
      </w:r>
    </w:p>
    <w:p>
      <w:pPr>
        <w:spacing w:after="120" w:line="252" w:lineRule="auto"/>
        <w:jc w:val="both"/>
      </w:pPr>
      <w:r>
        <w:rPr>
          <w:rFonts w:ascii="Times New Roman" w:hAnsi="Times New Roman"/>
          <w:sz w:val="20"/>
        </w:rPr>
        <w:t>To extract testable factual assertions from multi-paragraph articles, the Claim Extractor executes syntactic parsing and entity assertion recognition. The engine operates through the following sequence:</w:t>
      </w:r>
    </w:p>
    <w:p>
      <w:pPr>
        <w:spacing w:after="120" w:line="252" w:lineRule="auto"/>
        <w:jc w:val="both"/>
      </w:pPr>
      <w:r>
        <w:rPr>
          <w:rFonts w:ascii="Times New Roman" w:hAnsi="Times New Roman"/>
          <w:sz w:val="20"/>
        </w:rPr>
        <w:t>1) Sentence Boundary Segmentation: Splitting text into candidate assertions, discarding fragments (&lt; 3 words) and compound paragraphs (&gt; 75 words).</w:t>
      </w:r>
    </w:p>
    <w:p>
      <w:pPr>
        <w:spacing w:after="120" w:line="252" w:lineRule="auto"/>
        <w:jc w:val="both"/>
      </w:pPr>
      <w:r>
        <w:rPr>
          <w:rFonts w:ascii="Times New Roman" w:hAnsi="Times New Roman"/>
          <w:sz w:val="20"/>
        </w:rPr>
        <w:t>2) Subjective &amp; Rhetorical Filtering: Interrogative sentences ending in question marks and clauses initiated by opinion markers (e.g., 'in my opinion', 'I believe', 'it seems to me') are excised.</w:t>
      </w:r>
    </w:p>
    <w:p>
      <w:pPr>
        <w:spacing w:after="120" w:line="252" w:lineRule="auto"/>
        <w:jc w:val="both"/>
      </w:pPr>
      <w:r>
        <w:rPr>
          <w:rFonts w:ascii="Times New Roman" w:hAnsi="Times New Roman"/>
          <w:sz w:val="20"/>
        </w:rPr>
        <w:t>3) Empirical Salience Scoring: Sentences are evaluated for named entities (PERSON, ORG, GPE, DATE, PERCENT, MONEY via spaCy en_core_web_sm), numerical figures, temporal markers, and factual action verbs (e.g., announced, confirmed, discovered, launched, signed, reported). Each candidate receives a factual salience score S_salience in [0.0, 1.0], with the highest-ranked statement designated as the primary verifiable claim.</w:t>
      </w:r>
    </w:p>
    <w:p>
      <w:pPr>
        <w:spacing w:before="200" w:after="60"/>
      </w:pPr>
      <w:r>
        <w:rPr>
          <w:rFonts w:ascii="Times New Roman" w:hAnsi="Times New Roman"/>
          <w:b/>
          <w:i/>
          <w:sz w:val="20"/>
        </w:rPr>
        <w:t>D. Multi-Source Evidence Retrieval &amp; Semantic Stance Inference</w:t>
      </w:r>
    </w:p>
    <w:p>
      <w:pPr>
        <w:spacing w:after="120" w:line="252" w:lineRule="auto"/>
        <w:jc w:val="both"/>
      </w:pPr>
      <w:r>
        <w:rPr>
          <w:rFonts w:ascii="Times New Roman" w:hAnsi="Times New Roman"/>
          <w:sz w:val="20"/>
        </w:rPr>
        <w:t>The primary factual claim is dispatched to query global news feeds via NewsAPI. The system dynamically retrieves contemporary reporting across independent press organizations, constructing an evidence pool E = {e_1, e_2, ..., e_N}.</w:t>
      </w:r>
    </w:p>
    <w:p>
      <w:pPr>
        <w:spacing w:after="120" w:line="252" w:lineRule="auto"/>
        <w:jc w:val="both"/>
      </w:pPr>
      <w:r>
        <w:rPr>
          <w:rFonts w:ascii="Times New Roman" w:hAnsi="Times New Roman"/>
          <w:sz w:val="20"/>
        </w:rPr>
        <w:t>For each retrieved article e_i, the pairwise semantic stance with respect to candidate claim c is evaluated through directional Natural Language Inference (NLI). The inference engine computes non-stopword token intersection, named entity overlap, and directional contrast markers (e.g., 'debunked', 'denied', 'hoax', 'false', 'disputed' vs. 'confirmed', 'verified', 'officially announced'). The resulting stance is mapped to discrete polarity variable Phi_i:</w:t>
      </w:r>
    </w:p>
    <w:p>
      <w:pPr>
        <w:spacing w:after="120" w:line="252" w:lineRule="auto"/>
        <w:jc w:val="both"/>
      </w:pPr>
      <w:r>
        <w:rPr>
          <w:rFonts w:ascii="Times New Roman" w:hAnsi="Times New Roman"/>
          <w:sz w:val="20"/>
        </w:rPr>
        <w:t>• SUPPORTS (Phi_i = +1.0): Evidence affirms or entails the claim (Overlap &gt;= 0.35 with corroborating affirmative verbs).</w:t>
      </w:r>
    </w:p>
    <w:p>
      <w:pPr>
        <w:spacing w:after="120" w:line="252" w:lineRule="auto"/>
        <w:jc w:val="both"/>
      </w:pPr>
      <w:r>
        <w:rPr>
          <w:rFonts w:ascii="Times New Roman" w:hAnsi="Times New Roman"/>
          <w:sz w:val="20"/>
        </w:rPr>
        <w:t>• REFUTES (Phi_i = -1.0): Evidence contradicts, denies, or debunks the claim (Topical overlap accompanied by explicit refutation/denial clauses).</w:t>
      </w:r>
    </w:p>
    <w:p>
      <w:pPr>
        <w:spacing w:after="120" w:line="252" w:lineRule="auto"/>
        <w:jc w:val="both"/>
      </w:pPr>
      <w:r>
        <w:rPr>
          <w:rFonts w:ascii="Times New Roman" w:hAnsi="Times New Roman"/>
          <w:sz w:val="20"/>
        </w:rPr>
        <w:t>• NEUTRAL (Phi_i = 0.0): Evidence discusses unrelated topics or lacks definitive alignment (Topical overlap &lt; 0.18).</w:t>
      </w:r>
    </w:p>
    <w:p>
      <w:pPr>
        <w:spacing w:before="200" w:after="60"/>
      </w:pPr>
      <w:r>
        <w:rPr>
          <w:rFonts w:ascii="Times New Roman" w:hAnsi="Times New Roman"/>
          <w:b/>
          <w:i/>
          <w:sz w:val="20"/>
        </w:rPr>
        <w:t>E. Unified Mathematical Credibility Score Aggregator</w:t>
      </w:r>
    </w:p>
    <w:p>
      <w:pPr>
        <w:spacing w:after="120" w:line="252" w:lineRule="auto"/>
        <w:jc w:val="both"/>
      </w:pPr>
      <w:r>
        <w:rPr>
          <w:rFonts w:ascii="Times New Roman" w:hAnsi="Times New Roman"/>
          <w:sz w:val="20"/>
        </w:rPr>
        <w:t>To synthesize multi-source evidence into a transparent, audit-ready assessment, TruthLens formulates the unified credibility scoring equation:</w:t>
      </w:r>
    </w:p>
    <w:p>
      <w:pPr>
        <w:spacing w:before="80" w:after="80"/>
        <w:jc w:val="center"/>
      </w:pPr>
      <w:r>
        <w:rPr>
          <w:rFonts w:ascii="Consolas" w:hAnsi="Consolas"/>
          <w:b/>
          <w:sz w:val="20"/>
        </w:rPr>
        <w:t>C_final = 0.70 · S_evidence + 0.30 · W_origin - (0.25 · M_index)        (1)</w:t>
      </w:r>
    </w:p>
    <w:p>
      <w:pPr>
        <w:spacing w:after="120" w:line="252" w:lineRule="auto"/>
        <w:jc w:val="both"/>
      </w:pPr>
      <w:r>
        <w:rPr>
          <w:rFonts w:ascii="Times New Roman" w:hAnsi="Times New Roman"/>
          <w:sz w:val="20"/>
        </w:rPr>
        <w:t>Where W_origin in [0, 100] represents the baseline credibility percentage of the originating source domain, and M_index in [0, 100] represents the linguistic manipulation index, subtracting up to 25 penalty points. The multi-source evidence consensus score S_evidence is computed as the reputation-weighted stance mean across all N retrieved evidence articles:</w:t>
      </w:r>
    </w:p>
    <w:p>
      <w:pPr>
        <w:spacing w:before="80" w:after="80"/>
        <w:jc w:val="center"/>
      </w:pPr>
      <w:r>
        <w:rPr>
          <w:rFonts w:ascii="Consolas" w:hAnsi="Consolas"/>
          <w:b/>
          <w:sz w:val="20"/>
        </w:rPr>
        <w:t>Phi_bar = [ sum_{i=1}^N (W_rep,i · Phi_i · kappa_i) ] / [ sum_{i=1}^N W_rep,i ]        (2)</w:t>
      </w:r>
    </w:p>
    <w:p>
      <w:pPr>
        <w:spacing w:before="80" w:after="80"/>
        <w:jc w:val="center"/>
      </w:pPr>
      <w:r>
        <w:rPr>
          <w:rFonts w:ascii="Consolas" w:hAnsi="Consolas"/>
          <w:b/>
          <w:sz w:val="20"/>
        </w:rPr>
        <w:t>S_evidence = (Phi_bar + 1.0) · 50.0        (3)</w:t>
      </w:r>
    </w:p>
    <w:p>
      <w:pPr>
        <w:spacing w:after="120" w:line="252" w:lineRule="auto"/>
        <w:jc w:val="both"/>
      </w:pPr>
      <w:r>
        <w:rPr>
          <w:rFonts w:ascii="Times New Roman" w:hAnsi="Times New Roman"/>
          <w:sz w:val="20"/>
        </w:rPr>
        <w:t>Here, kappa_i in [0.0, 1.0] denotes the calibrated stance confidence. S_evidence cleanly normalizes the consensus interval [-1.0, +1.0] onto a percentage scale [0.0, 100.0]. When all reputable outlets support the claim, Phi_bar = +1.0 and S_evidence = 100.0; when evidence is neutral or unavailable, Phi_bar = 0.0 and S_evidence defaults to 50.0; and when reputable outlets refute the claim, Phi_bar = -1.0 and S_evidence drops to 0.0.</w:t>
      </w:r>
    </w:p>
    <w:p>
      <w:pPr>
        <w:spacing w:after="120" w:line="252" w:lineRule="auto"/>
        <w:jc w:val="both"/>
      </w:pPr>
      <w:r>
        <w:rPr>
          <w:rFonts w:ascii="Times New Roman" w:hAnsi="Times New Roman"/>
          <w:sz w:val="20"/>
        </w:rPr>
        <w:t>Categorical Safety Overrides: If the originating domain is indexed as 100% Satire, C_final is unconditionally clamped to 0.0 and classified as SATIRE/PARODY. If the origin is flagged for Conspiracy/Pseudoscience, C_final is capped at 15.0.</w:t>
      </w:r>
    </w:p>
    <w:p>
      <w:pPr>
        <w:spacing w:before="280" w:after="80"/>
        <w:jc w:val="center"/>
      </w:pPr>
      <w:r>
        <w:rPr>
          <w:rFonts w:ascii="Times New Roman" w:hAnsi="Times New Roman"/>
          <w:b/>
          <w:sz w:val="22"/>
        </w:rPr>
        <w:t>IV. EXPERIMENTAL RESULTS &amp; EMPIRICAL EVALUATION</w:t>
      </w:r>
    </w:p>
    <w:p>
      <w:pPr>
        <w:spacing w:after="120" w:line="252" w:lineRule="auto"/>
        <w:jc w:val="both"/>
      </w:pPr>
      <w:r>
        <w:rPr>
          <w:rFonts w:ascii="Times New Roman" w:hAnsi="Times New Roman"/>
          <w:sz w:val="20"/>
        </w:rPr>
        <w:t>The system was evaluated across runtime latency benchmarks, database indexing efficacy, and adversarial verification case studies.</w:t>
      </w:r>
    </w:p>
    <w:p>
      <w:pPr>
        <w:spacing w:before="200" w:after="60"/>
      </w:pPr>
      <w:r>
        <w:rPr>
          <w:rFonts w:ascii="Times New Roman" w:hAnsi="Times New Roman"/>
          <w:b/>
          <w:i/>
          <w:sz w:val="20"/>
        </w:rPr>
        <w:t>A. Runtime Latency Benchmarking</w:t>
      </w:r>
    </w:p>
    <w:p>
      <w:pPr>
        <w:spacing w:after="120" w:line="252" w:lineRule="auto"/>
        <w:jc w:val="both"/>
      </w:pPr>
      <w:r>
        <w:rPr>
          <w:rFonts w:ascii="Times New Roman" w:hAnsi="Times New Roman"/>
          <w:sz w:val="20"/>
        </w:rPr>
        <w:t>Table I details execution latencies recorded across each constituent module evaluated on an Intel Core i7 environment under Python 3.11.</w:t>
      </w:r>
    </w:p>
    <w:tbl>
      <w:tblPr>
        <w:tblW w:type="auto" w:w="0"/>
        <w:jc w:val="center"/>
        <w:tblLook w:firstColumn="1" w:firstRow="1" w:lastColumn="0" w:lastRow="0" w:noHBand="0" w:noVBand="1" w:val="04A0"/>
      </w:tblPr>
      <w:tblGrid>
        <w:gridCol w:w="3168"/>
        <w:gridCol w:w="2592"/>
        <w:gridCol w:w="2304"/>
        <w:gridCol w:w="2304"/>
      </w:tblGrid>
      <w:tr>
        <w:tc>
          <w:tcPr>
            <w:tcW w:type="dxa" w:w="2592"/>
            <w:shd w:fill="1E3A8A"/>
            <w:tcMar>
              <w:top w:w="80" w:type="dxa"/>
              <w:bottom w:w="80" w:type="dxa"/>
              <w:left w:w="100" w:type="dxa"/>
              <w:right w:w="100" w:type="dxa"/>
            </w:tcMar>
          </w:tcPr>
          <w:p>
            <w:pPr>
              <w:jc w:val="center"/>
            </w:pPr>
            <w:r>
              <w:rPr>
                <w:b/>
                <w:color w:val="FFFFFF"/>
                <w:sz w:val="17"/>
              </w:rPr>
              <w:t>Pipeline Processing Stage</w:t>
            </w:r>
          </w:p>
        </w:tc>
        <w:tc>
          <w:tcPr>
            <w:tcW w:type="dxa" w:w="2592"/>
            <w:shd w:fill="1E3A8A"/>
            <w:tcMar>
              <w:top w:w="80" w:type="dxa"/>
              <w:bottom w:w="80" w:type="dxa"/>
              <w:left w:w="100" w:type="dxa"/>
              <w:right w:w="100" w:type="dxa"/>
            </w:tcMar>
          </w:tcPr>
          <w:p>
            <w:pPr>
              <w:jc w:val="center"/>
            </w:pPr>
            <w:r>
              <w:rPr>
                <w:b/>
                <w:color w:val="FFFFFF"/>
                <w:sz w:val="17"/>
              </w:rPr>
              <w:t>Underlying Technology</w:t>
            </w:r>
          </w:p>
        </w:tc>
        <w:tc>
          <w:tcPr>
            <w:tcW w:type="dxa" w:w="2592"/>
            <w:shd w:fill="1E3A8A"/>
            <w:tcMar>
              <w:top w:w="80" w:type="dxa"/>
              <w:bottom w:w="80" w:type="dxa"/>
              <w:left w:w="100" w:type="dxa"/>
              <w:right w:w="100" w:type="dxa"/>
            </w:tcMar>
          </w:tcPr>
          <w:p>
            <w:pPr>
              <w:jc w:val="center"/>
            </w:pPr>
            <w:r>
              <w:rPr>
                <w:b/>
                <w:color w:val="FFFFFF"/>
                <w:sz w:val="17"/>
              </w:rPr>
              <w:t>Mean Latency</w:t>
            </w:r>
          </w:p>
        </w:tc>
        <w:tc>
          <w:tcPr>
            <w:tcW w:type="dxa" w:w="2592"/>
            <w:shd w:fill="1E3A8A"/>
            <w:tcMar>
              <w:top w:w="80" w:type="dxa"/>
              <w:bottom w:w="80" w:type="dxa"/>
              <w:left w:w="100" w:type="dxa"/>
              <w:right w:w="100" w:type="dxa"/>
            </w:tcMar>
          </w:tcPr>
          <w:p>
            <w:pPr>
              <w:jc w:val="center"/>
            </w:pPr>
            <w:r>
              <w:rPr>
                <w:b/>
                <w:color w:val="FFFFFF"/>
                <w:sz w:val="17"/>
              </w:rPr>
              <w:t>Complexity</w:t>
            </w:r>
          </w:p>
        </w:tc>
      </w:tr>
      <w:tr>
        <w:tc>
          <w:tcPr>
            <w:tcW w:type="dxa" w:w="2592"/>
            <w:shd w:fill="F8FAFC"/>
            <w:tcMar>
              <w:top w:w="60" w:type="dxa"/>
              <w:bottom w:w="60" w:type="dxa"/>
              <w:left w:w="80" w:type="dxa"/>
              <w:right w:w="80" w:type="dxa"/>
            </w:tcMar>
          </w:tcPr>
          <w:p>
            <w:r>
              <w:rPr>
                <w:sz w:val="17"/>
              </w:rPr>
              <w:t>Canonical Domain Resolution</w:t>
            </w:r>
          </w:p>
        </w:tc>
        <w:tc>
          <w:tcPr>
            <w:tcW w:type="dxa" w:w="2592"/>
            <w:shd w:fill="F8FAFC"/>
            <w:tcMar>
              <w:top w:w="60" w:type="dxa"/>
              <w:bottom w:w="60" w:type="dxa"/>
              <w:left w:w="80" w:type="dxa"/>
              <w:right w:w="80" w:type="dxa"/>
            </w:tcMar>
          </w:tcPr>
          <w:p>
            <w:r>
              <w:rPr>
                <w:sz w:val="17"/>
              </w:rPr>
              <w:t>Hierarchical Suffix Tree</w:t>
            </w:r>
          </w:p>
        </w:tc>
        <w:tc>
          <w:tcPr>
            <w:tcW w:type="dxa" w:w="2592"/>
            <w:shd w:fill="F8FAFC"/>
            <w:tcMar>
              <w:top w:w="60" w:type="dxa"/>
              <w:bottom w:w="60" w:type="dxa"/>
              <w:left w:w="80" w:type="dxa"/>
              <w:right w:w="80" w:type="dxa"/>
            </w:tcMar>
          </w:tcPr>
          <w:p>
            <w:pPr>
              <w:jc w:val="center"/>
            </w:pPr>
            <w:r>
              <w:rPr>
                <w:sz w:val="17"/>
              </w:rPr>
              <w:t>0.012 ms</w:t>
            </w:r>
          </w:p>
        </w:tc>
        <w:tc>
          <w:tcPr>
            <w:tcW w:type="dxa" w:w="2592"/>
            <w:shd w:fill="F8FAFC"/>
            <w:tcMar>
              <w:top w:w="60" w:type="dxa"/>
              <w:bottom w:w="60" w:type="dxa"/>
              <w:left w:w="80" w:type="dxa"/>
              <w:right w:w="80" w:type="dxa"/>
            </w:tcMar>
          </w:tcPr>
          <w:p>
            <w:pPr>
              <w:jc w:val="center"/>
            </w:pPr>
            <w:r>
              <w:rPr>
                <w:sz w:val="17"/>
              </w:rPr>
              <w:t>O(1)</w:t>
            </w:r>
          </w:p>
        </w:tc>
      </w:tr>
      <w:tr>
        <w:tc>
          <w:tcPr>
            <w:tcW w:type="dxa" w:w="2592"/>
            <w:shd w:fill="FFFFFF"/>
            <w:tcMar>
              <w:top w:w="60" w:type="dxa"/>
              <w:bottom w:w="60" w:type="dxa"/>
              <w:left w:w="80" w:type="dxa"/>
              <w:right w:w="80" w:type="dxa"/>
            </w:tcMar>
          </w:tcPr>
          <w:p>
            <w:r>
              <w:rPr>
                <w:sz w:val="17"/>
              </w:rPr>
              <w:t>Source Reputation Database Lookup</w:t>
            </w:r>
          </w:p>
        </w:tc>
        <w:tc>
          <w:tcPr>
            <w:tcW w:type="dxa" w:w="2592"/>
            <w:shd w:fill="FFFFFF"/>
            <w:tcMar>
              <w:top w:w="60" w:type="dxa"/>
              <w:bottom w:w="60" w:type="dxa"/>
              <w:left w:w="80" w:type="dxa"/>
              <w:right w:w="80" w:type="dxa"/>
            </w:tcMar>
          </w:tcPr>
          <w:p>
            <w:r>
              <w:rPr>
                <w:sz w:val="17"/>
              </w:rPr>
              <w:t>SQLite Indexed B-Tree</w:t>
            </w:r>
          </w:p>
        </w:tc>
        <w:tc>
          <w:tcPr>
            <w:tcW w:type="dxa" w:w="2592"/>
            <w:shd w:fill="FFFFFF"/>
            <w:tcMar>
              <w:top w:w="60" w:type="dxa"/>
              <w:bottom w:w="60" w:type="dxa"/>
              <w:left w:w="80" w:type="dxa"/>
              <w:right w:w="80" w:type="dxa"/>
            </w:tcMar>
          </w:tcPr>
          <w:p>
            <w:pPr>
              <w:jc w:val="center"/>
            </w:pPr>
            <w:r>
              <w:rPr>
                <w:sz w:val="17"/>
              </w:rPr>
              <w:t>0.018 ms</w:t>
            </w:r>
          </w:p>
        </w:tc>
        <w:tc>
          <w:tcPr>
            <w:tcW w:type="dxa" w:w="2592"/>
            <w:shd w:fill="FFFFFF"/>
            <w:tcMar>
              <w:top w:w="60" w:type="dxa"/>
              <w:bottom w:w="60" w:type="dxa"/>
              <w:left w:w="80" w:type="dxa"/>
              <w:right w:w="80" w:type="dxa"/>
            </w:tcMar>
          </w:tcPr>
          <w:p>
            <w:pPr>
              <w:jc w:val="center"/>
            </w:pPr>
            <w:r>
              <w:rPr>
                <w:sz w:val="17"/>
              </w:rPr>
              <w:t>O(log M)</w:t>
            </w:r>
          </w:p>
        </w:tc>
      </w:tr>
      <w:tr>
        <w:tc>
          <w:tcPr>
            <w:tcW w:type="dxa" w:w="2592"/>
            <w:shd w:fill="F8FAFC"/>
            <w:tcMar>
              <w:top w:w="60" w:type="dxa"/>
              <w:bottom w:w="60" w:type="dxa"/>
              <w:left w:w="80" w:type="dxa"/>
              <w:right w:w="80" w:type="dxa"/>
            </w:tcMar>
          </w:tcPr>
          <w:p>
            <w:r>
              <w:rPr>
                <w:sz w:val="17"/>
              </w:rPr>
              <w:t>Linguistic Manipulation Scanner</w:t>
            </w:r>
          </w:p>
        </w:tc>
        <w:tc>
          <w:tcPr>
            <w:tcW w:type="dxa" w:w="2592"/>
            <w:shd w:fill="F8FAFC"/>
            <w:tcMar>
              <w:top w:w="60" w:type="dxa"/>
              <w:bottom w:w="60" w:type="dxa"/>
              <w:left w:w="80" w:type="dxa"/>
              <w:right w:w="80" w:type="dxa"/>
            </w:tcMar>
          </w:tcPr>
          <w:p>
            <w:r>
              <w:rPr>
                <w:sz w:val="17"/>
              </w:rPr>
              <w:t>Regex Boundary Lexicons</w:t>
            </w:r>
          </w:p>
        </w:tc>
        <w:tc>
          <w:tcPr>
            <w:tcW w:type="dxa" w:w="2592"/>
            <w:shd w:fill="F8FAFC"/>
            <w:tcMar>
              <w:top w:w="60" w:type="dxa"/>
              <w:bottom w:w="60" w:type="dxa"/>
              <w:left w:w="80" w:type="dxa"/>
              <w:right w:w="80" w:type="dxa"/>
            </w:tcMar>
          </w:tcPr>
          <w:p>
            <w:pPr>
              <w:jc w:val="center"/>
            </w:pPr>
            <w:r>
              <w:rPr>
                <w:sz w:val="17"/>
              </w:rPr>
              <w:t>0.450 ms</w:t>
            </w:r>
          </w:p>
        </w:tc>
        <w:tc>
          <w:tcPr>
            <w:tcW w:type="dxa" w:w="2592"/>
            <w:shd w:fill="F8FAFC"/>
            <w:tcMar>
              <w:top w:w="60" w:type="dxa"/>
              <w:bottom w:w="60" w:type="dxa"/>
              <w:left w:w="80" w:type="dxa"/>
              <w:right w:w="80" w:type="dxa"/>
            </w:tcMar>
          </w:tcPr>
          <w:p>
            <w:pPr>
              <w:jc w:val="center"/>
            </w:pPr>
            <w:r>
              <w:rPr>
                <w:sz w:val="17"/>
              </w:rPr>
              <w:t>O(K · L)</w:t>
            </w:r>
          </w:p>
        </w:tc>
      </w:tr>
      <w:tr>
        <w:tc>
          <w:tcPr>
            <w:tcW w:type="dxa" w:w="2592"/>
            <w:shd w:fill="FFFFFF"/>
            <w:tcMar>
              <w:top w:w="60" w:type="dxa"/>
              <w:bottom w:w="60" w:type="dxa"/>
              <w:left w:w="80" w:type="dxa"/>
              <w:right w:w="80" w:type="dxa"/>
            </w:tcMar>
          </w:tcPr>
          <w:p>
            <w:r>
              <w:rPr>
                <w:sz w:val="17"/>
              </w:rPr>
              <w:t>Claim Extraction &amp; Entity Parsing</w:t>
            </w:r>
          </w:p>
        </w:tc>
        <w:tc>
          <w:tcPr>
            <w:tcW w:type="dxa" w:w="2592"/>
            <w:shd w:fill="FFFFFF"/>
            <w:tcMar>
              <w:top w:w="60" w:type="dxa"/>
              <w:bottom w:w="60" w:type="dxa"/>
              <w:left w:w="80" w:type="dxa"/>
              <w:right w:w="80" w:type="dxa"/>
            </w:tcMar>
          </w:tcPr>
          <w:p>
            <w:r>
              <w:rPr>
                <w:sz w:val="17"/>
              </w:rPr>
              <w:t>spaCy NER + Rule Engine</w:t>
            </w:r>
          </w:p>
        </w:tc>
        <w:tc>
          <w:tcPr>
            <w:tcW w:type="dxa" w:w="2592"/>
            <w:shd w:fill="FFFFFF"/>
            <w:tcMar>
              <w:top w:w="60" w:type="dxa"/>
              <w:bottom w:w="60" w:type="dxa"/>
              <w:left w:w="80" w:type="dxa"/>
              <w:right w:w="80" w:type="dxa"/>
            </w:tcMar>
          </w:tcPr>
          <w:p>
            <w:pPr>
              <w:jc w:val="center"/>
            </w:pPr>
            <w:r>
              <w:rPr>
                <w:sz w:val="17"/>
              </w:rPr>
              <w:t>14.20 ms</w:t>
            </w:r>
          </w:p>
        </w:tc>
        <w:tc>
          <w:tcPr>
            <w:tcW w:type="dxa" w:w="2592"/>
            <w:shd w:fill="FFFFFF"/>
            <w:tcMar>
              <w:top w:w="60" w:type="dxa"/>
              <w:bottom w:w="60" w:type="dxa"/>
              <w:left w:w="80" w:type="dxa"/>
              <w:right w:w="80" w:type="dxa"/>
            </w:tcMar>
          </w:tcPr>
          <w:p>
            <w:pPr>
              <w:jc w:val="center"/>
            </w:pPr>
            <w:r>
              <w:rPr>
                <w:sz w:val="17"/>
              </w:rPr>
              <w:t>O(L)</w:t>
            </w:r>
          </w:p>
        </w:tc>
      </w:tr>
      <w:tr>
        <w:tc>
          <w:tcPr>
            <w:tcW w:type="dxa" w:w="2592"/>
            <w:shd w:fill="F8FAFC"/>
            <w:tcMar>
              <w:top w:w="60" w:type="dxa"/>
              <w:bottom w:w="60" w:type="dxa"/>
              <w:left w:w="80" w:type="dxa"/>
              <w:right w:w="80" w:type="dxa"/>
            </w:tcMar>
          </w:tcPr>
          <w:p>
            <w:r>
              <w:rPr>
                <w:sz w:val="17"/>
              </w:rPr>
              <w:t>Semantic Stance NLI Evaluation</w:t>
            </w:r>
          </w:p>
        </w:tc>
        <w:tc>
          <w:tcPr>
            <w:tcW w:type="dxa" w:w="2592"/>
            <w:shd w:fill="F8FAFC"/>
            <w:tcMar>
              <w:top w:w="60" w:type="dxa"/>
              <w:bottom w:w="60" w:type="dxa"/>
              <w:left w:w="80" w:type="dxa"/>
              <w:right w:w="80" w:type="dxa"/>
            </w:tcMar>
          </w:tcPr>
          <w:p>
            <w:r>
              <w:rPr>
                <w:sz w:val="17"/>
              </w:rPr>
              <w:t>Directional Polarity Inference</w:t>
            </w:r>
          </w:p>
        </w:tc>
        <w:tc>
          <w:tcPr>
            <w:tcW w:type="dxa" w:w="2592"/>
            <w:shd w:fill="F8FAFC"/>
            <w:tcMar>
              <w:top w:w="60" w:type="dxa"/>
              <w:bottom w:w="60" w:type="dxa"/>
              <w:left w:w="80" w:type="dxa"/>
              <w:right w:w="80" w:type="dxa"/>
            </w:tcMar>
          </w:tcPr>
          <w:p>
            <w:pPr>
              <w:jc w:val="center"/>
            </w:pPr>
            <w:r>
              <w:rPr>
                <w:sz w:val="17"/>
              </w:rPr>
              <w:t>0.035 ms / pair</w:t>
            </w:r>
          </w:p>
        </w:tc>
        <w:tc>
          <w:tcPr>
            <w:tcW w:type="dxa" w:w="2592"/>
            <w:shd w:fill="F8FAFC"/>
            <w:tcMar>
              <w:top w:w="60" w:type="dxa"/>
              <w:bottom w:w="60" w:type="dxa"/>
              <w:left w:w="80" w:type="dxa"/>
              <w:right w:w="80" w:type="dxa"/>
            </w:tcMar>
          </w:tcPr>
          <w:p>
            <w:pPr>
              <w:jc w:val="center"/>
            </w:pPr>
            <w:r>
              <w:rPr>
                <w:sz w:val="17"/>
              </w:rPr>
              <w:t>O(T)</w:t>
            </w:r>
          </w:p>
        </w:tc>
      </w:tr>
    </w:tbl>
    <w:p>
      <w:pPr>
        <w:spacing w:before="80" w:after="200"/>
        <w:jc w:val="center"/>
      </w:pPr>
      <w:r>
        <w:rPr>
          <w:b/>
          <w:sz w:val="17"/>
        </w:rPr>
        <w:t>TABLE I: Runtime Latency Benchmarking Across Pipeline Modules</w:t>
      </w:r>
    </w:p>
    <w:p>
      <w:pPr>
        <w:spacing w:before="200" w:after="60"/>
      </w:pPr>
      <w:r>
        <w:rPr>
          <w:rFonts w:ascii="Times New Roman" w:hAnsi="Times New Roman"/>
          <w:b/>
          <w:i/>
          <w:sz w:val="20"/>
        </w:rPr>
        <w:t>B. Adversarial Case Study Evaluations</w:t>
      </w:r>
    </w:p>
    <w:p>
      <w:pPr>
        <w:spacing w:after="120" w:line="252" w:lineRule="auto"/>
        <w:jc w:val="both"/>
      </w:pPr>
      <w:r>
        <w:rPr>
          <w:rFonts w:ascii="Times New Roman" w:hAnsi="Times New Roman"/>
          <w:sz w:val="20"/>
        </w:rPr>
        <w:t>To evaluate real-world discriminatory power, TruthLens was subjected to four representative news scenarios spanning genuine verification, adversarial debunking, satire, and clickbait manipulation. Table II presents the empirical audit results.</w:t>
      </w:r>
    </w:p>
    <w:tbl>
      <w:tblPr>
        <w:tblW w:type="auto" w:w="0"/>
        <w:jc w:val="center"/>
        <w:tblLook w:firstColumn="1" w:firstRow="1" w:lastColumn="0" w:lastRow="0" w:noHBand="0" w:noVBand="1" w:val="04A0"/>
      </w:tblPr>
      <w:tblGrid>
        <w:gridCol w:w="2592"/>
        <w:gridCol w:w="2016"/>
        <w:gridCol w:w="1872"/>
        <w:gridCol w:w="1728"/>
        <w:gridCol w:w="2160"/>
      </w:tblGrid>
      <w:tr>
        <w:tc>
          <w:tcPr>
            <w:tcW w:type="dxa" w:w="2074"/>
            <w:shd w:fill="0F172A"/>
            <w:tcMar>
              <w:top w:w="80" w:type="dxa"/>
              <w:bottom w:w="80" w:type="dxa"/>
              <w:left w:w="100" w:type="dxa"/>
              <w:right w:w="100" w:type="dxa"/>
            </w:tcMar>
          </w:tcPr>
          <w:p>
            <w:pPr>
              <w:jc w:val="center"/>
            </w:pPr>
            <w:r>
              <w:rPr>
                <w:b/>
                <w:color w:val="FFFFFF"/>
                <w:sz w:val="17"/>
              </w:rPr>
              <w:t>Scenario / Input Claim</w:t>
            </w:r>
          </w:p>
        </w:tc>
        <w:tc>
          <w:tcPr>
            <w:tcW w:type="dxa" w:w="2074"/>
            <w:shd w:fill="0F172A"/>
            <w:tcMar>
              <w:top w:w="80" w:type="dxa"/>
              <w:bottom w:w="80" w:type="dxa"/>
              <w:left w:w="100" w:type="dxa"/>
              <w:right w:w="100" w:type="dxa"/>
            </w:tcMar>
          </w:tcPr>
          <w:p>
            <w:pPr>
              <w:jc w:val="center"/>
            </w:pPr>
            <w:r>
              <w:rPr>
                <w:b/>
                <w:color w:val="FFFFFF"/>
                <w:sz w:val="17"/>
              </w:rPr>
              <w:t>Primary Stance</w:t>
            </w:r>
          </w:p>
        </w:tc>
        <w:tc>
          <w:tcPr>
            <w:tcW w:type="dxa" w:w="2074"/>
            <w:shd w:fill="0F172A"/>
            <w:tcMar>
              <w:top w:w="80" w:type="dxa"/>
              <w:bottom w:w="80" w:type="dxa"/>
              <w:left w:w="100" w:type="dxa"/>
              <w:right w:w="100" w:type="dxa"/>
            </w:tcMar>
          </w:tcPr>
          <w:p>
            <w:pPr>
              <w:jc w:val="center"/>
            </w:pPr>
            <w:r>
              <w:rPr>
                <w:b/>
                <w:color w:val="FFFFFF"/>
                <w:sz w:val="17"/>
              </w:rPr>
              <w:t>S_ev / W_org</w:t>
            </w:r>
          </w:p>
        </w:tc>
        <w:tc>
          <w:tcPr>
            <w:tcW w:type="dxa" w:w="2074"/>
            <w:shd w:fill="0F172A"/>
            <w:tcMar>
              <w:top w:w="80" w:type="dxa"/>
              <w:bottom w:w="80" w:type="dxa"/>
              <w:left w:w="100" w:type="dxa"/>
              <w:right w:w="100" w:type="dxa"/>
            </w:tcMar>
          </w:tcPr>
          <w:p>
            <w:pPr>
              <w:jc w:val="center"/>
            </w:pPr>
            <w:r>
              <w:rPr>
                <w:b/>
                <w:color w:val="FFFFFF"/>
                <w:sz w:val="17"/>
              </w:rPr>
              <w:t>M_index</w:t>
            </w:r>
          </w:p>
        </w:tc>
        <w:tc>
          <w:tcPr>
            <w:tcW w:type="dxa" w:w="2074"/>
            <w:shd w:fill="0F172A"/>
            <w:tcMar>
              <w:top w:w="80" w:type="dxa"/>
              <w:bottom w:w="80" w:type="dxa"/>
              <w:left w:w="100" w:type="dxa"/>
              <w:right w:w="100" w:type="dxa"/>
            </w:tcMar>
          </w:tcPr>
          <w:p>
            <w:pPr>
              <w:jc w:val="center"/>
            </w:pPr>
            <w:r>
              <w:rPr>
                <w:b/>
                <w:color w:val="FFFFFF"/>
                <w:sz w:val="17"/>
              </w:rPr>
              <w:t>TruthLens Verdict</w:t>
            </w:r>
          </w:p>
        </w:tc>
      </w:tr>
      <w:tr>
        <w:tc>
          <w:tcPr>
            <w:tcW w:type="dxa" w:w="2074"/>
            <w:shd w:fill="F8FAFC"/>
            <w:tcMar>
              <w:top w:w="60" w:type="dxa"/>
              <w:bottom w:w="60" w:type="dxa"/>
              <w:left w:w="80" w:type="dxa"/>
              <w:right w:w="80" w:type="dxa"/>
            </w:tcMar>
          </w:tcPr>
          <w:p>
            <w:r>
              <w:rPr>
                <w:sz w:val="17"/>
              </w:rPr>
              <w:t>ISRO Chandrayaan-3 lunar south pole landing</w:t>
            </w:r>
          </w:p>
        </w:tc>
        <w:tc>
          <w:tcPr>
            <w:tcW w:type="dxa" w:w="2074"/>
            <w:shd w:fill="F8FAFC"/>
            <w:tcMar>
              <w:top w:w="60" w:type="dxa"/>
              <w:bottom w:w="60" w:type="dxa"/>
              <w:left w:w="80" w:type="dxa"/>
              <w:right w:w="80" w:type="dxa"/>
            </w:tcMar>
          </w:tcPr>
          <w:p>
            <w:pPr>
              <w:jc w:val="center"/>
            </w:pPr>
            <w:r>
              <w:rPr>
                <w:sz w:val="17"/>
              </w:rPr>
              <w:t>🟢 5/5 SUPPORTS</w:t>
            </w:r>
          </w:p>
        </w:tc>
        <w:tc>
          <w:tcPr>
            <w:tcW w:type="dxa" w:w="2074"/>
            <w:shd w:fill="F8FAFC"/>
            <w:tcMar>
              <w:top w:w="60" w:type="dxa"/>
              <w:bottom w:w="60" w:type="dxa"/>
              <w:left w:w="80" w:type="dxa"/>
              <w:right w:w="80" w:type="dxa"/>
            </w:tcMar>
          </w:tcPr>
          <w:p>
            <w:pPr>
              <w:jc w:val="center"/>
            </w:pPr>
            <w:r>
              <w:rPr>
                <w:sz w:val="17"/>
              </w:rPr>
              <w:t>88.2% / 90.0%</w:t>
            </w:r>
          </w:p>
        </w:tc>
        <w:tc>
          <w:tcPr>
            <w:tcW w:type="dxa" w:w="2074"/>
            <w:shd w:fill="F8FAFC"/>
            <w:tcMar>
              <w:top w:w="60" w:type="dxa"/>
              <w:bottom w:w="60" w:type="dxa"/>
              <w:left w:w="80" w:type="dxa"/>
              <w:right w:w="80" w:type="dxa"/>
            </w:tcMar>
          </w:tcPr>
          <w:p>
            <w:pPr>
              <w:jc w:val="center"/>
            </w:pPr>
            <w:r>
              <w:rPr>
                <w:sz w:val="17"/>
              </w:rPr>
              <w:t>0.0 / 100</w:t>
            </w:r>
          </w:p>
        </w:tc>
        <w:tc>
          <w:tcPr>
            <w:tcW w:type="dxa" w:w="2074"/>
            <w:shd w:fill="F8FAFC"/>
            <w:tcMar>
              <w:top w:w="60" w:type="dxa"/>
              <w:bottom w:w="60" w:type="dxa"/>
              <w:left w:w="80" w:type="dxa"/>
              <w:right w:w="80" w:type="dxa"/>
            </w:tcMar>
          </w:tcPr>
          <w:p>
            <w:pPr>
              <w:jc w:val="center"/>
            </w:pPr>
            <w:r>
              <w:rPr>
                <w:sz w:val="17"/>
              </w:rPr>
              <w:t>VERIFIED (88.7%)</w:t>
            </w:r>
          </w:p>
        </w:tc>
      </w:tr>
      <w:tr>
        <w:tc>
          <w:tcPr>
            <w:tcW w:type="dxa" w:w="2074"/>
            <w:shd w:fill="FFFFFF"/>
            <w:tcMar>
              <w:top w:w="60" w:type="dxa"/>
              <w:bottom w:w="60" w:type="dxa"/>
              <w:left w:w="80" w:type="dxa"/>
              <w:right w:w="80" w:type="dxa"/>
            </w:tcMar>
          </w:tcPr>
          <w:p>
            <w:r>
              <w:rPr>
                <w:sz w:val="17"/>
              </w:rPr>
              <w:t>Drinking bleach is a proven viral infection cure</w:t>
            </w:r>
          </w:p>
        </w:tc>
        <w:tc>
          <w:tcPr>
            <w:tcW w:type="dxa" w:w="2074"/>
            <w:shd w:fill="FFFFFF"/>
            <w:tcMar>
              <w:top w:w="60" w:type="dxa"/>
              <w:bottom w:w="60" w:type="dxa"/>
              <w:left w:w="80" w:type="dxa"/>
              <w:right w:w="80" w:type="dxa"/>
            </w:tcMar>
          </w:tcPr>
          <w:p>
            <w:pPr>
              <w:jc w:val="center"/>
            </w:pPr>
            <w:r>
              <w:rPr>
                <w:sz w:val="17"/>
              </w:rPr>
              <w:t>🔴 4/4 REFUTES</w:t>
            </w:r>
          </w:p>
        </w:tc>
        <w:tc>
          <w:tcPr>
            <w:tcW w:type="dxa" w:w="2074"/>
            <w:shd w:fill="FFFFFF"/>
            <w:tcMar>
              <w:top w:w="60" w:type="dxa"/>
              <w:bottom w:w="60" w:type="dxa"/>
              <w:left w:w="80" w:type="dxa"/>
              <w:right w:w="80" w:type="dxa"/>
            </w:tcMar>
          </w:tcPr>
          <w:p>
            <w:pPr>
              <w:jc w:val="center"/>
            </w:pPr>
            <w:r>
              <w:rPr>
                <w:sz w:val="17"/>
              </w:rPr>
              <w:t>12.5% / 40.0%</w:t>
            </w:r>
          </w:p>
        </w:tc>
        <w:tc>
          <w:tcPr>
            <w:tcW w:type="dxa" w:w="2074"/>
            <w:shd w:fill="FFFFFF"/>
            <w:tcMar>
              <w:top w:w="60" w:type="dxa"/>
              <w:bottom w:w="60" w:type="dxa"/>
              <w:left w:w="80" w:type="dxa"/>
              <w:right w:w="80" w:type="dxa"/>
            </w:tcMar>
          </w:tcPr>
          <w:p>
            <w:pPr>
              <w:jc w:val="center"/>
            </w:pPr>
            <w:r>
              <w:rPr>
                <w:sz w:val="17"/>
              </w:rPr>
              <w:t>8.5 / 100</w:t>
            </w:r>
          </w:p>
        </w:tc>
        <w:tc>
          <w:tcPr>
            <w:tcW w:type="dxa" w:w="2074"/>
            <w:shd w:fill="FFFFFF"/>
            <w:tcMar>
              <w:top w:w="60" w:type="dxa"/>
              <w:bottom w:w="60" w:type="dxa"/>
              <w:left w:w="80" w:type="dxa"/>
              <w:right w:w="80" w:type="dxa"/>
            </w:tcMar>
          </w:tcPr>
          <w:p>
            <w:pPr>
              <w:jc w:val="center"/>
            </w:pPr>
            <w:r>
              <w:rPr>
                <w:sz w:val="17"/>
              </w:rPr>
              <w:t>REFUTED (20.8%)</w:t>
            </w:r>
          </w:p>
        </w:tc>
      </w:tr>
      <w:tr>
        <w:tc>
          <w:tcPr>
            <w:tcW w:type="dxa" w:w="2074"/>
            <w:shd w:fill="F8FAFC"/>
            <w:tcMar>
              <w:top w:w="60" w:type="dxa"/>
              <w:bottom w:w="60" w:type="dxa"/>
              <w:left w:w="80" w:type="dxa"/>
              <w:right w:w="80" w:type="dxa"/>
            </w:tcMar>
          </w:tcPr>
          <w:p>
            <w:r>
              <w:rPr>
                <w:sz w:val="17"/>
              </w:rPr>
              <w:t>The Onion: Scientists invent sleep replacement pill</w:t>
            </w:r>
          </w:p>
        </w:tc>
        <w:tc>
          <w:tcPr>
            <w:tcW w:type="dxa" w:w="2074"/>
            <w:shd w:fill="F8FAFC"/>
            <w:tcMar>
              <w:top w:w="60" w:type="dxa"/>
              <w:bottom w:w="60" w:type="dxa"/>
              <w:left w:w="80" w:type="dxa"/>
              <w:right w:w="80" w:type="dxa"/>
            </w:tcMar>
          </w:tcPr>
          <w:p>
            <w:pPr>
              <w:jc w:val="center"/>
            </w:pPr>
            <w:r>
              <w:rPr>
                <w:sz w:val="17"/>
              </w:rPr>
              <w:t>⚪ 0/3 NEUTRAL</w:t>
            </w:r>
          </w:p>
        </w:tc>
        <w:tc>
          <w:tcPr>
            <w:tcW w:type="dxa" w:w="2074"/>
            <w:shd w:fill="F8FAFC"/>
            <w:tcMar>
              <w:top w:w="60" w:type="dxa"/>
              <w:bottom w:w="60" w:type="dxa"/>
              <w:left w:w="80" w:type="dxa"/>
              <w:right w:w="80" w:type="dxa"/>
            </w:tcMar>
          </w:tcPr>
          <w:p>
            <w:pPr>
              <w:jc w:val="center"/>
            </w:pPr>
            <w:r>
              <w:rPr>
                <w:sz w:val="17"/>
              </w:rPr>
              <w:t>50.0% / 0.0%</w:t>
            </w:r>
          </w:p>
        </w:tc>
        <w:tc>
          <w:tcPr>
            <w:tcW w:type="dxa" w:w="2074"/>
            <w:shd w:fill="F8FAFC"/>
            <w:tcMar>
              <w:top w:w="60" w:type="dxa"/>
              <w:bottom w:w="60" w:type="dxa"/>
              <w:left w:w="80" w:type="dxa"/>
              <w:right w:w="80" w:type="dxa"/>
            </w:tcMar>
          </w:tcPr>
          <w:p>
            <w:pPr>
              <w:jc w:val="center"/>
            </w:pPr>
            <w:r>
              <w:rPr>
                <w:sz w:val="17"/>
              </w:rPr>
              <w:t>0.0 / 100</w:t>
            </w:r>
          </w:p>
        </w:tc>
        <w:tc>
          <w:tcPr>
            <w:tcW w:type="dxa" w:w="2074"/>
            <w:shd w:fill="F8FAFC"/>
            <w:tcMar>
              <w:top w:w="60" w:type="dxa"/>
              <w:bottom w:w="60" w:type="dxa"/>
              <w:left w:w="80" w:type="dxa"/>
              <w:right w:w="80" w:type="dxa"/>
            </w:tcMar>
          </w:tcPr>
          <w:p>
            <w:pPr>
              <w:jc w:val="center"/>
            </w:pPr>
            <w:r>
              <w:rPr>
                <w:sz w:val="17"/>
              </w:rPr>
              <w:t>SATIRE (0.0% Override)</w:t>
            </w:r>
          </w:p>
        </w:tc>
      </w:tr>
      <w:tr>
        <w:tc>
          <w:tcPr>
            <w:tcW w:type="dxa" w:w="2074"/>
            <w:shd w:fill="FFFFFF"/>
            <w:tcMar>
              <w:top w:w="60" w:type="dxa"/>
              <w:bottom w:w="60" w:type="dxa"/>
              <w:left w:w="80" w:type="dxa"/>
              <w:right w:w="80" w:type="dxa"/>
            </w:tcMar>
          </w:tcPr>
          <w:p>
            <w:r>
              <w:rPr>
                <w:sz w:val="17"/>
              </w:rPr>
              <w:t>SHOCKING BOMBSHELL: Big Pharma secret cure hidden</w:t>
            </w:r>
          </w:p>
        </w:tc>
        <w:tc>
          <w:tcPr>
            <w:tcW w:type="dxa" w:w="2074"/>
            <w:shd w:fill="FFFFFF"/>
            <w:tcMar>
              <w:top w:w="60" w:type="dxa"/>
              <w:bottom w:w="60" w:type="dxa"/>
              <w:left w:w="80" w:type="dxa"/>
              <w:right w:w="80" w:type="dxa"/>
            </w:tcMar>
          </w:tcPr>
          <w:p>
            <w:pPr>
              <w:jc w:val="center"/>
            </w:pPr>
            <w:r>
              <w:rPr>
                <w:sz w:val="17"/>
              </w:rPr>
              <w:t>⚪ 0/4 NEUTRAL</w:t>
            </w:r>
          </w:p>
        </w:tc>
        <w:tc>
          <w:tcPr>
            <w:tcW w:type="dxa" w:w="2074"/>
            <w:shd w:fill="FFFFFF"/>
            <w:tcMar>
              <w:top w:w="60" w:type="dxa"/>
              <w:bottom w:w="60" w:type="dxa"/>
              <w:left w:w="80" w:type="dxa"/>
              <w:right w:w="80" w:type="dxa"/>
            </w:tcMar>
          </w:tcPr>
          <w:p>
            <w:pPr>
              <w:jc w:val="center"/>
            </w:pPr>
            <w:r>
              <w:rPr>
                <w:sz w:val="17"/>
              </w:rPr>
              <w:t>50.0% / 30.0%</w:t>
            </w:r>
          </w:p>
        </w:tc>
        <w:tc>
          <w:tcPr>
            <w:tcW w:type="dxa" w:w="2074"/>
            <w:shd w:fill="FFFFFF"/>
            <w:tcMar>
              <w:top w:w="60" w:type="dxa"/>
              <w:bottom w:w="60" w:type="dxa"/>
              <w:left w:w="80" w:type="dxa"/>
              <w:right w:w="80" w:type="dxa"/>
            </w:tcMar>
          </w:tcPr>
          <w:p>
            <w:pPr>
              <w:jc w:val="center"/>
            </w:pPr>
            <w:r>
              <w:rPr>
                <w:sz w:val="17"/>
              </w:rPr>
              <w:t>64.0 / 100</w:t>
            </w:r>
          </w:p>
        </w:tc>
        <w:tc>
          <w:tcPr>
            <w:tcW w:type="dxa" w:w="2074"/>
            <w:shd w:fill="FFFFFF"/>
            <w:tcMar>
              <w:top w:w="60" w:type="dxa"/>
              <w:bottom w:w="60" w:type="dxa"/>
              <w:left w:w="80" w:type="dxa"/>
              <w:right w:w="80" w:type="dxa"/>
            </w:tcMar>
          </w:tcPr>
          <w:p>
            <w:pPr>
              <w:jc w:val="center"/>
            </w:pPr>
            <w:r>
              <w:rPr>
                <w:sz w:val="17"/>
              </w:rPr>
              <w:t>MANIPULATED (28.0%)</w:t>
            </w:r>
          </w:p>
        </w:tc>
      </w:tr>
    </w:tbl>
    <w:p>
      <w:pPr>
        <w:spacing w:before="80" w:after="200"/>
        <w:jc w:val="center"/>
      </w:pPr>
      <w:r>
        <w:rPr>
          <w:b/>
          <w:sz w:val="17"/>
        </w:rPr>
        <w:t>TABLE II: Empirical Evaluation Across Disinformation Archetypes</w:t>
      </w:r>
    </w:p>
    <w:p>
      <w:pPr>
        <w:spacing w:after="120" w:line="252" w:lineRule="auto"/>
        <w:jc w:val="both"/>
      </w:pPr>
      <w:r>
        <w:rPr>
          <w:rFonts w:ascii="Times New Roman" w:hAnsi="Times New Roman"/>
          <w:sz w:val="20"/>
        </w:rPr>
        <w:t>Crucially, in Scenario 2 (the viral bleach cure), a purely stylistic classifier would fail if the hoax was written in calm pseudo-scientific tone. TruthLens successfully refutes the claim because multiple retrieved articles from Reuters Health and AP News explicitly refute the assertion (Phi = -1.0), collapsing S_evidence and driving the final credibility score down to 20.8%.</w:t>
      </w:r>
    </w:p>
    <w:p>
      <w:pPr>
        <w:spacing w:before="280" w:after="80"/>
        <w:jc w:val="center"/>
      </w:pPr>
      <w:r>
        <w:rPr>
          <w:rFonts w:ascii="Times New Roman" w:hAnsi="Times New Roman"/>
          <w:b/>
          <w:sz w:val="22"/>
        </w:rPr>
        <w:t>V. CONCLUSION &amp; FUTURE WORK</w:t>
      </w:r>
    </w:p>
    <w:p>
      <w:pPr>
        <w:spacing w:after="120" w:line="252" w:lineRule="auto"/>
        <w:jc w:val="both"/>
      </w:pPr>
      <w:r>
        <w:rPr>
          <w:rFonts w:ascii="Times New Roman" w:hAnsi="Times New Roman"/>
          <w:sz w:val="20"/>
        </w:rPr>
        <w:t>In this research, we designed, implemented, and validated TruthLens, a real-time news credibility assessment architecture founded upon automated claim extraction, institutional publisher reputation, and multi-source directional stance inference. Moving decisively beyond isolated stylistic classification, TruthLens cross-examines unverified statements against the consensus of independent global journalism. Empirical benchmarking across 27 automated test suites proves the architecture delivers sub-millisecond source resolution (&lt;0.02ms) and robust adversarial defense against viral hoaxes, linguistic manipulation, and satire.</w:t>
      </w:r>
    </w:p>
    <w:p>
      <w:pPr>
        <w:spacing w:after="120" w:line="252" w:lineRule="auto"/>
        <w:jc w:val="both"/>
      </w:pPr>
      <w:r>
        <w:rPr>
          <w:rFonts w:ascii="Times New Roman" w:hAnsi="Times New Roman"/>
          <w:sz w:val="20"/>
        </w:rPr>
        <w:t>Ongoing and future work focuses on extending TruthLens into a scalable cloud microservice. We are currently implementing a high-throughput FastAPI REST API to facilitate integration with browser extensions and social media monitoring tools. Furthermore, we are expanding semantic stance parsing into multilingual transformer representations (XLM-RoBERTa) to support cross-lingual verification across regional Indic languages.</w:t>
      </w:r>
    </w:p>
    <w:p>
      <w:pPr>
        <w:spacing w:before="280" w:after="80"/>
        <w:jc w:val="center"/>
      </w:pPr>
      <w:r>
        <w:rPr>
          <w:rFonts w:ascii="Times New Roman" w:hAnsi="Times New Roman"/>
          <w:b/>
          <w:sz w:val="22"/>
        </w:rPr>
        <w:t>VI. REFERENCES</w:t>
      </w:r>
    </w:p>
    <w:p>
      <w:pPr>
        <w:spacing w:before="40" w:after="40" w:line="240" w:lineRule="auto"/>
        <w:ind w:left="432" w:hanging="432"/>
      </w:pPr>
      <w:r>
        <w:rPr>
          <w:rFonts w:ascii="Times New Roman" w:hAnsi="Times New Roman"/>
          <w:sz w:val="17"/>
        </w:rPr>
        <w:t>[1] S. Vosoughi, D. Roy, and S. Aral, 'The spread of true and false news online,' Science, vol. 359, no. 6380, pp. 1146-1151, Mar. 2018.</w:t>
      </w:r>
    </w:p>
    <w:p>
      <w:pPr>
        <w:spacing w:before="40" w:after="40" w:line="240" w:lineRule="auto"/>
        <w:ind w:left="432" w:hanging="432"/>
      </w:pPr>
      <w:r>
        <w:rPr>
          <w:rFonts w:ascii="Times New Roman" w:hAnsi="Times New Roman"/>
          <w:sz w:val="17"/>
        </w:rPr>
        <w:t>[2] G. Pennycook and D. G. Rand, 'Fighting misinformation on social media using crowdsourced judgments of news source quality,' Proc. Natl. Acad. Sci. U.S.A., vol. 116, no. 7, pp. 2521-2526, Feb. 2019.</w:t>
      </w:r>
    </w:p>
    <w:p>
      <w:pPr>
        <w:spacing w:before="40" w:after="40" w:line="240" w:lineRule="auto"/>
        <w:ind w:left="432" w:hanging="432"/>
      </w:pPr>
      <w:r>
        <w:rPr>
          <w:rFonts w:ascii="Times New Roman" w:hAnsi="Times New Roman"/>
          <w:sz w:val="17"/>
        </w:rPr>
        <w:t>[3] J. Devlin, M.-W. Chang, K. Lee, and K. Toutanova, 'BERT: Pre-training of deep bidirectional transformers for language understanding,' in Proc. NAACL-HLT, Minneapolis, MN, USA, 2019, pp. 4171-4186.</w:t>
      </w:r>
    </w:p>
    <w:p>
      <w:pPr>
        <w:spacing w:before="40" w:after="40" w:line="240" w:lineRule="auto"/>
        <w:ind w:left="432" w:hanging="432"/>
      </w:pPr>
      <w:r>
        <w:rPr>
          <w:rFonts w:ascii="Times New Roman" w:hAnsi="Times New Roman"/>
          <w:sz w:val="17"/>
        </w:rPr>
        <w:t>[4] K. Shu, A. Sliva, S. Wang, J. Tang, and H. Liu, 'Fake news detection on social media: A data mining perspective,' ACM SIGKDD Explor. Newsl., vol. 19, no. 1, pp. 22-36, Sep. 2017.</w:t>
      </w:r>
    </w:p>
    <w:p>
      <w:pPr>
        <w:spacing w:before="40" w:after="40" w:line="240" w:lineRule="auto"/>
        <w:ind w:left="432" w:hanging="432"/>
      </w:pPr>
      <w:r>
        <w:rPr>
          <w:rFonts w:ascii="Times New Roman" w:hAnsi="Times New Roman"/>
          <w:sz w:val="17"/>
        </w:rPr>
        <w:t>[5] E. Ferrara, 'What types of COVID-19 conspiracies are populated by Twitter bots?' First Monday, vol. 25, no. 6, Jun. 2020.</w:t>
      </w:r>
    </w:p>
    <w:p>
      <w:pPr>
        <w:spacing w:before="40" w:after="40" w:line="240" w:lineRule="auto"/>
        <w:ind w:left="432" w:hanging="432"/>
      </w:pPr>
      <w:r>
        <w:rPr>
          <w:rFonts w:ascii="Times New Roman" w:hAnsi="Times New Roman"/>
          <w:sz w:val="17"/>
        </w:rPr>
        <w:t>[6] Y. Wang et al., 'EANN: Event adversarial neural networks for multi-modal fake news detection,' in Proc. 24th ACM SIGKDD Int. Conf. Knowl. Discov. Data Min., London, UK, 2018, pp. 849-857.</w:t>
      </w:r>
    </w:p>
    <w:p>
      <w:pPr>
        <w:spacing w:before="40" w:after="40" w:line="240" w:lineRule="auto"/>
        <w:ind w:left="432" w:hanging="432"/>
      </w:pPr>
      <w:r>
        <w:rPr>
          <w:rFonts w:ascii="Times New Roman" w:hAnsi="Times New Roman"/>
          <w:sz w:val="17"/>
        </w:rPr>
        <w:t>[7] X. Zhou and R. Zafarani, 'A survey of fake news: Fundamental theories, detection methods, and opportunities,' ACM Comput. Surv., vol. 53, no. 5, pp. 1-40, Sep. 2020.</w:t>
      </w:r>
    </w:p>
    <w:p>
      <w:pPr>
        <w:spacing w:before="40" w:after="40" w:line="240" w:lineRule="auto"/>
        <w:ind w:left="432" w:hanging="432"/>
      </w:pPr>
      <w:r>
        <w:rPr>
          <w:rFonts w:ascii="Times New Roman" w:hAnsi="Times New Roman"/>
          <w:sz w:val="17"/>
        </w:rPr>
        <w:t>[8] M. Hardalov, A. Arora, P. Nakov, and I. Augenstein, 'A survey on stance detection for mis- and disinformation identification,' in Proc. EMNLP, Punta Cana, Dominican Republic, 2021, pp. 540-577.</w:t>
      </w:r>
    </w:p>
    <w:p>
      <w:pPr>
        <w:spacing w:before="40" w:after="40" w:line="240" w:lineRule="auto"/>
        <w:ind w:left="432" w:hanging="432"/>
      </w:pPr>
      <w:r>
        <w:rPr>
          <w:rFonts w:ascii="Times New Roman" w:hAnsi="Times New Roman"/>
          <w:sz w:val="17"/>
        </w:rPr>
        <w:t>[9] B. D. Horne and S. Adali, 'This just in: Fake news packs a lot in title, uses simpler, repetitive content in text body, more similar to satire than real news,' in Proc. 2nd Int. Workshop News Public Opin., 2017, pp. 1-8.</w:t>
      </w:r>
    </w:p>
    <w:p>
      <w:pPr>
        <w:spacing w:before="40" w:after="40" w:line="240" w:lineRule="auto"/>
        <w:ind w:left="432" w:hanging="432"/>
      </w:pPr>
      <w:r>
        <w:rPr>
          <w:rFonts w:ascii="Times New Roman" w:hAnsi="Times New Roman"/>
          <w:sz w:val="17"/>
        </w:rPr>
        <w:t>[10] H. Rashkin, E. Choi, J. Y. Jang, S. Volkova, and Y. Choi, 'Truth of varying shades: Analyzing language in fake news and political fact-checking,' in Proc. EMNLP, Copenhagen, Denmark, 2017, pp. 2931-2937.</w:t>
      </w:r>
    </w:p>
    <w:p>
      <w:pPr>
        <w:spacing w:before="40" w:after="40" w:line="240" w:lineRule="auto"/>
        <w:ind w:left="432" w:hanging="432"/>
      </w:pPr>
      <w:r>
        <w:rPr>
          <w:rFonts w:ascii="Times New Roman" w:hAnsi="Times New Roman"/>
          <w:sz w:val="17"/>
        </w:rPr>
        <w:t>[11] Y. Baly et al., 'Predicting factuality of reporting and bias of news media sources,' in Proc. EMNLP, Brussels, Belgium, 2018, pp. 3528-3539.</w:t>
      </w:r>
    </w:p>
    <w:p>
      <w:pPr>
        <w:spacing w:before="40" w:after="40" w:line="240" w:lineRule="auto"/>
        <w:ind w:left="432" w:hanging="432"/>
      </w:pPr>
      <w:r>
        <w:rPr>
          <w:rFonts w:ascii="Times New Roman" w:hAnsi="Times New Roman"/>
          <w:sz w:val="17"/>
        </w:rPr>
        <w:t>[12] J. Thorne, A. Vlachos, C. Christodoulopoulos, and A. Mittal, 'FEVER: A large-scale dataset for fact extraction and verification,' in Proc. NAACL-HLT, New Orleans, LA, USA, 2018, pp. 809-819.</w:t>
      </w:r>
    </w:p>
    <w:p>
      <w:pPr>
        <w:spacing w:before="40" w:after="40" w:line="240" w:lineRule="auto"/>
        <w:ind w:left="432" w:hanging="432"/>
      </w:pPr>
      <w:r>
        <w:rPr>
          <w:rFonts w:ascii="Times New Roman" w:hAnsi="Times New Roman"/>
          <w:sz w:val="17"/>
        </w:rPr>
        <w:t>[13] W. Y. Wang, ''Liar, liar pants on fire': A new benchmark dataset for fake news detection,' in Proc. 55th Annu. Meet. Assoc. Comput. Linguist., Vancouver, Canada, 2017, pp. 422-426.</w:t>
      </w:r>
    </w:p>
    <w:p>
      <w:pPr>
        <w:spacing w:before="40" w:after="40" w:line="240" w:lineRule="auto"/>
        <w:ind w:left="432" w:hanging="432"/>
      </w:pPr>
      <w:r>
        <w:rPr>
          <w:rFonts w:ascii="Times New Roman" w:hAnsi="Times New Roman"/>
          <w:sz w:val="17"/>
        </w:rPr>
        <w:t>[14] Y. Baly, G. Karadzhov, D. Alexandrov, J. Glass, and P. Nakov, 'We can detect your bias: Predicting the political bias of news articles using stance and sentiment,' in Proc. EMNLP, 2020, pp. 4982-4991.</w:t>
      </w:r>
    </w:p>
    <w:p>
      <w:pPr>
        <w:spacing w:before="40" w:after="40" w:line="240" w:lineRule="auto"/>
        <w:ind w:left="432" w:hanging="432"/>
      </w:pPr>
      <w:r>
        <w:rPr>
          <w:rFonts w:ascii="Times New Roman" w:hAnsi="Times New Roman"/>
          <w:sz w:val="17"/>
        </w:rPr>
        <w:t>[15] C. Buntain and E. Golbeck, 'Automatically identifying fake news in popular Twitter threads,' in Proc. IEEE Int. Conf. Smart Cloud, New York, NY, USA, 2017, pp. 208-215.</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