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56BE" w14:textId="77777777" w:rsidR="00FC406A" w:rsidRPr="00FC406A" w:rsidRDefault="00FC406A" w:rsidP="00FC406A">
      <w:r w:rsidRPr="00FC406A">
        <w:t>Good morning. I will briefly walk you through the key trends in the Indian automobile sector for March 2026.</w:t>
      </w:r>
    </w:p>
    <w:p w14:paraId="212F8FF7" w14:textId="77777777" w:rsidR="00FC406A" w:rsidRPr="00FC406A" w:rsidRDefault="00FC406A" w:rsidP="00FC406A">
      <w:r w:rsidRPr="00FC406A">
        <w:t xml:space="preserve">The industry delivered a strong performance, with total volumes growing </w:t>
      </w:r>
      <w:r w:rsidRPr="00FC406A">
        <w:rPr>
          <w:b/>
          <w:bCs/>
        </w:rPr>
        <w:t>16.9% YoY to 2.2 million units</w:t>
      </w:r>
      <w:r w:rsidRPr="00FC406A">
        <w:t>. This was largely driven by a broad-based demand recovery across segments, supported by GST rate cuts.</w:t>
      </w:r>
    </w:p>
    <w:p w14:paraId="38B2C182" w14:textId="672166F4" w:rsidR="00FC406A" w:rsidRPr="00FC406A" w:rsidRDefault="00FC406A" w:rsidP="00FC406A">
      <w:r w:rsidRPr="00FC406A">
        <w:rPr>
          <w:b/>
          <w:bCs/>
        </w:rPr>
        <w:t>Segment-wise</w:t>
      </w:r>
      <w:r w:rsidRPr="00FC406A">
        <w:t xml:space="preserve">, growth remained well diversified. </w:t>
      </w:r>
      <w:r w:rsidRPr="00FC406A">
        <w:rPr>
          <w:b/>
          <w:bCs/>
        </w:rPr>
        <w:t>Two-wheelers</w:t>
      </w:r>
      <w:r w:rsidRPr="00FC406A">
        <w:t xml:space="preserve">, which dominate with a </w:t>
      </w:r>
      <w:r w:rsidRPr="00FC406A">
        <w:rPr>
          <w:b/>
          <w:bCs/>
        </w:rPr>
        <w:t>70%</w:t>
      </w:r>
      <w:r w:rsidRPr="00FC406A">
        <w:t xml:space="preserve"> market share, grew </w:t>
      </w:r>
      <w:r w:rsidRPr="00FC406A">
        <w:rPr>
          <w:b/>
          <w:bCs/>
        </w:rPr>
        <w:t>16% YoY to 1.6 million units</w:t>
      </w:r>
      <w:r w:rsidRPr="00FC406A">
        <w:t xml:space="preserve">, led by rural recovery and export momentum. </w:t>
      </w:r>
      <w:r w:rsidRPr="00FC406A">
        <w:rPr>
          <w:b/>
          <w:bCs/>
        </w:rPr>
        <w:t>Three-wheelers</w:t>
      </w:r>
      <w:r w:rsidRPr="00FC406A">
        <w:t xml:space="preserve"> were the standout segment, growing around </w:t>
      </w:r>
      <w:r w:rsidRPr="00FC406A">
        <w:rPr>
          <w:b/>
          <w:bCs/>
        </w:rPr>
        <w:t>27% YoY</w:t>
      </w:r>
      <w:r>
        <w:rPr>
          <w:b/>
          <w:bCs/>
        </w:rPr>
        <w:t xml:space="preserve"> to 0.1mn units</w:t>
      </w:r>
      <w:r w:rsidRPr="00FC406A">
        <w:t xml:space="preserve">, driven by last-mile mobility demand and increasing EV adoption. </w:t>
      </w:r>
      <w:r w:rsidRPr="00FC406A">
        <w:rPr>
          <w:b/>
          <w:bCs/>
        </w:rPr>
        <w:t>Passenger vehicles</w:t>
      </w:r>
      <w:r w:rsidRPr="00FC406A">
        <w:t xml:space="preserve"> grew </w:t>
      </w:r>
      <w:r w:rsidRPr="00FC406A">
        <w:rPr>
          <w:b/>
          <w:bCs/>
        </w:rPr>
        <w:t>16% YoY to 0.4 million units</w:t>
      </w:r>
      <w:r w:rsidRPr="00FC406A">
        <w:t xml:space="preserve">, while </w:t>
      </w:r>
      <w:r w:rsidRPr="00FC406A">
        <w:rPr>
          <w:b/>
          <w:bCs/>
        </w:rPr>
        <w:t>commercial vehicles</w:t>
      </w:r>
      <w:r w:rsidRPr="00FC406A">
        <w:t xml:space="preserve"> saw approximately </w:t>
      </w:r>
      <w:r w:rsidRPr="00FC406A">
        <w:rPr>
          <w:b/>
          <w:bCs/>
        </w:rPr>
        <w:t>19% YoY growth to 0.1 million units</w:t>
      </w:r>
      <w:r w:rsidRPr="00FC406A">
        <w:t>, supported by infrastructure activity and freight demand.</w:t>
      </w:r>
    </w:p>
    <w:p w14:paraId="3CB67CB5" w14:textId="77777777" w:rsidR="00FC406A" w:rsidRPr="00FC406A" w:rsidRDefault="00FC406A" w:rsidP="00FC406A">
      <w:r w:rsidRPr="00FC406A">
        <w:t xml:space="preserve">Within </w:t>
      </w:r>
      <w:r w:rsidRPr="00FC406A">
        <w:rPr>
          <w:b/>
          <w:bCs/>
        </w:rPr>
        <w:t>passenger vehicles</w:t>
      </w:r>
      <w:r w:rsidRPr="00FC406A">
        <w:t xml:space="preserve">, the structural shift toward SUVs continues. SUVs now contribute over </w:t>
      </w:r>
      <w:r w:rsidRPr="00FC406A">
        <w:rPr>
          <w:b/>
          <w:bCs/>
        </w:rPr>
        <w:t>60%</w:t>
      </w:r>
      <w:r w:rsidRPr="00FC406A">
        <w:t xml:space="preserve"> of domestic PV volumes, </w:t>
      </w:r>
      <w:r w:rsidRPr="00FC406A">
        <w:rPr>
          <w:b/>
          <w:bCs/>
        </w:rPr>
        <w:t>while hatchbacks</w:t>
      </w:r>
      <w:r w:rsidRPr="00FC406A">
        <w:t xml:space="preserve"> account for around </w:t>
      </w:r>
      <w:r w:rsidRPr="00FC406A">
        <w:rPr>
          <w:b/>
          <w:bCs/>
        </w:rPr>
        <w:t>33%</w:t>
      </w:r>
      <w:r w:rsidRPr="00FC406A">
        <w:t>, indicating clear premiumization and evolving consumer preferences.</w:t>
      </w:r>
    </w:p>
    <w:p w14:paraId="3FDAF57C" w14:textId="77777777" w:rsidR="00FC406A" w:rsidRPr="00FC406A" w:rsidRDefault="00FC406A" w:rsidP="00FC406A">
      <w:r w:rsidRPr="00FC406A">
        <w:t xml:space="preserve">On OEM performance, market leadership remains intact, although </w:t>
      </w:r>
      <w:r w:rsidRPr="00FC406A">
        <w:rPr>
          <w:b/>
          <w:bCs/>
        </w:rPr>
        <w:t>competitive intensity</w:t>
      </w:r>
      <w:r w:rsidRPr="00FC406A">
        <w:t xml:space="preserve"> is </w:t>
      </w:r>
      <w:r w:rsidRPr="00FC406A">
        <w:rPr>
          <w:b/>
          <w:bCs/>
        </w:rPr>
        <w:t>rising</w:t>
      </w:r>
      <w:r w:rsidRPr="00FC406A">
        <w:t xml:space="preserve">. </w:t>
      </w:r>
      <w:r w:rsidRPr="00FC406A">
        <w:rPr>
          <w:b/>
          <w:bCs/>
        </w:rPr>
        <w:t>Maruti Suzuki</w:t>
      </w:r>
      <w:r w:rsidRPr="00FC406A">
        <w:t xml:space="preserve"> continues to dominate with around </w:t>
      </w:r>
      <w:r w:rsidRPr="00FC406A">
        <w:rPr>
          <w:b/>
          <w:bCs/>
        </w:rPr>
        <w:t>53%</w:t>
      </w:r>
      <w:r w:rsidRPr="00FC406A">
        <w:t xml:space="preserve"> market share, growing </w:t>
      </w:r>
      <w:r w:rsidRPr="00FC406A">
        <w:rPr>
          <w:b/>
          <w:bCs/>
        </w:rPr>
        <w:t>16% YoY to 220k units</w:t>
      </w:r>
      <w:r w:rsidRPr="00FC406A">
        <w:t xml:space="preserve">. Growth was driven by core models like </w:t>
      </w:r>
      <w:r w:rsidRPr="00FC406A">
        <w:rPr>
          <w:b/>
          <w:bCs/>
        </w:rPr>
        <w:t>Dzire and Baleno</w:t>
      </w:r>
      <w:r w:rsidRPr="00FC406A">
        <w:t xml:space="preserve">, which grew </w:t>
      </w:r>
      <w:r w:rsidRPr="00FC406A">
        <w:rPr>
          <w:b/>
          <w:bCs/>
        </w:rPr>
        <w:t>37% YoY and 33% YoY</w:t>
      </w:r>
      <w:r w:rsidRPr="00FC406A">
        <w:t xml:space="preserve">, with sales of </w:t>
      </w:r>
      <w:r w:rsidRPr="00FC406A">
        <w:rPr>
          <w:b/>
          <w:bCs/>
        </w:rPr>
        <w:t>21k and 16k units</w:t>
      </w:r>
      <w:r w:rsidRPr="00FC406A">
        <w:t>, respectively.</w:t>
      </w:r>
    </w:p>
    <w:p w14:paraId="4E0865B2" w14:textId="77777777" w:rsidR="00FC406A" w:rsidRPr="00FC406A" w:rsidRDefault="00FC406A" w:rsidP="00FC406A">
      <w:r w:rsidRPr="00FC406A">
        <w:rPr>
          <w:b/>
          <w:bCs/>
        </w:rPr>
        <w:t>Mahindra &amp; Mahindra and Tata Motors</w:t>
      </w:r>
      <w:r w:rsidRPr="00FC406A">
        <w:t xml:space="preserve">, with market shares of </w:t>
      </w:r>
      <w:r w:rsidRPr="00FC406A">
        <w:rPr>
          <w:b/>
          <w:bCs/>
        </w:rPr>
        <w:t>15% and 16%</w:t>
      </w:r>
      <w:r w:rsidRPr="00FC406A">
        <w:t xml:space="preserve">, respectively, outperformed the industry, growing </w:t>
      </w:r>
      <w:r w:rsidRPr="00FC406A">
        <w:rPr>
          <w:b/>
          <w:bCs/>
        </w:rPr>
        <w:t>29% YoY and 22% YoY</w:t>
      </w:r>
      <w:r w:rsidRPr="00FC406A">
        <w:t xml:space="preserve"> to around </w:t>
      </w:r>
      <w:r w:rsidRPr="00FC406A">
        <w:rPr>
          <w:b/>
          <w:bCs/>
        </w:rPr>
        <w:t>60k units each</w:t>
      </w:r>
      <w:r w:rsidRPr="00FC406A">
        <w:t xml:space="preserve">, supported by SUV-heavy portfolios and EV traction. In contrast, </w:t>
      </w:r>
      <w:r w:rsidRPr="00FC406A">
        <w:rPr>
          <w:b/>
          <w:bCs/>
        </w:rPr>
        <w:t>Hyundai</w:t>
      </w:r>
      <w:r w:rsidRPr="00FC406A">
        <w:t xml:space="preserve"> saw relatively </w:t>
      </w:r>
      <w:r w:rsidRPr="00FC406A">
        <w:rPr>
          <w:b/>
          <w:bCs/>
        </w:rPr>
        <w:t>muted growth of 2.5% YoY</w:t>
      </w:r>
      <w:r w:rsidRPr="00FC406A">
        <w:t xml:space="preserve"> </w:t>
      </w:r>
      <w:r w:rsidRPr="00FC406A">
        <w:rPr>
          <w:b/>
          <w:bCs/>
        </w:rPr>
        <w:t>to 70k units</w:t>
      </w:r>
      <w:r w:rsidRPr="00FC406A">
        <w:t xml:space="preserve"> due to export weakness and rising competition in SUVs.</w:t>
      </w:r>
    </w:p>
    <w:p w14:paraId="33323ABA" w14:textId="532654E5" w:rsidR="00FC406A" w:rsidRPr="00FC406A" w:rsidRDefault="00FC406A" w:rsidP="00FC406A">
      <w:r w:rsidRPr="00FC406A">
        <w:t xml:space="preserve">In the </w:t>
      </w:r>
      <w:r w:rsidRPr="00FC406A">
        <w:rPr>
          <w:b/>
          <w:bCs/>
        </w:rPr>
        <w:t>two-wheeler segment</w:t>
      </w:r>
      <w:r w:rsidRPr="00FC406A">
        <w:t xml:space="preserve">, recovery is visible. </w:t>
      </w:r>
      <w:r w:rsidRPr="00FC406A">
        <w:rPr>
          <w:b/>
          <w:bCs/>
        </w:rPr>
        <w:t>Hero MotoCorp</w:t>
      </w:r>
      <w:r w:rsidRPr="00FC406A">
        <w:t xml:space="preserve"> maintained its leadership with a </w:t>
      </w:r>
      <w:r w:rsidRPr="00FC406A">
        <w:rPr>
          <w:b/>
          <w:bCs/>
        </w:rPr>
        <w:t>40% market share</w:t>
      </w:r>
      <w:r w:rsidRPr="00FC406A">
        <w:t xml:space="preserve">, growing </w:t>
      </w:r>
      <w:r w:rsidRPr="00FC406A">
        <w:rPr>
          <w:b/>
          <w:bCs/>
        </w:rPr>
        <w:t>9% YoY to 600k units</w:t>
      </w:r>
      <w:r w:rsidRPr="00FC406A">
        <w:t xml:space="preserve">. </w:t>
      </w:r>
      <w:r w:rsidRPr="00FC406A">
        <w:rPr>
          <w:b/>
          <w:bCs/>
        </w:rPr>
        <w:t>TVS Motor</w:t>
      </w:r>
      <w:r w:rsidRPr="00FC406A">
        <w:t xml:space="preserve">, with a </w:t>
      </w:r>
      <w:r w:rsidRPr="00FC406A">
        <w:rPr>
          <w:b/>
          <w:bCs/>
        </w:rPr>
        <w:t>30% market share</w:t>
      </w:r>
      <w:r w:rsidRPr="00FC406A">
        <w:t xml:space="preserve">, grew </w:t>
      </w:r>
      <w:r w:rsidRPr="00FC406A">
        <w:rPr>
          <w:b/>
          <w:bCs/>
        </w:rPr>
        <w:t xml:space="preserve">25% YoY to </w:t>
      </w:r>
      <w:r>
        <w:rPr>
          <w:b/>
          <w:bCs/>
        </w:rPr>
        <w:t>48</w:t>
      </w:r>
      <w:r w:rsidRPr="00FC406A">
        <w:rPr>
          <w:b/>
          <w:bCs/>
        </w:rPr>
        <w:t>0k units</w:t>
      </w:r>
      <w:r w:rsidRPr="00FC406A">
        <w:t xml:space="preserve">, while </w:t>
      </w:r>
      <w:r w:rsidRPr="00FC406A">
        <w:rPr>
          <w:b/>
          <w:bCs/>
        </w:rPr>
        <w:t>Bajaj Auto</w:t>
      </w:r>
      <w:r w:rsidRPr="00FC406A">
        <w:t xml:space="preserve">, with a </w:t>
      </w:r>
      <w:r w:rsidRPr="00FC406A">
        <w:rPr>
          <w:b/>
          <w:bCs/>
        </w:rPr>
        <w:t>23% market share</w:t>
      </w:r>
      <w:r w:rsidRPr="00FC406A">
        <w:t xml:space="preserve">, grew </w:t>
      </w:r>
      <w:r w:rsidRPr="00FC406A">
        <w:rPr>
          <w:b/>
          <w:bCs/>
        </w:rPr>
        <w:t>20% YoY to 380k units</w:t>
      </w:r>
      <w:r w:rsidRPr="00FC406A">
        <w:t xml:space="preserve">, supported by premium motorcycles, scooters, and export recovery. </w:t>
      </w:r>
      <w:r w:rsidRPr="00FC406A">
        <w:rPr>
          <w:b/>
          <w:bCs/>
        </w:rPr>
        <w:t>Eicher Motors</w:t>
      </w:r>
      <w:r w:rsidRPr="00FC406A">
        <w:t xml:space="preserve"> recorded an </w:t>
      </w:r>
      <w:r w:rsidRPr="00FC406A">
        <w:rPr>
          <w:b/>
          <w:bCs/>
        </w:rPr>
        <w:t>11% YoY</w:t>
      </w:r>
      <w:r w:rsidRPr="00FC406A">
        <w:t xml:space="preserve"> increase to </w:t>
      </w:r>
      <w:r w:rsidRPr="00FC406A">
        <w:rPr>
          <w:b/>
          <w:bCs/>
        </w:rPr>
        <w:t>112k units</w:t>
      </w:r>
      <w:r w:rsidRPr="00FC406A">
        <w:t>.</w:t>
      </w:r>
    </w:p>
    <w:p w14:paraId="2903BBFA" w14:textId="77777777" w:rsidR="00FC406A" w:rsidRPr="00FC406A" w:rsidRDefault="00FC406A" w:rsidP="00FC406A">
      <w:r w:rsidRPr="00FC406A">
        <w:t xml:space="preserve">In the </w:t>
      </w:r>
      <w:r w:rsidRPr="00FC406A">
        <w:rPr>
          <w:b/>
          <w:bCs/>
        </w:rPr>
        <w:t>three-wheeler segment</w:t>
      </w:r>
      <w:r w:rsidRPr="00FC406A">
        <w:t xml:space="preserve">, total sales increased </w:t>
      </w:r>
      <w:r w:rsidRPr="00FC406A">
        <w:rPr>
          <w:b/>
          <w:bCs/>
        </w:rPr>
        <w:t>27% YoY to 97k units</w:t>
      </w:r>
      <w:r w:rsidRPr="00FC406A">
        <w:t xml:space="preserve">, driven by continued growth in electric three-wheeler adoption. In </w:t>
      </w:r>
      <w:r w:rsidRPr="00FC406A">
        <w:rPr>
          <w:b/>
          <w:bCs/>
        </w:rPr>
        <w:t>commercial vehicles</w:t>
      </w:r>
      <w:r w:rsidRPr="00FC406A">
        <w:t xml:space="preserve">, total sales grew </w:t>
      </w:r>
      <w:r w:rsidRPr="00FC406A">
        <w:rPr>
          <w:b/>
          <w:bCs/>
        </w:rPr>
        <w:t>19% YoY to 90k units</w:t>
      </w:r>
      <w:r w:rsidRPr="00FC406A">
        <w:t>, supported by healthy infrastructure and construction activity.</w:t>
      </w:r>
    </w:p>
    <w:p w14:paraId="0F4F2776" w14:textId="77777777" w:rsidR="00FC406A" w:rsidRPr="00FC406A" w:rsidRDefault="00FC406A" w:rsidP="00FC406A">
      <w:r w:rsidRPr="00FC406A">
        <w:t xml:space="preserve">To conclude, the sector is witnessing a </w:t>
      </w:r>
      <w:r w:rsidRPr="00FC406A">
        <w:rPr>
          <w:b/>
          <w:bCs/>
        </w:rPr>
        <w:t>cyclical recovery in rural and CV demand</w:t>
      </w:r>
      <w:r w:rsidRPr="00FC406A">
        <w:t xml:space="preserve">, along with </w:t>
      </w:r>
      <w:r w:rsidRPr="00FC406A">
        <w:rPr>
          <w:b/>
          <w:bCs/>
        </w:rPr>
        <w:t>structural tailwinds from SUV premiumization and EV adoption</w:t>
      </w:r>
      <w:r w:rsidRPr="00FC406A">
        <w:t xml:space="preserve">. Export recovery is also underway, although still uneven across players. Overall, the outlook remains </w:t>
      </w:r>
      <w:r w:rsidRPr="00FC406A">
        <w:rPr>
          <w:b/>
          <w:bCs/>
        </w:rPr>
        <w:t>positive</w:t>
      </w:r>
      <w:r w:rsidRPr="00FC406A">
        <w:t>, with demand momentum likely to sustain, supported by macroeconomic stability, policy support, and ongoing product innovation.</w:t>
      </w:r>
    </w:p>
    <w:p w14:paraId="4B442A8C" w14:textId="77777777" w:rsidR="007769D2" w:rsidRPr="00FC406A" w:rsidRDefault="007769D2" w:rsidP="00FC406A"/>
    <w:sectPr w:rsidR="007769D2" w:rsidRPr="00FC4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6A"/>
    <w:rsid w:val="00155D9F"/>
    <w:rsid w:val="00171719"/>
    <w:rsid w:val="00286747"/>
    <w:rsid w:val="007769D2"/>
    <w:rsid w:val="00FC406A"/>
    <w:rsid w:val="00F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8D3F"/>
  <w15:chartTrackingRefBased/>
  <w15:docId w15:val="{F32E72F2-2AA5-45B5-B5B9-BDE3C377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shrutikaaasaraf@gmail.com</dc:creator>
  <cp:keywords/>
  <dc:description/>
  <cp:lastModifiedBy>shrutikaaasaraf@gmail.com</cp:lastModifiedBy>
  <cp:revision>2</cp:revision>
  <dcterms:created xsi:type="dcterms:W3CDTF">2026-04-19T17:19:00Z</dcterms:created>
  <dcterms:modified xsi:type="dcterms:W3CDTF">2026-04-19T17:48:00Z</dcterms:modified>
</cp:coreProperties>
</file>