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rPr>
          <w:sz w:val="44"/>
          <w:szCs w:val="44"/>
        </w:rPr>
        <w:t xml:space="preserve">Interview Preparation: Follow-Up Q&amp;A</w:t>
      </w:r>
    </w:p>
    <w:p>
      <w:pPr>
        <w:spacing w:after="400"/>
        <w:jc w:val="center"/>
      </w:pPr>
      <w:r>
        <w:rPr>
          <w:i/>
          <w:iCs/>
          <w:color w:val="555555"/>
          <w:sz w:val="22"/>
          <w:szCs w:val="22"/>
        </w:rPr>
        <w:t xml:space="preserve">Associate Application Developer (Data/ETL) — Azure Databricks / ADF / Delta Lake</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Document</w:t>
      </w:r>
    </w:p>
    <w:p>
      <w:pPr>
        <w:spacing w:after="200"/>
      </w:pPr>
      <w:r>
        <w:rPr>
          <w:i/>
          <w:iCs/>
          <w:color w:val="555555"/>
        </w:rPr>
        <w:t xml:space="preserve">Questions are grouped by JD theme and ordered from foundational to scenario-based/behavioral, mirroring how a technical interview for this role typically progresses. Every answer is grounded in the concrete BlueStacks Insights Platform reference architecture (see BlueStacks_Data_Pipeline_Architecture.docx) so you can point to a specific design decision rather than a generic textbook answer.</w:t>
      </w:r>
    </w:p>
    <w:p>
      <w:pPr>
        <w:pStyle w:val="Heading1"/>
      </w:pPr>
      <w:r>
        <w:t xml:space="preserve">1. Azure Databricks &amp; PySpark</w:t>
      </w:r>
    </w:p>
    <w:p>
      <w:pPr>
        <w:spacing w:after="80" w:before="200"/>
      </w:pPr>
      <w:r>
        <w:rPr>
          <w:b/>
          <w:bCs/>
          <w:color w:val="1F4E5F"/>
        </w:rPr>
        <w:t xml:space="preserve">Q: Walk me through how you'd design a PySpark ingestion notebook for a new high-volume telemetry source.</w:t>
      </w:r>
    </w:p>
    <w:p>
      <w:pPr>
        <w:spacing w:after="120"/>
      </w:pPr>
      <w:r>
        <w:t xml:space="preserve">A: Start with an explicit schema (never inferSchema in production — it forces a full extra read and silently absorbs type drift). Parameterize the notebook via dbutils.widgets so the same notebook serves every source, as in 01_bronze_ingest_telemetry.py. Enforce the schema on read, route records that fail required-field checks to a quarantine Delta table rather than failing the job outright, and stamp audit columns (_ingest_ts, _source_file, _pipeline_run_id) on every row for lineage. Write with Delta in append mode, partitioned by ingest date, with mergeSchema off so drift is caught, not silently absorbed.</w:t>
      </w:r>
    </w:p>
    <w:p>
      <w:pPr>
        <w:spacing w:after="80" w:before="200"/>
      </w:pPr>
      <w:r>
        <w:rPr>
          <w:b/>
          <w:bCs/>
          <w:color w:val="1F4E5F"/>
        </w:rPr>
        <w:t xml:space="preserve">Q: How do you decide between an all-purpose cluster, a job cluster, and a SQL warehouse?</w:t>
      </w:r>
    </w:p>
    <w:p>
      <w:pPr>
        <w:spacing w:after="120"/>
      </w:pPr>
      <w:r>
        <w:t xml:space="preserve">A: All-purpose clusters are for interactive development only — they're billed continuously and shouldn't run production jobs. Every scheduled job in this platform runs on an ephemeral job cluster (spun up per ADF/Databricks Jobs run, terminated on completion), which is both cheaper and enforces reproducibility since the environment is defined in code, not click-configured. SQL warehouses would be the choice if the workload were pure SQL analytics serving BI tools rather than PySpark ETL.</w:t>
      </w:r>
    </w:p>
    <w:p>
      <w:pPr>
        <w:spacing w:after="80" w:before="200"/>
      </w:pPr>
      <w:r>
        <w:rPr>
          <w:b/>
          <w:bCs/>
          <w:color w:val="1F4E5F"/>
        </w:rPr>
        <w:t xml:space="preserve">Q: How do you control Databricks cost without sacrificing reliability?</w:t>
      </w:r>
    </w:p>
    <w:p>
      <w:pPr>
        <w:spacing w:after="120"/>
      </w:pPr>
      <w:r>
        <w:t xml:space="preserve">A: Four levers, all applied in the reference platform: (1) job clusters instead of all-purpose for anything scheduled, (2) autoscaling with a sane min/max bound plus autotermination on interactive clusters, (3) spot instances with on-demand fallback for worker nodes on non-time-critical batch jobs — this repo uses SPOT_WITH_FALLBACK_AZURE for Silver/Gold, but keeps Bronze ingestion on-demand where latency matters, (4) cluster policies that hard-cap node types and worker counts so nobody can accidentally spin up an oversized cluster. I'd also enable Photon on aggregation-heavy jobs — it costs more per DBU but often finishes fast enough to be net cheaper.</w:t>
      </w:r>
    </w:p>
    <w:p>
      <w:pPr>
        <w:spacing w:after="80" w:before="200"/>
      </w:pPr>
      <w:r>
        <w:rPr>
          <w:b/>
          <w:bCs/>
          <w:color w:val="1F4E5F"/>
        </w:rPr>
        <w:t xml:space="preserve">Q: Your notebook works fine on 10GB of test data but times out in production on 2TB. What's your triage process?</w:t>
      </w:r>
    </w:p>
    <w:p>
      <w:pPr>
        <w:spacing w:after="120"/>
      </w:pPr>
      <w:r>
        <w:t xml:space="preserve">A: First check the Spark UI for the stage that's slow — usually it's a shuffle-heavy join or a skewed partition. Check partition count and size (spark.sql.shuffle.partitions defaulting to 200 is often wrong for either extreme). Look for a broadcast join opportunity if one side is small. Check for a data skew key — a single hot user_id or device_id dominating a groupBy is the most common real-world cause in telemetry data like this platform's game_telemetry table. If it's I/O bound, check for the small-file problem from high-frequency upstream writes — this is exactly why 04_delta_maintenance.py runs OPTIMIZE with auto-compaction rather than relying on ad hoc fixes.</w:t>
      </w:r>
    </w:p>
    <w:p>
      <w:pPr>
        <w:spacing w:after="80" w:before="200"/>
      </w:pPr>
      <w:r>
        <w:rPr>
          <w:b/>
          <w:bCs/>
          <w:color w:val="1F4E5F"/>
        </w:rPr>
        <w:t xml:space="preserve">Q: How do you unit test PySpark transformation logic without a live cluster?</w:t>
      </w:r>
    </w:p>
    <w:p>
      <w:pPr>
        <w:spacing w:after="120"/>
      </w:pPr>
      <w:r>
        <w:t xml:space="preserve">A: Pull business logic out of notebooks into plain importable Python modules (see notebooks/utils/data_quality_checks.py and schema_registry.py), then test them with a local SparkSession (master('local[2]')) in pytest, as in notebooks/tests/test_transformations.py. This runs in GitHub Actions CI on every PR in seconds, with no Databricks cluster or cost involved, catching regressions before they ever reach a scheduled job.</w:t>
      </w:r>
    </w:p>
    <w:p>
      <w:pPr>
        <w:pStyle w:val="Heading1"/>
      </w:pPr>
      <w:r>
        <w:t xml:space="preserve">2. Delta Lake</w:t>
      </w:r>
    </w:p>
    <w:p>
      <w:pPr>
        <w:spacing w:after="80" w:before="200"/>
      </w:pPr>
      <w:r>
        <w:rPr>
          <w:b/>
          <w:bCs/>
          <w:color w:val="1F4E5F"/>
        </w:rPr>
        <w:t xml:space="preserve">Q: Explain how Delta Lake gives you ACID guarantees on top of a data lake.</w:t>
      </w:r>
    </w:p>
    <w:p>
      <w:pPr>
        <w:spacing w:after="120"/>
      </w:pPr>
      <w:r>
        <w:t xml:space="preserve">A: Delta Lake maintains a transaction log (_delta_log) of ordered, atomic JSON commits describing which Parquet files are logically part of the table at each version. A writer builds new files, then atomically commits a log entry — readers either see the pre-commit or post-commit state, never a partial write. That log is also what makes time travel and versioning possible: DESCRIBE HISTORY and VERSION AS OF just replay the log to a point in time.</w:t>
      </w:r>
    </w:p>
    <w:p>
      <w:pPr>
        <w:spacing w:after="80" w:before="200"/>
      </w:pPr>
      <w:r>
        <w:rPr>
          <w:b/>
          <w:bCs/>
          <w:color w:val="1F4E5F"/>
        </w:rPr>
        <w:t xml:space="preserve">Q: When would you use MERGE INTO versus a plain overwrite or append?</w:t>
      </w:r>
    </w:p>
    <w:p>
      <w:pPr>
        <w:spacing w:after="120"/>
      </w:pPr>
      <w:r>
        <w:t xml:space="preserve">A: MERGE (upsert) is the right tool whenever a batch can contain both new and previously-seen records — for example, the Silver layer's game_telemetry table, where late-arriving or corrected session data needs to update an existing row rather than duplicate it. Overwrite is for full-refresh dimension tables where the entire target is meant to be replaced. Append is only safe when the source batch is guaranteed to be genuinely new data, and even then I'd add a downstream dedup step for defense in depth, since 'exactly-once' upstream delivery is rarely a safe assumption at BlueStacks' event volumes.</w:t>
      </w:r>
    </w:p>
    <w:p>
      <w:pPr>
        <w:spacing w:after="80" w:before="200"/>
      </w:pPr>
      <w:r>
        <w:rPr>
          <w:b/>
          <w:bCs/>
          <w:color w:val="1F4E5F"/>
        </w:rPr>
        <w:t xml:space="preserve">Q: How do you use time travel operationally, not just for auditing?</w:t>
      </w:r>
    </w:p>
    <w:p>
      <w:pPr>
        <w:spacing w:after="120"/>
      </w:pPr>
      <w:r>
        <w:t xml:space="preserve">A: Three real uses in this platform: (1) reconciliation — comparing today's Silver table against yesterday's version to spot unexpected volume drops, (2) safe reprocessing — if a bug is found in Silver logic, you can recompute from a specific Bronze version rather than a full historical reload, (3) rollback — if a bad deploy corrupts a Gold table, VERSION AS OF plus a RESTORE gets you back to a known-good state in minutes instead of restoring from a separate backup system.</w:t>
      </w:r>
    </w:p>
    <w:p>
      <w:pPr>
        <w:spacing w:after="80" w:before="200"/>
      </w:pPr>
      <w:r>
        <w:rPr>
          <w:b/>
          <w:bCs/>
          <w:color w:val="1F4E5F"/>
        </w:rPr>
        <w:t xml:space="preserve">Q: What's the difference between OPTIMIZE, ZORDER, and VACUUM, and why do you need all three?</w:t>
      </w:r>
    </w:p>
    <w:p>
      <w:pPr>
        <w:spacing w:after="120"/>
      </w:pPr>
      <w:r>
        <w:t xml:space="preserve">A: OPTIMIZE compacts small files into larger ones, fixing the small-file problem that high-frequency micro-batch or streaming writes create — this platform ingests up to 120M telemetry events/day, so without regular compaction the table would accumulate huge numbers of tiny files. ZORDER co-locates data by the given columns on disk so range/point queries on those columns skip more files. VACUUM physically deletes files no longer referenced by any retained table version, reclaiming storage — but the retention window (30 days in this platform, not the 7-day default) has to be long enough to cover your audit/time-travel requirements or you'll silently lose the ability to travel back.</w:t>
      </w:r>
    </w:p>
    <w:p>
      <w:pPr>
        <w:spacing w:after="80" w:before="200"/>
      </w:pPr>
      <w:r>
        <w:rPr>
          <w:b/>
          <w:bCs/>
          <w:color w:val="1F4E5F"/>
        </w:rPr>
        <w:t xml:space="preserve">Q: How do you handle schema evolution safely?</w:t>
      </w:r>
    </w:p>
    <w:p>
      <w:pPr>
        <w:spacing w:after="120"/>
      </w:pPr>
      <w:r>
        <w:t xml:space="preserve">A: Deliberately: Bronze uses an explicit registered schema (schema_registry.py) and mergeSchema=false, so any drift routes to a review path rather than being silently merged in. When a schema change is intentional, it's a controlled change to the schema registry plus a coordinated Silver-layer update, reviewed like any other code change through the same CI/CD pipeline — not an implicit mergeSchema=true on every write, which is how you end up with a Bronze table containing a dozen incompatible historical shapes.</w:t>
      </w:r>
    </w:p>
    <w:p>
      <w:pPr>
        <w:pStyle w:val="Heading1"/>
      </w:pPr>
      <w:r>
        <w:t xml:space="preserve">3. Azure Data Factory</w:t>
      </w:r>
    </w:p>
    <w:p>
      <w:pPr>
        <w:spacing w:after="80" w:before="200"/>
      </w:pPr>
      <w:r>
        <w:rPr>
          <w:b/>
          <w:bCs/>
          <w:color w:val="1F4E5F"/>
        </w:rPr>
        <w:t xml:space="preserve">Q: Why build one parameterized pipeline instead of one pipeline per data source?</w:t>
      </w:r>
    </w:p>
    <w:p>
      <w:pPr>
        <w:spacing w:after="120"/>
      </w:pPr>
      <w:r>
        <w:t xml:space="preserve">A: Maintainability and blast radius. PL_Ingest_ParamSource.json in this platform takes sourceName, fileFormat, and ingestDate as parameters and is invoked once per active row in a control table via a ForEach in PL_Master_Orchestration.json. Adding a new telemetry source becomes a data change — one row in the control table — instead of a new pipeline to build, test, and deploy. It also means a bug fix in the ingestion logic only needs to be made once.</w:t>
      </w:r>
    </w:p>
    <w:p>
      <w:pPr>
        <w:spacing w:after="80" w:before="200"/>
      </w:pPr>
      <w:r>
        <w:rPr>
          <w:b/>
          <w:bCs/>
          <w:color w:val="1F4E5F"/>
        </w:rPr>
        <w:t xml:space="preserve">Q: How do you monitor and alert on ADF pipeline failures in production?</w:t>
      </w:r>
    </w:p>
    <w:p>
      <w:pPr>
        <w:spacing w:after="120"/>
      </w:pPr>
      <w:r>
        <w:t xml:space="preserve">A: Azure Monitor diagnostic settings stream ADF pipeline/activity run logs to Log Analytics, where alert rules fire on failure or on run duration exceeding SLA. In this platform, PL_Master_Orchestration.json also has an explicit OnFailure_AlertWebhook activity that posts to a Logic App on failure of either the ingestion fan-out or the Gold notebook, giving faster, pipeline-aware alerting than relying purely on generic platform metrics.</w:t>
      </w:r>
    </w:p>
    <w:p>
      <w:pPr>
        <w:spacing w:after="80" w:before="200"/>
      </w:pPr>
      <w:r>
        <w:rPr>
          <w:b/>
          <w:bCs/>
          <w:color w:val="1F4E5F"/>
        </w:rPr>
        <w:t xml:space="preserve">Q: How do ADF and Databricks pass parameters to each other, and what goes wrong if that contract breaks?</w:t>
      </w:r>
    </w:p>
    <w:p>
      <w:pPr>
        <w:spacing w:after="120"/>
      </w:pPr>
      <w:r>
        <w:t xml:space="preserve">A: ADF's DatabricksNotebook activity sets baseParameters, which the notebook reads via dbutils.widgets.get(). The failure mode I've specifically guarded against here is a silent typo — if a pipeline passes ingest_date but the notebook reads ingestDate, ADF reports success while the notebook silently uses a default/empty value. cicd/scripts/validate_notebook_contracts.py runs in CI and cross-checks every DatabricksNotebook activity's baseParameters against the widgets each target notebook actually reads, failing the build if they diverge.</w:t>
      </w:r>
    </w:p>
    <w:p>
      <w:pPr>
        <w:spacing w:after="80" w:before="200"/>
      </w:pPr>
      <w:r>
        <w:rPr>
          <w:b/>
          <w:bCs/>
          <w:color w:val="1F4E5F"/>
        </w:rPr>
        <w:t xml:space="preserve">Q: When would you use an event-based trigger instead of a schedule trigger?</w:t>
      </w:r>
    </w:p>
    <w:p>
      <w:pPr>
        <w:spacing w:after="120"/>
      </w:pPr>
      <w:r>
        <w:t xml:space="preserve">A: When latency matters more than batch efficiency. The daily 03:00 UTC schedule trigger covers the bulk telemetry sources where next-day availability is fine. install_license_events additionally has a BlobCreated event trigger, because license/activation data feeds a funnel that product and finance teams want closer to real-time — waiting for the next scheduled run would introduce unnecessary lag for a comparatively low-volume feed.</w:t>
      </w:r>
    </w:p>
    <w:p>
      <w:pPr>
        <w:pStyle w:val="Heading1"/>
      </w:pPr>
      <w:r>
        <w:t xml:space="preserve">4. SQL, Data Warehousing &amp; Dimensional Modeling</w:t>
      </w:r>
    </w:p>
    <w:p>
      <w:pPr>
        <w:spacing w:after="80" w:before="200"/>
      </w:pPr>
      <w:r>
        <w:rPr>
          <w:b/>
          <w:bCs/>
          <w:color w:val="1F4E5F"/>
        </w:rPr>
        <w:t xml:space="preserve">Q: How would you model the Gold layer for BI consumption — star schema, wide denormalized tables, or something else?</w:t>
      </w:r>
    </w:p>
    <w:p>
      <w:pPr>
        <w:spacing w:after="120"/>
      </w:pPr>
      <w:r>
        <w:t xml:space="preserve">A: For this platform, Gold tables are pre-aggregated, purpose-built marts (dau_mau_daily, session_quality_by_device, license_funnel_daily) rather than a fully normalized star schema, because the consumption pattern is a small number of known dashboards, not ad hoc slice-and-dice. Silver, by contrast, keeps a conformed dimension (dim_device) that multiple Gold marts join against, which is the dimensional-modeling discipline that keeps device_tier/gpu_family classification consistent across every downstream metric instead of being redefined per report.</w:t>
      </w:r>
    </w:p>
    <w:p>
      <w:pPr>
        <w:spacing w:after="80" w:before="200"/>
      </w:pPr>
      <w:r>
        <w:rPr>
          <w:b/>
          <w:bCs/>
          <w:color w:val="1F4E5F"/>
        </w:rPr>
        <w:t xml:space="preserve">Q: How do you handle slowly changing dimensions in a Delta Lake pipeline?</w:t>
      </w:r>
    </w:p>
    <w:p>
      <w:pPr>
        <w:spacing w:after="120"/>
      </w:pPr>
      <w:r>
        <w:t xml:space="preserve">A: dim_device is treated as SCD Type 1 (overwrite in place) via MERGE, since for this use case we only care about a device's current tier/GPU classification, not its history. If a use case needed history — say, tracking a customer's plan-tier changes over time for churn analysis — I'd move to SCD Type 2 with effective-dated rows, which Delta Lake supports cleanly via a MERGE that closes out the old row's end-date and inserts a new current row in the same transaction.</w:t>
      </w:r>
    </w:p>
    <w:p>
      <w:pPr>
        <w:spacing w:after="80" w:before="200"/>
      </w:pPr>
      <w:r>
        <w:rPr>
          <w:b/>
          <w:bCs/>
          <w:color w:val="1F4E5F"/>
        </w:rPr>
        <w:t xml:space="preserve">Q: What SQL/PL-SQL skills carry over from working with the legacy Oracle/Informatica estate?</w:t>
      </w:r>
    </w:p>
    <w:p>
      <w:pPr>
        <w:spacing w:after="120"/>
      </w:pPr>
      <w:r>
        <w:t xml:space="preserve">A: Query tuning intuition — explain plans, index usage, avoiding correlated subqueries — transfers directly to writing efficient Spark SQL, even though the execution engine is completely different. More concretely in this platform, the incremental extract logic in the legacy wf_CRM_Customer_Extract workflow (LAST_UPDATED_DT &gt;= $$LAST_RUN_DATE) is the same incremental-load pattern reused in the ADF Copy activity that lands a parallel copy of that same Oracle table into Delta Lake.</w:t>
      </w:r>
    </w:p>
    <w:p>
      <w:pPr>
        <w:pStyle w:val="Heading1"/>
      </w:pPr>
      <w:r>
        <w:t xml:space="preserve">5. CI/CD, Git &amp; DevOps</w:t>
      </w:r>
    </w:p>
    <w:p>
      <w:pPr>
        <w:spacing w:after="80" w:before="200"/>
      </w:pPr>
      <w:r>
        <w:rPr>
          <w:b/>
          <w:bCs/>
          <w:color w:val="1F4E5F"/>
        </w:rPr>
        <w:t xml:space="preserve">Q: What does your CI/CD pipeline actually check before code reaches production?</w:t>
      </w:r>
    </w:p>
    <w:p>
      <w:pPr>
        <w:spacing w:after="120"/>
      </w:pPr>
      <w:r>
        <w:t xml:space="preserve">A: Three gates in ci-databricks.yml on every PR: flake8/black for style consistency, pytest against a local SparkSession for transformation logic correctness, and the custom notebook/pipeline contract validator. Only after all three pass does cd-deploy.yml, triggered on merge to main, sync notebooks into the production Databricks Repos path and deploy the ADF ARM template, followed by a scoped smoke-test pipeline run before the deploy is considered complete.</w:t>
      </w:r>
    </w:p>
    <w:p>
      <w:pPr>
        <w:spacing w:after="80" w:before="200"/>
      </w:pPr>
      <w:r>
        <w:rPr>
          <w:b/>
          <w:bCs/>
          <w:color w:val="1F4E5F"/>
        </w:rPr>
        <w:t xml:space="preserve">Q: How do you promote changes across dev/QA/prod environments safely for ADF specifically?</w:t>
      </w:r>
    </w:p>
    <w:p>
      <w:pPr>
        <w:spacing w:after="120"/>
      </w:pPr>
      <w:r>
        <w:t xml:space="preserve">A: ADF's Git integration publishes an ARM template (ARMTemplateForFactory.json) with environment-specific parameter files. The same template is deployed to each environment via azure/arm-deploy in the pipeline, with only the parameters file changing (linked service endpoints, Key Vault references) — this avoids hand-editing pipelines differently per environment, which is how environment drift and 'works in QA, breaks in prod' bugs happen.</w:t>
      </w:r>
    </w:p>
    <w:p>
      <w:pPr>
        <w:spacing w:after="80" w:before="200"/>
      </w:pPr>
      <w:r>
        <w:rPr>
          <w:b/>
          <w:bCs/>
          <w:color w:val="1F4E5F"/>
        </w:rPr>
        <w:t xml:space="preserve">Q: How do you estimate effort for a new ETL feature, accounting for complexity and risk?</w:t>
      </w:r>
    </w:p>
    <w:p>
      <w:pPr>
        <w:spacing w:after="120"/>
      </w:pPr>
      <w:r>
        <w:t xml:space="preserve">A: I break it into ingestion (new source = mostly config if it fits the existing parameterized pattern, more if it needs a new format/connector), transformation complexity (a simple pass-through cleanse is hours; a new enrichment join or SCD Type 2 dimension is days), and risk multipliers — touching a legacy Informatica-fed table or a widely-consumed Gold mart adds validation and stakeholder sign-off time that a net-new isolated pipeline wouldn't need. I'd also flag unknowns explicitly (e.g., 'source data quality unverified') as a range rather than a single number, and revise the estimate after a short discovery spike if the unknowns are large.</w:t>
      </w:r>
    </w:p>
    <w:p>
      <w:pPr>
        <w:pStyle w:val="Heading1"/>
      </w:pPr>
      <w:r>
        <w:t xml:space="preserve">6. Data Governance, Security &amp; Compliance</w:t>
      </w:r>
    </w:p>
    <w:p>
      <w:pPr>
        <w:spacing w:after="80" w:before="200"/>
      </w:pPr>
      <w:r>
        <w:rPr>
          <w:b/>
          <w:bCs/>
          <w:color w:val="1F4E5F"/>
        </w:rPr>
        <w:t xml:space="preserve">Q: Where do secrets live in this architecture, and how are they rotated?</w:t>
      </w:r>
    </w:p>
    <w:p>
      <w:pPr>
        <w:spacing w:after="120"/>
      </w:pPr>
      <w:r>
        <w:t xml:space="preserve">A: Nowhere in code or pipeline JSON — every credential (storage keys, Databricks PAT, Oracle password) lives in Azure Key Vault. ADF linked services reference secrets via AzureKeyVaultSecret pointers; Databricks notebooks pull them through a Key Vault-backed secret scope (dbutils.secrets.get). Rotation is on a 90-day cycle, and every rotation event is written to the audit log table so there's a compliance-ready record of when credentials changed.</w:t>
      </w:r>
    </w:p>
    <w:p>
      <w:pPr>
        <w:spacing w:after="80" w:before="200"/>
      </w:pPr>
      <w:r>
        <w:rPr>
          <w:b/>
          <w:bCs/>
          <w:color w:val="1F4E5F"/>
        </w:rPr>
        <w:t xml:space="preserve">Q: How do you enforce least-privilege access across bronze/silver/gold?</w:t>
      </w:r>
    </w:p>
    <w:p>
      <w:pPr>
        <w:spacing w:after="120"/>
      </w:pPr>
      <w:r>
        <w:t xml:space="preserve">A: Access is granted to Azure AD groups, not individuals — bsi-data-engineers get read/write on Bronze and Silver, bsi-analysts get SELECT-only on Gold. This means an analyst can never see raw, unmasked Bronze telemetry, and any query on Gold marts is inherently working with already-curated, PII-conscious data.</w:t>
      </w:r>
    </w:p>
    <w:p>
      <w:pPr>
        <w:spacing w:after="80" w:before="200"/>
      </w:pPr>
      <w:r>
        <w:rPr>
          <w:b/>
          <w:bCs/>
          <w:color w:val="1F4E5F"/>
        </w:rPr>
        <w:t xml:space="preserve">Q: What's your incident process if a data quality issue reaches a production dashboard?</w:t>
      </w:r>
    </w:p>
    <w:p>
      <w:pPr>
        <w:spacing w:after="120"/>
      </w:pPr>
      <w:r>
        <w:t xml:space="preserve">A: First contain — identify the affected table and version range via DESCRIBE HISTORY, and if needed RESTORE or pin the Gold table to the last known-good version while root cause is investigated. Then diagnose using the audit_log and pipeline_run_metrics tables to find which run introduced it and what quarantine ratio it saw at the time (data_quality_rules.yaml already alerts if quarantine exceeds 2%, so a well-tuned pipeline should have caught it before Gold). Finally, fix forward with a regression test added to notebooks/tests so the same defect class can't silently recur.</w:t>
      </w:r>
    </w:p>
    <w:p>
      <w:pPr>
        <w:pStyle w:val="Heading1"/>
      </w:pPr>
      <w:r>
        <w:t xml:space="preserve">7. Legacy Informatica PowerCenter</w:t>
      </w:r>
    </w:p>
    <w:p>
      <w:pPr>
        <w:spacing w:after="80" w:before="200"/>
      </w:pPr>
      <w:r>
        <w:rPr>
          <w:b/>
          <w:bCs/>
          <w:color w:val="1F4E5F"/>
        </w:rPr>
        <w:t xml:space="preserve">Q: The JD asks you to both maintain a legacy Informatica workflow and build the new Databricks platform. How do you approach that without one starving the other?</w:t>
      </w:r>
    </w:p>
    <w:p>
      <w:pPr>
        <w:spacing w:after="120"/>
      </w:pPr>
      <w:r>
        <w:t xml:space="preserve">A: I wouldn't try to migrate everything at once — that's how legacy systems end up half-migrated and doubly fragile. The approach in this platform is coexistence: wf_CRM_Customer_Extract keeps running unchanged for its existing DW/BI consumers, while a new ADF pipeline reads the same Oracle source in parallel and lands a copy into Delta Lake for new analytics use cases. Only once the Delta-based mart has been validated against the legacy output for multiple reporting cycles does decommissioning the PowerCenter workflow become a low-risk, deliberate step rather than a risky cutover.</w:t>
      </w:r>
    </w:p>
    <w:p>
      <w:pPr>
        <w:spacing w:after="80" w:before="200"/>
      </w:pPr>
      <w:r>
        <w:rPr>
          <w:b/>
          <w:bCs/>
          <w:color w:val="1F4E5F"/>
        </w:rPr>
        <w:t xml:space="preserve">Q: A PowerCenter session has started failing intermittently in production. How do you troubleshoot it?</w:t>
      </w:r>
    </w:p>
    <w:p>
      <w:pPr>
        <w:spacing w:after="120"/>
      </w:pPr>
      <w:r>
        <w:t xml:space="preserve">A: Check the session log first for the specific error (connection, transformation, or target load failure). Cross-check against known patterns — in this platform's runbook, connection pool exhaustion during month-end close and a stale $$LAST_RUN_DATE parameter file are two recurring root causes, each with a specific fix (staggered scheduling; parameter file regenerated by a pre-session command task instead of manual maintenance). Use the session recovery option to replay from the last checkpoint rather than a full reload, and verify source-vs-target row counts via the repository MX views before declaring it resolved.</w:t>
      </w:r>
    </w:p>
    <w:p>
      <w:pPr>
        <w:pStyle w:val="Heading1"/>
      </w:pPr>
      <w:r>
        <w:t xml:space="preserve">8. Behavioral / Collaboration</w:t>
      </w:r>
    </w:p>
    <w:p>
      <w:pPr>
        <w:spacing w:after="80" w:before="200"/>
      </w:pPr>
      <w:r>
        <w:rPr>
          <w:b/>
          <w:bCs/>
          <w:color w:val="1F4E5F"/>
        </w:rPr>
        <w:t xml:space="preserve">Q: How do you work with analysts and business teams who aren't going to read your notebook code?</w:t>
      </w:r>
    </w:p>
    <w:p>
      <w:pPr>
        <w:spacing w:after="120"/>
      </w:pPr>
      <w:r>
        <w:t xml:space="preserve">A: Documentation and a stable, well-named contract matter more than the implementation. Gold tables have clear, business-meaningful names and columns (dau_mau_daily, crash_rate), and technical design docs (like the architecture reference for this platform) explain what each mart represents in plain language. When a metric definition is ambiguous — e.g., what counts as an 'active user' — I'd rather over-communicate and confirm the definition with the business stakeholder up front than ship a metric that quietly doesn't match what they expected.</w:t>
      </w:r>
    </w:p>
    <w:p>
      <w:pPr>
        <w:spacing w:after="80" w:before="200"/>
      </w:pPr>
      <w:r>
        <w:rPr>
          <w:b/>
          <w:bCs/>
          <w:color w:val="1F4E5F"/>
        </w:rPr>
        <w:t xml:space="preserve">Q: Describe a time you had to balance operational reliability of an existing system against modernizing it.</w:t>
      </w:r>
    </w:p>
    <w:p>
      <w:pPr>
        <w:spacing w:after="120"/>
      </w:pPr>
      <w:r>
        <w:t xml:space="preserve">A: This is exactly the tension the JD calls out explicitly, and the way I'd frame it from this reference project: the legacy Informatica CRM feed can't be touched carelessly because real downstream reporting depends on it today, but the business also needs the new Delta Lake platform to move forward. The resolution isn't picking one over the other — it's the phased coexistence plan, where the new platform is built and validated alongside the legacy system with zero disruption, and the legacy system is only retired once its replacement has proven itself, not before.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Interview Prep — Associate Application Developer (Data/ETL)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5F"/>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2026-07-06T13:26:01.109Z</dcterms:created>
  <dcterms:modified xsi:type="dcterms:W3CDTF">2026-07-06T13:26:01.110Z</dcterms:modified>
</cp:coreProperties>
</file>

<file path=docProps/custom.xml><?xml version="1.0" encoding="utf-8"?>
<Properties xmlns="http://schemas.openxmlformats.org/officeDocument/2006/custom-properties" xmlns:vt="http://schemas.openxmlformats.org/officeDocument/2006/docPropsVTypes"/>
</file>