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1E2D50" w14:textId="1D512154" w:rsidR="00816C4D" w:rsidRDefault="00FC4DCC">
      <w:pPr>
        <w:rPr>
          <w:lang w:val="en-US"/>
        </w:rPr>
      </w:pPr>
      <w:r>
        <w:rPr>
          <w:lang w:val="en-US"/>
        </w:rPr>
        <w:t>Methodology</w:t>
      </w:r>
    </w:p>
    <w:p w14:paraId="3DC6CA41" w14:textId="77777777" w:rsidR="00FC4DCC" w:rsidRDefault="00FC4DCC">
      <w:pPr>
        <w:rPr>
          <w:lang w:val="en-US"/>
        </w:rPr>
      </w:pPr>
    </w:p>
    <w:p w14:paraId="4874D77C" w14:textId="2A7177D0" w:rsidR="00FC4DCC" w:rsidRDefault="00072868" w:rsidP="00FC4DCC">
      <w:pPr>
        <w:pStyle w:val="ListParagraph"/>
        <w:numPr>
          <w:ilvl w:val="0"/>
          <w:numId w:val="1"/>
        </w:numPr>
        <w:rPr>
          <w:lang w:val="en-US"/>
        </w:rPr>
      </w:pPr>
      <w:r>
        <w:rPr>
          <w:lang w:val="en-US"/>
        </w:rPr>
        <w:t>Dataset</w:t>
      </w:r>
    </w:p>
    <w:p w14:paraId="549AEF06" w14:textId="369D77DF" w:rsidR="00072868" w:rsidRDefault="00072868" w:rsidP="00072868">
      <w:pPr>
        <w:pStyle w:val="ListParagraph"/>
        <w:rPr>
          <w:lang w:val="en-US"/>
        </w:rPr>
      </w:pPr>
      <w:r w:rsidRPr="00072868">
        <w:rPr>
          <w:lang w:val="en-US"/>
        </w:rPr>
        <w:t xml:space="preserve">The dataset used in this research consists of the closing prices of 3 stock indices of India namely SENSEX, NIFTY50 and NIFTY Consumption </w:t>
      </w:r>
      <w:r w:rsidRPr="00072868">
        <w:rPr>
          <w:lang w:val="en-US"/>
        </w:rPr>
        <w:t>every day</w:t>
      </w:r>
      <w:r w:rsidRPr="00072868">
        <w:rPr>
          <w:lang w:val="en-US"/>
        </w:rPr>
        <w:t xml:space="preserve"> from 01-01-2014 to 31-12-2023 (10 years). SENSEX is a free-float market capitalization consisting of 30 most traded and relatively liquid stocks which contribute towards the balance of the country’s equity market. NIFTY50 on the other hand is a benchmark index of 50 companies. NIFTY Consumption reflects the performance of companies in the domestic consumption sector.  The data for SENSEX and NIFTY50 is taken from MarketWatch and NIFTY Consumption is taken from Yahoo Finance. </w:t>
      </w:r>
    </w:p>
    <w:p w14:paraId="76D6490F" w14:textId="77777777" w:rsidR="00175599" w:rsidRDefault="00175599" w:rsidP="00175599">
      <w:pPr>
        <w:pStyle w:val="ListParagraph"/>
        <w:rPr>
          <w:lang w:val="en-US"/>
        </w:rPr>
      </w:pPr>
    </w:p>
    <w:p w14:paraId="43470EBD" w14:textId="0CB0D489" w:rsidR="00072868" w:rsidRDefault="00175599" w:rsidP="00072868">
      <w:pPr>
        <w:pStyle w:val="ListParagraph"/>
        <w:numPr>
          <w:ilvl w:val="0"/>
          <w:numId w:val="1"/>
        </w:numPr>
        <w:rPr>
          <w:lang w:val="en-US"/>
        </w:rPr>
      </w:pPr>
      <w:r>
        <w:rPr>
          <w:lang w:val="en-US"/>
        </w:rPr>
        <w:t>Creation of graph</w:t>
      </w:r>
    </w:p>
    <w:p w14:paraId="60537C9C" w14:textId="57CD93CF" w:rsidR="00175599" w:rsidRDefault="00175599" w:rsidP="00175599">
      <w:pPr>
        <w:ind w:left="720"/>
        <w:rPr>
          <w:lang w:val="en-US"/>
        </w:rPr>
      </w:pPr>
      <w:r>
        <w:rPr>
          <w:lang w:val="en-US"/>
        </w:rPr>
        <w:t xml:space="preserve">The </w:t>
      </w:r>
      <w:r w:rsidR="00791751">
        <w:rPr>
          <w:lang w:val="en-US"/>
        </w:rPr>
        <w:t xml:space="preserve">graph is constructed using the study of Cao, Lin et. al. </w:t>
      </w:r>
      <w:r w:rsidR="00014DF2">
        <w:rPr>
          <w:lang w:val="en-US"/>
        </w:rPr>
        <w:t xml:space="preserve">who uses </w:t>
      </w:r>
      <w:r w:rsidR="00A42453">
        <w:rPr>
          <w:lang w:val="en-US"/>
        </w:rPr>
        <w:t>N</w:t>
      </w:r>
      <w:r w:rsidR="00014DF2">
        <w:rPr>
          <w:lang w:val="en-US"/>
        </w:rPr>
        <w:t>-day volatility</w:t>
      </w:r>
      <w:r w:rsidR="00690A77">
        <w:rPr>
          <w:lang w:val="en-US"/>
        </w:rPr>
        <w:t xml:space="preserve"> V,</w:t>
      </w:r>
      <w:r w:rsidR="00014DF2">
        <w:rPr>
          <w:lang w:val="en-US"/>
        </w:rPr>
        <w:t xml:space="preserve"> and </w:t>
      </w:r>
      <w:r w:rsidR="00A42453">
        <w:rPr>
          <w:lang w:val="en-US"/>
        </w:rPr>
        <w:t>N</w:t>
      </w:r>
      <w:r w:rsidR="00014DF2">
        <w:rPr>
          <w:lang w:val="en-US"/>
        </w:rPr>
        <w:t>-day return</w:t>
      </w:r>
      <w:r w:rsidR="00690A77">
        <w:rPr>
          <w:lang w:val="en-US"/>
        </w:rPr>
        <w:t xml:space="preserve"> R</w:t>
      </w:r>
      <w:r w:rsidR="00014DF2">
        <w:rPr>
          <w:lang w:val="en-US"/>
        </w:rPr>
        <w:t xml:space="preserve"> in order to divide the movement of stock index in 4 separate variations. </w:t>
      </w:r>
    </w:p>
    <w:p w14:paraId="6CF30417" w14:textId="77777777" w:rsidR="00690A77" w:rsidRDefault="00690A77" w:rsidP="00175599">
      <w:pPr>
        <w:ind w:left="720"/>
        <w:rPr>
          <w:lang w:val="en-US"/>
        </w:rPr>
      </w:pPr>
    </w:p>
    <w:p w14:paraId="4F5CE9A1" w14:textId="087E49F0" w:rsidR="00690A77" w:rsidRPr="00A42453" w:rsidRDefault="00690A77" w:rsidP="00175599">
      <w:pPr>
        <w:ind w:left="720"/>
        <w:rPr>
          <w:lang w:val="en-US"/>
        </w:rPr>
      </w:pPr>
      <m:oMathPara>
        <m:oMath>
          <m:r>
            <w:rPr>
              <w:rFonts w:ascii="Cambria Math" w:hAnsi="Cambria Math"/>
              <w:lang w:val="en-US"/>
            </w:rPr>
            <m:t>R=ln</m:t>
          </m:r>
          <m:f>
            <m:fPr>
              <m:ctrlPr>
                <w:rPr>
                  <w:rFonts w:ascii="Cambria Math" w:hAnsi="Cambria Math"/>
                  <w:i/>
                  <w:lang w:val="en-US"/>
                </w:rPr>
              </m:ctrlPr>
            </m:fPr>
            <m:num>
              <m:r>
                <w:rPr>
                  <w:rFonts w:ascii="Cambria Math" w:hAnsi="Cambria Math"/>
                  <w:lang w:val="en-US"/>
                </w:rPr>
                <m:t>Close(t)</m:t>
              </m:r>
            </m:num>
            <m:den>
              <m:r>
                <w:rPr>
                  <w:rFonts w:ascii="Cambria Math" w:hAnsi="Cambria Math"/>
                  <w:lang w:val="en-US"/>
                </w:rPr>
                <m:t>Close(t-N)</m:t>
              </m:r>
            </m:den>
          </m:f>
        </m:oMath>
      </m:oMathPara>
    </w:p>
    <w:p w14:paraId="4F97CBD7" w14:textId="0CC07CC5" w:rsidR="00B140AA" w:rsidRDefault="00A42453" w:rsidP="00072868">
      <w:pPr>
        <w:pStyle w:val="ListParagraph"/>
        <w:rPr>
          <w:lang w:val="en-US"/>
        </w:rPr>
      </w:pPr>
      <w:r>
        <w:rPr>
          <w:lang w:val="en-US"/>
        </w:rPr>
        <w:t xml:space="preserve">Here, </w:t>
      </w:r>
      <w:r w:rsidRPr="00B140AA">
        <w:rPr>
          <w:i/>
          <w:iCs/>
          <w:lang w:val="en-US"/>
        </w:rPr>
        <w:t>t</w:t>
      </w:r>
      <w:r>
        <w:rPr>
          <w:lang w:val="en-US"/>
        </w:rPr>
        <w:t xml:space="preserve"> refers to the current day in consideration and N refers to </w:t>
      </w:r>
      <w:r w:rsidR="0078434F">
        <w:rPr>
          <w:lang w:val="en-US"/>
        </w:rPr>
        <w:t>the number of continuous trading days (generally a week if there is no national holiday)</w:t>
      </w:r>
      <w:r w:rsidR="00B140AA">
        <w:rPr>
          <w:lang w:val="en-US"/>
        </w:rPr>
        <w:t xml:space="preserve"> and Close(t) refers to the closing price of the stock index on </w:t>
      </w:r>
      <w:proofErr w:type="spellStart"/>
      <w:r w:rsidR="00B140AA" w:rsidRPr="00B140AA">
        <w:rPr>
          <w:i/>
          <w:iCs/>
          <w:lang w:val="en-US"/>
        </w:rPr>
        <w:t>t</w:t>
      </w:r>
      <w:r w:rsidR="00B140AA" w:rsidRPr="00B140AA">
        <w:rPr>
          <w:i/>
          <w:iCs/>
          <w:vertAlign w:val="superscript"/>
          <w:lang w:val="en-US"/>
        </w:rPr>
        <w:t>th</w:t>
      </w:r>
      <w:proofErr w:type="spellEnd"/>
      <w:r w:rsidR="00B140AA" w:rsidRPr="00B140AA">
        <w:rPr>
          <w:i/>
          <w:iCs/>
          <w:lang w:val="en-US"/>
        </w:rPr>
        <w:t xml:space="preserve"> </w:t>
      </w:r>
      <w:r w:rsidR="00B140AA">
        <w:rPr>
          <w:lang w:val="en-US"/>
        </w:rPr>
        <w:t>day</w:t>
      </w:r>
      <w:r w:rsidR="0078434F">
        <w:rPr>
          <w:lang w:val="en-US"/>
        </w:rPr>
        <w:t xml:space="preserve">. </w:t>
      </w:r>
      <w:r w:rsidR="00B140AA">
        <w:rPr>
          <w:lang w:val="en-US"/>
        </w:rPr>
        <w:t xml:space="preserve">In order to find out V, we need to find one-day return which is r which is given by </w:t>
      </w:r>
    </w:p>
    <w:p w14:paraId="5ED07354" w14:textId="77777777" w:rsidR="00B140AA" w:rsidRDefault="00B140AA" w:rsidP="00072868">
      <w:pPr>
        <w:pStyle w:val="ListParagraph"/>
        <w:rPr>
          <w:lang w:val="en-US"/>
        </w:rPr>
      </w:pPr>
    </w:p>
    <w:p w14:paraId="1AEB6C00" w14:textId="479E52FD" w:rsidR="00072868" w:rsidRPr="00B140AA" w:rsidRDefault="00B140AA" w:rsidP="00B140AA">
      <w:pPr>
        <w:pStyle w:val="ListParagraph"/>
        <w:jc w:val="center"/>
        <w:rPr>
          <w:rFonts w:eastAsiaTheme="minorEastAsia"/>
          <w:lang w:val="en-US"/>
        </w:rPr>
      </w:pPr>
      <m:oMathPara>
        <m:oMath>
          <m:r>
            <w:rPr>
              <w:rFonts w:ascii="Cambria Math" w:hAnsi="Cambria Math"/>
              <w:lang w:val="en-US"/>
            </w:rPr>
            <m:t>r=ln</m:t>
          </m:r>
          <m:f>
            <m:fPr>
              <m:ctrlPr>
                <w:rPr>
                  <w:rFonts w:ascii="Cambria Math" w:hAnsi="Cambria Math"/>
                  <w:i/>
                  <w:lang w:val="en-US"/>
                </w:rPr>
              </m:ctrlPr>
            </m:fPr>
            <m:num>
              <m:r>
                <w:rPr>
                  <w:rFonts w:ascii="Cambria Math" w:hAnsi="Cambria Math"/>
                  <w:lang w:val="en-US"/>
                </w:rPr>
                <m:t>Close(t)</m:t>
              </m:r>
            </m:num>
            <m:den>
              <m:r>
                <w:rPr>
                  <w:rFonts w:ascii="Cambria Math" w:hAnsi="Cambria Math"/>
                  <w:lang w:val="en-US"/>
                </w:rPr>
                <m:t>Close(t-1)</m:t>
              </m:r>
            </m:den>
          </m:f>
        </m:oMath>
      </m:oMathPara>
    </w:p>
    <w:p w14:paraId="6EE1DFE8" w14:textId="77777777" w:rsidR="00FF6FFC" w:rsidRDefault="00FF6FFC" w:rsidP="00B140AA">
      <w:pPr>
        <w:pStyle w:val="ListParagraph"/>
        <w:rPr>
          <w:lang w:val="en-US"/>
        </w:rPr>
      </w:pPr>
    </w:p>
    <w:p w14:paraId="1FA76954" w14:textId="634862A3" w:rsidR="00B140AA" w:rsidRDefault="00B140AA" w:rsidP="00B140AA">
      <w:pPr>
        <w:pStyle w:val="ListParagraph"/>
        <w:rPr>
          <w:lang w:val="en-US"/>
        </w:rPr>
      </w:pPr>
      <w:r>
        <w:rPr>
          <w:lang w:val="en-US"/>
        </w:rPr>
        <w:t xml:space="preserve">After calculating r, we can calculate V for N days </w:t>
      </w:r>
      <w:r w:rsidR="005B16F3">
        <w:rPr>
          <w:lang w:val="en-US"/>
        </w:rPr>
        <w:t xml:space="preserve">is given by </w:t>
      </w:r>
    </w:p>
    <w:p w14:paraId="04AB6CBC" w14:textId="77777777" w:rsidR="005B16F3" w:rsidRDefault="005B16F3" w:rsidP="00B140AA">
      <w:pPr>
        <w:pStyle w:val="ListParagraph"/>
        <w:rPr>
          <w:lang w:val="en-US"/>
        </w:rPr>
      </w:pPr>
    </w:p>
    <w:p w14:paraId="54CAEB1F" w14:textId="707A673D" w:rsidR="005B16F3" w:rsidRPr="00DB3F40" w:rsidRDefault="005B16F3" w:rsidP="004C30E3">
      <w:pPr>
        <w:pStyle w:val="ListParagraph"/>
        <w:jc w:val="center"/>
        <w:rPr>
          <w:rFonts w:eastAsiaTheme="minorEastAsia"/>
          <w:lang w:val="en-US"/>
        </w:rPr>
      </w:pPr>
      <m:oMathPara>
        <m:oMath>
          <m:r>
            <w:rPr>
              <w:rFonts w:ascii="Cambria Math" w:hAnsi="Cambria Math"/>
              <w:lang w:val="en-US"/>
            </w:rPr>
            <m:t>V=</m:t>
          </m:r>
          <m:r>
            <w:rPr>
              <w:rFonts w:ascii="Cambria Math" w:hAnsi="Cambria Math"/>
              <w:lang w:val="en-US"/>
            </w:rPr>
            <m:t>std</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2, …</m:t>
                  </m:r>
                </m:sub>
              </m:sSub>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N</m:t>
                  </m:r>
                </m:sub>
              </m:sSub>
            </m:e>
          </m:d>
          <m:r>
            <w:rPr>
              <w:rFonts w:ascii="Cambria Math" w:hAnsi="Cambria Math"/>
              <w:lang w:val="en-US"/>
            </w:rPr>
            <m:t xml:space="preserve">* </m:t>
          </m:r>
          <m:rad>
            <m:radPr>
              <m:degHide m:val="1"/>
              <m:ctrlPr>
                <w:rPr>
                  <w:rFonts w:ascii="Cambria Math" w:hAnsi="Cambria Math"/>
                  <w:i/>
                  <w:lang w:val="en-US"/>
                </w:rPr>
              </m:ctrlPr>
            </m:radPr>
            <m:deg/>
            <m:e>
              <m:r>
                <w:rPr>
                  <w:rFonts w:ascii="Cambria Math" w:hAnsi="Cambria Math"/>
                  <w:lang w:val="en-US"/>
                </w:rPr>
                <m:t>N</m:t>
              </m:r>
            </m:e>
          </m:rad>
        </m:oMath>
      </m:oMathPara>
    </w:p>
    <w:p w14:paraId="3E01216D" w14:textId="77777777" w:rsidR="00DB3F40" w:rsidRDefault="00DB3F40" w:rsidP="00DB3F40">
      <w:pPr>
        <w:pStyle w:val="ListParagraph"/>
        <w:rPr>
          <w:rFonts w:eastAsiaTheme="minorEastAsia"/>
          <w:lang w:val="en-US"/>
        </w:rPr>
      </w:pPr>
    </w:p>
    <w:p w14:paraId="0BDCC43B" w14:textId="03A52EA2" w:rsidR="00DB3F40" w:rsidRDefault="00DB3F40" w:rsidP="00DB3F40">
      <w:pPr>
        <w:pStyle w:val="ListParagraph"/>
        <w:rPr>
          <w:rFonts w:eastAsiaTheme="minorEastAsia"/>
          <w:lang w:val="en-US"/>
        </w:rPr>
      </w:pPr>
      <w:r>
        <w:rPr>
          <w:rFonts w:eastAsiaTheme="minorEastAsia"/>
          <w:lang w:val="en-US"/>
        </w:rPr>
        <w:t xml:space="preserve">Where </w:t>
      </w:r>
      <m:oMath>
        <m:r>
          <w:rPr>
            <w:rFonts w:ascii="Cambria Math" w:hAnsi="Cambria Math"/>
            <w:lang w:val="en-US"/>
          </w:rPr>
          <m:t>std</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2, …</m:t>
                </m:r>
              </m:sub>
            </m:sSub>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N</m:t>
                </m:r>
              </m:sub>
            </m:sSub>
          </m:e>
        </m:d>
      </m:oMath>
      <w:r>
        <w:rPr>
          <w:rFonts w:eastAsiaTheme="minorEastAsia"/>
          <w:lang w:val="en-US"/>
        </w:rPr>
        <w:t xml:space="preserve"> refers to the standard deviation </w:t>
      </w:r>
      <w:r w:rsidR="000B359A">
        <w:rPr>
          <w:rFonts w:eastAsiaTheme="minorEastAsia"/>
          <w:lang w:val="en-US"/>
        </w:rPr>
        <w:t xml:space="preserve">of </w:t>
      </w:r>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2, …</m:t>
            </m:r>
          </m:sub>
        </m:sSub>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N</m:t>
            </m:r>
          </m:sub>
        </m:sSub>
        <m:r>
          <w:rPr>
            <w:rFonts w:ascii="Cambria Math" w:hAnsi="Cambria Math"/>
            <w:lang w:val="en-US"/>
          </w:rPr>
          <m:t>.</m:t>
        </m:r>
      </m:oMath>
    </w:p>
    <w:p w14:paraId="7491ECA2" w14:textId="77777777" w:rsidR="002907B4" w:rsidRDefault="002907B4" w:rsidP="00DB3F40">
      <w:pPr>
        <w:pStyle w:val="ListParagraph"/>
        <w:rPr>
          <w:rFonts w:eastAsiaTheme="minorEastAsia"/>
          <w:lang w:val="en-US"/>
        </w:rPr>
      </w:pPr>
    </w:p>
    <w:p w14:paraId="52460C0C" w14:textId="677958E4" w:rsidR="002907B4" w:rsidRDefault="002907B4" w:rsidP="00DB3F40">
      <w:pPr>
        <w:pStyle w:val="ListParagraph"/>
        <w:rPr>
          <w:rFonts w:eastAsiaTheme="minorEastAsia"/>
          <w:lang w:val="en-US"/>
        </w:rPr>
      </w:pPr>
      <w:r>
        <w:rPr>
          <w:rFonts w:eastAsiaTheme="minorEastAsia"/>
          <w:lang w:val="en-US"/>
        </w:rPr>
        <w:t xml:space="preserve">We can now calculate the average Volatility of entire stock index </w:t>
      </w:r>
      <w:r w:rsidR="00E35FD3">
        <w:rPr>
          <w:rFonts w:eastAsiaTheme="minorEastAsia"/>
          <w:lang w:val="en-US"/>
        </w:rPr>
        <w:t xml:space="preserve">in question by </w:t>
      </w:r>
      <w:r w:rsidR="00DD7E6E">
        <w:rPr>
          <w:rFonts w:eastAsiaTheme="minorEastAsia"/>
          <w:lang w:val="en-US"/>
        </w:rPr>
        <w:t xml:space="preserve">simply averaging over the entire time series. </w:t>
      </w:r>
    </w:p>
    <w:p w14:paraId="7410A6C5" w14:textId="77777777" w:rsidR="00DD7E6E" w:rsidRDefault="00DD7E6E" w:rsidP="00DB3F40">
      <w:pPr>
        <w:pStyle w:val="ListParagraph"/>
        <w:rPr>
          <w:rFonts w:eastAsiaTheme="minorEastAsia"/>
          <w:lang w:val="en-US"/>
        </w:rPr>
      </w:pPr>
    </w:p>
    <w:p w14:paraId="0E37871C" w14:textId="11F1701F" w:rsidR="00DD7E6E" w:rsidRPr="001D54F1" w:rsidRDefault="001D54F1" w:rsidP="001D54F1">
      <w:pPr>
        <w:pStyle w:val="ListParagraph"/>
        <w:jc w:val="center"/>
        <w:rPr>
          <w:rFonts w:eastAsiaTheme="minorEastAsia"/>
          <w:lang w:val="en-US"/>
        </w:rPr>
      </w:pPr>
      <m:oMathPara>
        <m:oMath>
          <m:sSup>
            <m:sSupPr>
              <m:ctrlPr>
                <w:rPr>
                  <w:rFonts w:ascii="Cambria Math" w:eastAsiaTheme="minorEastAsia" w:hAnsi="Cambria Math"/>
                  <w:i/>
                  <w:lang w:val="en-US"/>
                </w:rPr>
              </m:ctrlPr>
            </m:sSupPr>
            <m:e>
              <m:r>
                <w:rPr>
                  <w:rFonts w:ascii="Cambria Math" w:eastAsiaTheme="minorEastAsia" w:hAnsi="Cambria Math"/>
                  <w:lang w:val="en-US"/>
                </w:rPr>
                <m:t>V</m:t>
              </m:r>
            </m:e>
            <m:sup>
              <m:r>
                <w:rPr>
                  <w:rFonts w:ascii="Cambria Math" w:eastAsiaTheme="minorEastAsia" w:hAnsi="Cambria Math"/>
                  <w:lang w:val="en-US"/>
                </w:rPr>
                <m:t>'</m:t>
              </m:r>
            </m:sup>
          </m:sSup>
          <m:r>
            <w:rPr>
              <w:rFonts w:ascii="Cambria Math" w:eastAsiaTheme="minorEastAsia" w:hAnsi="Cambria Math"/>
              <w:lang w:val="en-US"/>
            </w:rPr>
            <m:t xml:space="preserve">= </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N</m:t>
              </m:r>
            </m:den>
          </m:f>
          <m:nary>
            <m:naryPr>
              <m:chr m:val="∑"/>
              <m:limLoc m:val="undOvr"/>
              <m:subHide m:val="1"/>
              <m:supHide m:val="1"/>
              <m:ctrlPr>
                <w:rPr>
                  <w:rFonts w:ascii="Cambria Math" w:eastAsiaTheme="minorEastAsia" w:hAnsi="Cambria Math"/>
                  <w:i/>
                  <w:lang w:val="en-US"/>
                </w:rPr>
              </m:ctrlPr>
            </m:naryPr>
            <m:sub/>
            <m:sup/>
            <m:e>
              <m:r>
                <w:rPr>
                  <w:rFonts w:ascii="Cambria Math" w:eastAsiaTheme="minorEastAsia" w:hAnsi="Cambria Math"/>
                  <w:lang w:val="en-US"/>
                </w:rPr>
                <m:t>V</m:t>
              </m:r>
            </m:e>
          </m:nary>
        </m:oMath>
      </m:oMathPara>
    </w:p>
    <w:p w14:paraId="60C7618A" w14:textId="77777777" w:rsidR="001D54F1" w:rsidRDefault="001D54F1" w:rsidP="001D54F1">
      <w:pPr>
        <w:pStyle w:val="ListParagraph"/>
        <w:rPr>
          <w:rFonts w:eastAsiaTheme="minorEastAsia"/>
          <w:lang w:val="en-US"/>
        </w:rPr>
      </w:pPr>
    </w:p>
    <w:p w14:paraId="124B31A1" w14:textId="27EE0BEC" w:rsidR="001D54F1" w:rsidRDefault="001D54F1" w:rsidP="001D54F1">
      <w:pPr>
        <w:pStyle w:val="ListParagraph"/>
        <w:rPr>
          <w:rFonts w:eastAsiaTheme="minorEastAsia"/>
          <w:lang w:val="en-US"/>
        </w:rPr>
      </w:pPr>
      <w:r>
        <w:rPr>
          <w:rFonts w:eastAsiaTheme="minorEastAsia"/>
          <w:lang w:val="en-US"/>
        </w:rPr>
        <w:t xml:space="preserve">Now, we can classify </w:t>
      </w:r>
      <w:r w:rsidR="00224EE4">
        <w:rPr>
          <w:rFonts w:eastAsiaTheme="minorEastAsia"/>
          <w:lang w:val="en-US"/>
        </w:rPr>
        <w:t xml:space="preserve">the changes in any stock index on the basis of these parameters in the following way – </w:t>
      </w:r>
    </w:p>
    <w:p w14:paraId="6AC957F1" w14:textId="77777777" w:rsidR="00224EE4" w:rsidRDefault="00224EE4" w:rsidP="001D54F1">
      <w:pPr>
        <w:pStyle w:val="ListParagraph"/>
        <w:rPr>
          <w:rFonts w:eastAsiaTheme="minorEastAsia"/>
          <w:lang w:val="en-US"/>
        </w:rPr>
      </w:pPr>
    </w:p>
    <w:p w14:paraId="6B811480" w14:textId="64A83046" w:rsidR="00224EE4" w:rsidRPr="001C6D93" w:rsidRDefault="0051420C" w:rsidP="001D54F1">
      <w:pPr>
        <w:pStyle w:val="ListParagraph"/>
        <w:rPr>
          <w:rFonts w:eastAsiaTheme="minorEastAsia"/>
          <w:lang w:val="en-US"/>
        </w:rPr>
      </w:pPr>
      <m:oMathPara>
        <m:oMath>
          <m:r>
            <w:rPr>
              <w:rFonts w:ascii="Cambria Math" w:eastAsiaTheme="minorEastAsia" w:hAnsi="Cambria Math"/>
              <w:lang w:val="en-US"/>
            </w:rPr>
            <w:lastRenderedPageBreak/>
            <m:t xml:space="preserve">P= </m:t>
          </m:r>
          <m:d>
            <m:dPr>
              <m:begChr m:val="{"/>
              <m:endChr m:val=""/>
              <m:ctrlPr>
                <w:rPr>
                  <w:rFonts w:ascii="Cambria Math" w:eastAsiaTheme="minorEastAsia" w:hAnsi="Cambria Math"/>
                  <w:i/>
                  <w:lang w:val="en-US"/>
                </w:rPr>
              </m:ctrlPr>
            </m:dPr>
            <m:e>
              <m:r>
                <w:rPr>
                  <w:rFonts w:ascii="Cambria Math" w:eastAsiaTheme="minorEastAsia" w:hAnsi="Cambria Math"/>
                  <w:lang w:val="en-US"/>
                </w:rPr>
                <m:t xml:space="preserve"> </m:t>
              </m:r>
              <m:eqArr>
                <m:eqArrPr>
                  <m:ctrlPr>
                    <w:rPr>
                      <w:rFonts w:ascii="Cambria Math" w:eastAsiaTheme="minorEastAsia" w:hAnsi="Cambria Math"/>
                      <w:i/>
                      <w:lang w:val="en-US"/>
                    </w:rPr>
                  </m:ctrlPr>
                </m:eqArrPr>
                <m:e>
                  <m:r>
                    <w:rPr>
                      <w:rFonts w:ascii="Cambria Math" w:eastAsiaTheme="minorEastAsia" w:hAnsi="Cambria Math"/>
                      <w:lang w:val="en-US"/>
                    </w:rPr>
                    <m:t xml:space="preserve"> P1,  when R ≥0 and V&gt;</m:t>
                  </m:r>
                  <m:sSup>
                    <m:sSupPr>
                      <m:ctrlPr>
                        <w:rPr>
                          <w:rFonts w:ascii="Cambria Math" w:eastAsiaTheme="minorEastAsia" w:hAnsi="Cambria Math"/>
                          <w:i/>
                          <w:lang w:val="en-US"/>
                        </w:rPr>
                      </m:ctrlPr>
                    </m:sSupPr>
                    <m:e>
                      <m:r>
                        <w:rPr>
                          <w:rFonts w:ascii="Cambria Math" w:eastAsiaTheme="minorEastAsia" w:hAnsi="Cambria Math"/>
                          <w:lang w:val="en-US"/>
                        </w:rPr>
                        <m:t>V</m:t>
                      </m:r>
                    </m:e>
                    <m:sup>
                      <m:r>
                        <w:rPr>
                          <w:rFonts w:ascii="Cambria Math" w:eastAsiaTheme="minorEastAsia" w:hAnsi="Cambria Math"/>
                          <w:lang w:val="en-US"/>
                        </w:rPr>
                        <m:t>'</m:t>
                      </m:r>
                    </m:sup>
                  </m:sSup>
                  <m:r>
                    <w:rPr>
                      <w:rFonts w:ascii="Cambria Math" w:eastAsiaTheme="minorEastAsia" w:hAnsi="Cambria Math"/>
                      <w:lang w:val="en-US"/>
                    </w:rPr>
                    <m:t>(sharp rise)</m:t>
                  </m:r>
                </m:e>
                <m:e/>
                <m:e>
                  <m:r>
                    <w:rPr>
                      <w:rFonts w:ascii="Cambria Math" w:eastAsiaTheme="minorEastAsia" w:hAnsi="Cambria Math"/>
                      <w:lang w:val="en-US"/>
                    </w:rPr>
                    <m:t>P2,         when R≥0 and V&gt;</m:t>
                  </m:r>
                  <m:sSup>
                    <m:sSupPr>
                      <m:ctrlPr>
                        <w:rPr>
                          <w:rFonts w:ascii="Cambria Math" w:eastAsiaTheme="minorEastAsia" w:hAnsi="Cambria Math"/>
                          <w:i/>
                          <w:lang w:val="en-US"/>
                        </w:rPr>
                      </m:ctrlPr>
                    </m:sSupPr>
                    <m:e>
                      <m:r>
                        <w:rPr>
                          <w:rFonts w:ascii="Cambria Math" w:eastAsiaTheme="minorEastAsia" w:hAnsi="Cambria Math"/>
                          <w:lang w:val="en-US"/>
                        </w:rPr>
                        <m:t>V</m:t>
                      </m:r>
                    </m:e>
                    <m:sup>
                      <m:r>
                        <w:rPr>
                          <w:rFonts w:ascii="Cambria Math" w:eastAsiaTheme="minorEastAsia" w:hAnsi="Cambria Math"/>
                          <w:lang w:val="en-US"/>
                        </w:rPr>
                        <m:t>'</m:t>
                      </m:r>
                    </m:sup>
                  </m:sSup>
                  <m:r>
                    <w:rPr>
                      <w:rFonts w:ascii="Cambria Math" w:eastAsiaTheme="minorEastAsia" w:hAnsi="Cambria Math"/>
                      <w:lang w:val="en-US"/>
                    </w:rPr>
                    <m:t>(stable rise)</m:t>
                  </m:r>
                  <m:ctrlPr>
                    <w:rPr>
                      <w:rFonts w:ascii="Cambria Math" w:eastAsia="Cambria Math" w:hAnsi="Cambria Math" w:cs="Cambria Math"/>
                      <w:i/>
                      <w:lang w:val="en-US"/>
                    </w:rPr>
                  </m:ctrlPr>
                </m:e>
                <m:e>
                  <m:r>
                    <w:rPr>
                      <w:rFonts w:ascii="Cambria Math" w:eastAsiaTheme="minorEastAsia" w:hAnsi="Cambria Math"/>
                      <w:lang w:val="en-US"/>
                    </w:rPr>
                    <m:t xml:space="preserve"> </m:t>
                  </m:r>
                  <m:ctrlPr>
                    <w:rPr>
                      <w:rFonts w:ascii="Cambria Math" w:eastAsia="Cambria Math" w:hAnsi="Cambria Math" w:cs="Cambria Math"/>
                      <w:i/>
                      <w:lang w:val="en-US"/>
                    </w:rPr>
                  </m:ctrlPr>
                </m:e>
                <m:e>
                  <m:r>
                    <w:rPr>
                      <w:rFonts w:ascii="Cambria Math" w:eastAsiaTheme="minorEastAsia" w:hAnsi="Cambria Math"/>
                      <w:lang w:val="en-US"/>
                    </w:rPr>
                    <m:t>P3,   when R &lt;0 and V&gt;</m:t>
                  </m:r>
                  <m:sSup>
                    <m:sSupPr>
                      <m:ctrlPr>
                        <w:rPr>
                          <w:rFonts w:ascii="Cambria Math" w:eastAsiaTheme="minorEastAsia" w:hAnsi="Cambria Math"/>
                          <w:i/>
                          <w:lang w:val="en-US"/>
                        </w:rPr>
                      </m:ctrlPr>
                    </m:sSupPr>
                    <m:e>
                      <m:r>
                        <w:rPr>
                          <w:rFonts w:ascii="Cambria Math" w:eastAsiaTheme="minorEastAsia" w:hAnsi="Cambria Math"/>
                          <w:lang w:val="en-US"/>
                        </w:rPr>
                        <m:t>V</m:t>
                      </m:r>
                    </m:e>
                    <m:sup>
                      <m:r>
                        <w:rPr>
                          <w:rFonts w:ascii="Cambria Math" w:eastAsiaTheme="minorEastAsia" w:hAnsi="Cambria Math"/>
                          <w:lang w:val="en-US"/>
                        </w:rPr>
                        <m:t>'</m:t>
                      </m:r>
                    </m:sup>
                  </m:sSup>
                  <m:d>
                    <m:dPr>
                      <m:ctrlPr>
                        <w:rPr>
                          <w:rFonts w:ascii="Cambria Math" w:eastAsiaTheme="minorEastAsia" w:hAnsi="Cambria Math"/>
                          <w:i/>
                          <w:lang w:val="en-US"/>
                        </w:rPr>
                      </m:ctrlPr>
                    </m:dPr>
                    <m:e>
                      <m:r>
                        <w:rPr>
                          <w:rFonts w:ascii="Cambria Math" w:eastAsiaTheme="minorEastAsia" w:hAnsi="Cambria Math"/>
                          <w:lang w:val="en-US"/>
                        </w:rPr>
                        <m:t>sharp decline</m:t>
                      </m:r>
                    </m:e>
                  </m:d>
                  <m:ctrlPr>
                    <w:rPr>
                      <w:rFonts w:ascii="Cambria Math" w:eastAsia="Cambria Math" w:hAnsi="Cambria Math" w:cs="Cambria Math"/>
                      <w:i/>
                      <w:lang w:val="en-US"/>
                    </w:rPr>
                  </m:ctrlPr>
                </m:e>
                <m:e>
                  <m:r>
                    <w:rPr>
                      <w:rFonts w:ascii="Cambria Math" w:eastAsia="Cambria Math" w:hAnsi="Cambria Math" w:cs="Cambria Math"/>
                      <w:lang w:val="en-US"/>
                    </w:rPr>
                    <m:t xml:space="preserve">  </m:t>
                  </m:r>
                  <m:ctrlPr>
                    <w:rPr>
                      <w:rFonts w:ascii="Cambria Math" w:eastAsia="Cambria Math" w:hAnsi="Cambria Math" w:cs="Cambria Math"/>
                      <w:i/>
                      <w:lang w:val="en-US"/>
                    </w:rPr>
                  </m:ctrlPr>
                </m:e>
                <m:e>
                  <m:r>
                    <w:rPr>
                      <w:rFonts w:ascii="Cambria Math" w:eastAsia="Cambria Math" w:hAnsi="Cambria Math" w:cs="Cambria Math"/>
                      <w:lang w:val="en-US"/>
                    </w:rPr>
                    <m:t>P4,when R &lt;0 andd V&lt;</m:t>
                  </m:r>
                  <m:sSup>
                    <m:sSupPr>
                      <m:ctrlPr>
                        <w:rPr>
                          <w:rFonts w:ascii="Cambria Math" w:eastAsia="Cambria Math" w:hAnsi="Cambria Math" w:cs="Cambria Math"/>
                          <w:i/>
                          <w:lang w:val="en-US"/>
                        </w:rPr>
                      </m:ctrlPr>
                    </m:sSupPr>
                    <m:e>
                      <m:r>
                        <w:rPr>
                          <w:rFonts w:ascii="Cambria Math" w:eastAsia="Cambria Math" w:hAnsi="Cambria Math" w:cs="Cambria Math"/>
                          <w:lang w:val="en-US"/>
                        </w:rPr>
                        <m:t>V</m:t>
                      </m:r>
                    </m:e>
                    <m:sup>
                      <m:r>
                        <w:rPr>
                          <w:rFonts w:ascii="Cambria Math" w:eastAsia="Cambria Math" w:hAnsi="Cambria Math" w:cs="Cambria Math"/>
                          <w:lang w:val="en-US"/>
                        </w:rPr>
                        <m:t>'</m:t>
                      </m:r>
                    </m:sup>
                  </m:sSup>
                  <m:r>
                    <w:rPr>
                      <w:rFonts w:ascii="Cambria Math" w:eastAsia="Cambria Math" w:hAnsi="Cambria Math" w:cs="Cambria Math"/>
                      <w:lang w:val="en-US"/>
                    </w:rPr>
                    <m:t>(stable decline)</m:t>
                  </m:r>
                </m:e>
              </m:eqArr>
            </m:e>
          </m:d>
        </m:oMath>
      </m:oMathPara>
    </w:p>
    <w:p w14:paraId="7E506F56" w14:textId="77777777" w:rsidR="001C6D93" w:rsidRPr="001D54F1" w:rsidRDefault="001C6D93" w:rsidP="001D54F1">
      <w:pPr>
        <w:pStyle w:val="ListParagraph"/>
        <w:rPr>
          <w:rFonts w:eastAsiaTheme="minorEastAsia"/>
          <w:lang w:val="en-US"/>
        </w:rPr>
      </w:pPr>
    </w:p>
    <w:sectPr w:rsidR="001C6D93" w:rsidRPr="001D54F1">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DA7230"/>
    <w:multiLevelType w:val="hybridMultilevel"/>
    <w:tmpl w:val="61B61EC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3216198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1FAD"/>
    <w:rsid w:val="00014DF2"/>
    <w:rsid w:val="00072868"/>
    <w:rsid w:val="000B359A"/>
    <w:rsid w:val="00175599"/>
    <w:rsid w:val="001C6D93"/>
    <w:rsid w:val="001D54F1"/>
    <w:rsid w:val="00224EE4"/>
    <w:rsid w:val="002907B4"/>
    <w:rsid w:val="002F0B07"/>
    <w:rsid w:val="00355FF3"/>
    <w:rsid w:val="004C30E3"/>
    <w:rsid w:val="0051420C"/>
    <w:rsid w:val="005B16F3"/>
    <w:rsid w:val="005D1CA2"/>
    <w:rsid w:val="00690A77"/>
    <w:rsid w:val="006B542E"/>
    <w:rsid w:val="0078434F"/>
    <w:rsid w:val="00791751"/>
    <w:rsid w:val="007C0959"/>
    <w:rsid w:val="00816C4D"/>
    <w:rsid w:val="00A01841"/>
    <w:rsid w:val="00A42453"/>
    <w:rsid w:val="00B140AA"/>
    <w:rsid w:val="00BC192C"/>
    <w:rsid w:val="00BC1FAD"/>
    <w:rsid w:val="00D07C47"/>
    <w:rsid w:val="00DB3F40"/>
    <w:rsid w:val="00DD7E6E"/>
    <w:rsid w:val="00E35FD3"/>
    <w:rsid w:val="00E63E25"/>
    <w:rsid w:val="00F85174"/>
    <w:rsid w:val="00FC4DCC"/>
    <w:rsid w:val="00FF6FFC"/>
    <w:rsid w:val="00FF7C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AEBA47"/>
  <w15:chartTrackingRefBased/>
  <w15:docId w15:val="{27FA74D4-F826-4A5D-B45F-BF06F64094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4DCC"/>
    <w:pPr>
      <w:ind w:left="720"/>
      <w:contextualSpacing/>
    </w:pPr>
  </w:style>
  <w:style w:type="character" w:styleId="PlaceholderText">
    <w:name w:val="Placeholder Text"/>
    <w:basedOn w:val="DefaultParagraphFont"/>
    <w:uiPriority w:val="99"/>
    <w:semiHidden/>
    <w:rsid w:val="00690A77"/>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2</Pages>
  <Words>297</Words>
  <Characters>1693</Characters>
  <Application>Microsoft Office Word</Application>
  <DocSecurity>0</DocSecurity>
  <Lines>14</Lines>
  <Paragraphs>3</Paragraphs>
  <ScaleCrop>false</ScaleCrop>
  <Company/>
  <LinksUpToDate>false</LinksUpToDate>
  <CharactersWithSpaces>1987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Sharma</dc:creator>
  <cp:keywords/>
  <dc:description/>
  <cp:lastModifiedBy>Shubham Sharma</cp:lastModifiedBy>
  <cp:revision>33</cp:revision>
  <dcterms:created xsi:type="dcterms:W3CDTF">2024-02-20T11:01:00Z</dcterms:created>
  <dcterms:modified xsi:type="dcterms:W3CDTF">2024-02-20T11:25:00Z</dcterms:modified>
</cp:coreProperties>
</file>