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D6B"/>
          <w:sz w:val="64"/>
        </w:rPr>
        <w:t>Joveo Media Plan Generator</w:t>
      </w:r>
    </w:p>
    <w:p>
      <w:pPr>
        <w:jc w:val="center"/>
      </w:pPr>
      <w:r>
        <w:rPr>
          <w:rFonts w:ascii="Calibri" w:hAnsi="Calibri"/>
          <w:color w:val="1A5C8E"/>
          <w:sz w:val="32"/>
        </w:rPr>
        <w:t>AI-Powered Recruitment Advertising Intelligence Platform</w:t>
      </w:r>
    </w:p>
    <w:p>
      <w:pPr>
        <w:jc w:val="center"/>
      </w:pPr>
      <w:r>
        <w:rPr>
          <w:color w:val="CCCCCC"/>
          <w:sz w:val="20"/>
        </w:rPr>
        <w:t>____________________________________________________________</w:t>
      </w:r>
    </w:p>
    <w:p>
      <w:pPr>
        <w:jc w:val="center"/>
      </w:pPr>
      <w:r>
        <w:rPr>
          <w:rFonts w:ascii="Calibri" w:hAnsi="Calibri"/>
          <w:color w:val="333333"/>
          <w:sz w:val="28"/>
        </w:rPr>
        <w:t>Product Overview &amp; Technical Architecture</w:t>
      </w:r>
    </w:p>
    <w:p>
      <w:pPr>
        <w:jc w:val="center"/>
      </w:pPr>
      <w:r>
        <w:rPr>
          <w:rFonts w:ascii="Calibri" w:hAnsi="Calibri"/>
          <w:color w:val="666666"/>
          <w:sz w:val="24"/>
        </w:rPr>
        <w:t>v3.2  |  March 2026</w:t>
      </w:r>
    </w:p>
    <w:p/>
    <w:p/>
    <w:p>
      <w:pPr>
        <w:jc w:val="center"/>
      </w:pPr>
      <w:r>
        <w:rPr>
          <w:rFonts w:ascii="Calibri" w:hAnsi="Calibri"/>
          <w:b/>
          <w:color w:val="0066CC"/>
          <w:sz w:val="26"/>
        </w:rPr>
        <w:t>Joveo -- Precision Programmatic for Talent Acquisition</w:t>
      </w:r>
    </w:p>
    <w:p>
      <w:r>
        <w:br w:type="page"/>
      </w:r>
    </w:p>
    <w:p>
      <w:pPr>
        <w:pStyle w:val="Heading1"/>
      </w:pPr>
      <w:r>
        <w:rPr>
          <w:rFonts w:ascii="Calibri" w:hAnsi="Calibri"/>
          <w:color w:val="003D6B"/>
        </w:rPr>
        <w:t>Executive Summary</w:t>
      </w:r>
    </w:p>
    <w:p>
      <w:pPr>
        <w:spacing w:after="120"/>
      </w:pPr>
      <w:r>
        <w:rPr>
          <w:rFonts w:ascii="Calibri" w:hAnsi="Calibri"/>
          <w:b w:val="0"/>
          <w:i w:val="0"/>
          <w:color w:val="333333"/>
          <w:sz w:val="22"/>
        </w:rPr>
        <w:t>The Joveo Media Plan Generator is an AI-powered platform that transforms recruitment advertising planning from a weeks-long manual process into minutes of automated, data-driven analysis. It ingests client requirements -- industry, roles, locations, budget, and competitors -- and produces comprehensive media plans backed by real-time market intelligence from over 30 public and proprietary APIs.</w:t>
      </w:r>
    </w:p>
    <w:p>
      <w:pPr>
        <w:pStyle w:val="Heading2"/>
      </w:pPr>
      <w:r>
        <w:rPr>
          <w:rFonts w:ascii="Calibri" w:hAnsi="Calibri"/>
          <w:color w:val="1A5C8E"/>
        </w:rPr>
        <w:t>Four Delivery Channels</w:t>
      </w:r>
    </w:p>
    <w:p>
      <w:pPr>
        <w:pStyle w:val="ListBullet"/>
      </w:pPr>
      <w:r>
        <w:rPr>
          <w:rFonts w:ascii="Calibri" w:hAnsi="Calibri"/>
          <w:b/>
          <w:color w:val="333333"/>
          <w:sz w:val="22"/>
        </w:rPr>
        <w:t>Web UI:</w:t>
      </w:r>
      <w:r>
        <w:rPr>
          <w:rFonts w:ascii="Calibri" w:hAnsi="Calibri"/>
          <w:color w:val="333333"/>
          <w:sz w:val="22"/>
        </w:rPr>
        <w:t xml:space="preserve"> A browser-based interface that generates downloadable Excel spreadsheets and PowerPoint presentations as a bundled media plan.</w:t>
      </w:r>
    </w:p>
    <w:p>
      <w:pPr>
        <w:pStyle w:val="ListBullet"/>
      </w:pPr>
      <w:r>
        <w:rPr>
          <w:rFonts w:ascii="Calibri" w:hAnsi="Calibri"/>
          <w:b/>
          <w:color w:val="333333"/>
          <w:sz w:val="22"/>
        </w:rPr>
        <w:t>Nova AI Chatbot:</w:t>
      </w:r>
      <w:r>
        <w:rPr>
          <w:rFonts w:ascii="Calibri" w:hAnsi="Calibri"/>
          <w:color w:val="333333"/>
          <w:sz w:val="22"/>
        </w:rPr>
        <w:t xml:space="preserve"> An AI chatbot (Nova) accessible through the web UI, providing conversational access to recruitment intelligence, benchmark data, and strategic recommendations.</w:t>
      </w:r>
    </w:p>
    <w:p>
      <w:pPr>
        <w:pStyle w:val="ListBullet"/>
      </w:pPr>
      <w:r>
        <w:rPr>
          <w:rFonts w:ascii="Calibri" w:hAnsi="Calibri"/>
          <w:b/>
          <w:color w:val="333333"/>
          <w:sz w:val="22"/>
        </w:rPr>
        <w:t>Slack Bot:</w:t>
      </w:r>
      <w:r>
        <w:rPr>
          <w:rFonts w:ascii="Calibri" w:hAnsi="Calibri"/>
          <w:color w:val="333333"/>
          <w:sz w:val="22"/>
        </w:rPr>
        <w:t xml:space="preserve"> A workplace-native integration where team members can query Nova directly in Slack via mentions or direct messages, with full access to the same data intelligence layer.</w:t>
      </w:r>
    </w:p>
    <w:p>
      <w:pPr>
        <w:pStyle w:val="ListBullet"/>
      </w:pPr>
      <w:r>
        <w:rPr>
          <w:rFonts w:ascii="Calibri" w:hAnsi="Calibri"/>
          <w:b/>
          <w:color w:val="333333"/>
          <w:sz w:val="22"/>
        </w:rPr>
        <w:t>API:</w:t>
      </w:r>
      <w:r>
        <w:rPr>
          <w:rFonts w:ascii="Calibri" w:hAnsi="Calibri"/>
          <w:color w:val="333333"/>
          <w:sz w:val="22"/>
        </w:rPr>
        <w:t xml:space="preserve"> Programmatic endpoints for headless media plan generation, health monitoring, and administrative operations.</w:t>
      </w:r>
    </w:p>
    <w:p>
      <w:pPr>
        <w:pStyle w:val="Heading2"/>
      </w:pPr>
      <w:r>
        <w:rPr>
          <w:rFonts w:ascii="Calibri" w:hAnsi="Calibri"/>
          <w:color w:val="1A5C8E"/>
        </w:rPr>
        <w:t>Key Platform Statistics</w:t>
      </w:r>
    </w:p>
    <w:tbl>
      <w:tblPr>
        <w:tblStyle w:val="TableGrid"/>
        <w:tblW w:type="auto" w:w="0"/>
        <w:jc w:val="center"/>
        <w:tblLook w:firstColumn="1" w:firstRow="1" w:lastColumn="0" w:lastRow="0" w:noHBand="0" w:noVBand="1" w:val="04A0"/>
      </w:tblPr>
      <w:tblGrid>
        <w:gridCol w:w="4703"/>
        <w:gridCol w:w="4703"/>
      </w:tblGrid>
      <w:tr>
        <w:tc>
          <w:tcPr>
            <w:tcW w:type="dxa" w:w="1152"/>
            <w:shd w:fill="003D6B" w:val="clear"/>
          </w:tcPr>
          <w:p>
            <w:pPr>
              <w:jc w:val="left"/>
            </w:pPr>
            <w:r/>
            <w:r>
              <w:rPr>
                <w:rFonts w:ascii="Calibri" w:hAnsi="Calibri"/>
                <w:b/>
                <w:color w:val="FFFFFF"/>
                <w:sz w:val="19"/>
              </w:rPr>
              <w:t>Metric</w:t>
            </w:r>
          </w:p>
        </w:tc>
        <w:tc>
          <w:tcPr>
            <w:tcW w:type="dxa" w:w="7488"/>
            <w:shd w:fill="003D6B" w:val="clear"/>
          </w:tcPr>
          <w:p>
            <w:pPr>
              <w:jc w:val="left"/>
            </w:pPr>
            <w:r/>
            <w:r>
              <w:rPr>
                <w:rFonts w:ascii="Calibri" w:hAnsi="Calibri"/>
                <w:b/>
                <w:color w:val="FFFFFF"/>
                <w:sz w:val="19"/>
              </w:rPr>
              <w:t>Description</w:t>
            </w:r>
          </w:p>
        </w:tc>
      </w:tr>
      <w:tr>
        <w:tc>
          <w:tcPr>
            <w:tcW w:type="dxa" w:w="1152"/>
          </w:tcPr>
          <w:p>
            <w:r/>
            <w:r>
              <w:rPr>
                <w:rFonts w:ascii="Calibri" w:hAnsi="Calibri"/>
                <w:color w:val="333333"/>
                <w:sz w:val="18"/>
              </w:rPr>
              <w:t>30+</w:t>
            </w:r>
          </w:p>
        </w:tc>
        <w:tc>
          <w:tcPr>
            <w:tcW w:type="dxa" w:w="7488"/>
          </w:tcPr>
          <w:p>
            <w:r/>
            <w:r>
              <w:rPr>
                <w:rFonts w:ascii="Calibri" w:hAnsi="Calibri"/>
                <w:color w:val="333333"/>
                <w:sz w:val="18"/>
              </w:rPr>
              <w:t>Real-time API integrations (BLS, Census, World Bank, FRED, O*NET, and more)</w:t>
            </w:r>
          </w:p>
        </w:tc>
      </w:tr>
      <w:tr>
        <w:tc>
          <w:tcPr>
            <w:tcW w:type="dxa" w:w="1152"/>
            <w:shd w:fill="EAF0F6" w:val="clear"/>
          </w:tcPr>
          <w:p>
            <w:r/>
            <w:r>
              <w:rPr>
                <w:rFonts w:ascii="Calibri" w:hAnsi="Calibri"/>
                <w:color w:val="333333"/>
                <w:sz w:val="18"/>
              </w:rPr>
              <w:t>12</w:t>
            </w:r>
          </w:p>
        </w:tc>
        <w:tc>
          <w:tcPr>
            <w:tcW w:type="dxa" w:w="7488"/>
            <w:shd w:fill="EAF0F6" w:val="clear"/>
          </w:tcPr>
          <w:p>
            <w:r/>
            <w:r>
              <w:rPr>
                <w:rFonts w:ascii="Calibri" w:hAnsi="Calibri"/>
                <w:color w:val="333333"/>
                <w:sz w:val="18"/>
              </w:rPr>
              <w:t>LLM providers in the unified router (9 free-tier, 3 paid-tier)</w:t>
            </w:r>
          </w:p>
        </w:tc>
      </w:tr>
      <w:tr>
        <w:tc>
          <w:tcPr>
            <w:tcW w:type="dxa" w:w="1152"/>
          </w:tcPr>
          <w:p>
            <w:r/>
            <w:r>
              <w:rPr>
                <w:rFonts w:ascii="Calibri" w:hAnsi="Calibri"/>
                <w:color w:val="333333"/>
                <w:sz w:val="18"/>
              </w:rPr>
              <w:t>66+</w:t>
            </w:r>
          </w:p>
        </w:tc>
        <w:tc>
          <w:tcPr>
            <w:tcW w:type="dxa" w:w="7488"/>
          </w:tcPr>
          <w:p>
            <w:r/>
            <w:r>
              <w:rPr>
                <w:rFonts w:ascii="Calibri" w:hAnsi="Calibri"/>
                <w:color w:val="333333"/>
                <w:sz w:val="18"/>
              </w:rPr>
              <w:t>Automated QC tests running autonomously every 12 hours</w:t>
            </w:r>
          </w:p>
        </w:tc>
      </w:tr>
      <w:tr>
        <w:tc>
          <w:tcPr>
            <w:tcW w:type="dxa" w:w="1152"/>
            <w:shd w:fill="EAF0F6" w:val="clear"/>
          </w:tcPr>
          <w:p>
            <w:r/>
            <w:r>
              <w:rPr>
                <w:rFonts w:ascii="Calibri" w:hAnsi="Calibri"/>
                <w:color w:val="333333"/>
                <w:sz w:val="18"/>
              </w:rPr>
              <w:t>26</w:t>
            </w:r>
          </w:p>
        </w:tc>
        <w:tc>
          <w:tcPr>
            <w:tcW w:type="dxa" w:w="7488"/>
            <w:shd w:fill="EAF0F6" w:val="clear"/>
          </w:tcPr>
          <w:p>
            <w:r/>
            <w:r>
              <w:rPr>
                <w:rFonts w:ascii="Calibri" w:hAnsi="Calibri"/>
                <w:color w:val="333333"/>
                <w:sz w:val="18"/>
              </w:rPr>
              <w:t>Supported currencies with proper symbol formatting</w:t>
            </w:r>
          </w:p>
        </w:tc>
      </w:tr>
      <w:tr>
        <w:tc>
          <w:tcPr>
            <w:tcW w:type="dxa" w:w="1152"/>
          </w:tcPr>
          <w:p>
            <w:r/>
            <w:r>
              <w:rPr>
                <w:rFonts w:ascii="Calibri" w:hAnsi="Calibri"/>
                <w:color w:val="333333"/>
                <w:sz w:val="18"/>
              </w:rPr>
              <w:t>22</w:t>
            </w:r>
          </w:p>
        </w:tc>
        <w:tc>
          <w:tcPr>
            <w:tcW w:type="dxa" w:w="7488"/>
          </w:tcPr>
          <w:p>
            <w:r/>
            <w:r>
              <w:rPr>
                <w:rFonts w:ascii="Calibri" w:hAnsi="Calibri"/>
                <w:color w:val="333333"/>
                <w:sz w:val="18"/>
              </w:rPr>
              <w:t>Industry verticals with 4-year trend data across 6 ad platforms</w:t>
            </w:r>
          </w:p>
        </w:tc>
      </w:tr>
      <w:tr>
        <w:tc>
          <w:tcPr>
            <w:tcW w:type="dxa" w:w="1152"/>
            <w:shd w:fill="EAF0F6" w:val="clear"/>
          </w:tcPr>
          <w:p>
            <w:r/>
            <w:r>
              <w:rPr>
                <w:rFonts w:ascii="Calibri" w:hAnsi="Calibri"/>
                <w:color w:val="333333"/>
                <w:sz w:val="18"/>
              </w:rPr>
              <w:t>4</w:t>
            </w:r>
          </w:p>
        </w:tc>
        <w:tc>
          <w:tcPr>
            <w:tcW w:type="dxa" w:w="7488"/>
            <w:shd w:fill="EAF0F6" w:val="clear"/>
          </w:tcPr>
          <w:p>
            <w:r/>
            <w:r>
              <w:rPr>
                <w:rFonts w:ascii="Calibri" w:hAnsi="Calibri"/>
                <w:color w:val="333333"/>
                <w:sz w:val="18"/>
              </w:rPr>
              <w:t>Collar types classified (blue, white, grey, pink) for strategy differentiation</w:t>
            </w:r>
          </w:p>
        </w:tc>
      </w:tr>
      <w:tr>
        <w:tc>
          <w:tcPr>
            <w:tcW w:type="dxa" w:w="1152"/>
          </w:tcPr>
          <w:p>
            <w:r/>
            <w:r>
              <w:rPr>
                <w:rFonts w:ascii="Calibri" w:hAnsi="Calibri"/>
                <w:color w:val="333333"/>
                <w:sz w:val="18"/>
              </w:rPr>
              <w:t>0</w:t>
            </w:r>
          </w:p>
        </w:tc>
        <w:tc>
          <w:tcPr>
            <w:tcW w:type="dxa" w:w="7488"/>
          </w:tcPr>
          <w:p>
            <w:r/>
            <w:r>
              <w:rPr>
                <w:rFonts w:ascii="Calibri" w:hAnsi="Calibri"/>
                <w:color w:val="333333"/>
                <w:sz w:val="18"/>
              </w:rPr>
              <w:t>External pip dependencies for the core server (Python stdlib only)</w:t>
            </w:r>
          </w:p>
        </w:tc>
      </w:tr>
    </w:tbl>
    <w:p>
      <w:r>
        <w:br w:type="page"/>
      </w:r>
    </w:p>
    <w:p>
      <w:pPr>
        <w:pStyle w:val="Heading1"/>
      </w:pPr>
      <w:r>
        <w:rPr>
          <w:rFonts w:ascii="Calibri" w:hAnsi="Calibri"/>
          <w:color w:val="003D6B"/>
        </w:rPr>
        <w:t>Platform Capabilities</w:t>
      </w:r>
    </w:p>
    <w:p>
      <w:pPr>
        <w:pStyle w:val="Heading2"/>
      </w:pPr>
      <w:r>
        <w:rPr>
          <w:rFonts w:ascii="Calibri" w:hAnsi="Calibri"/>
          <w:color w:val="1A5C8E"/>
        </w:rPr>
        <w:t>Media Plan Generation (Excel + PowerPoint)</w:t>
      </w:r>
    </w:p>
    <w:p>
      <w:pPr>
        <w:spacing w:after="120"/>
      </w:pPr>
      <w:r>
        <w:rPr>
          <w:rFonts w:ascii="Calibri" w:hAnsi="Calibri"/>
          <w:b w:val="0"/>
          <w:i w:val="0"/>
          <w:color w:val="333333"/>
          <w:sz w:val="22"/>
        </w:rPr>
        <w:t>The core output pipeline accepts structured input (industry, roles, locations, budget, competitors) and produces a professional Excel workbook with per-channel budget allocations, projected clicks, applications, and hires, alongside a branded PowerPoint deck summarizing the strategic rationale. The generation pipeline runs API enrichment, data synthesis, budget optimization, and document formatting in a single coordinated flow.</w:t>
      </w:r>
    </w:p>
    <w:p>
      <w:pPr>
        <w:pStyle w:val="Heading2"/>
      </w:pPr>
      <w:r>
        <w:rPr>
          <w:rFonts w:ascii="Calibri" w:hAnsi="Calibri"/>
          <w:color w:val="1A5C8E"/>
        </w:rPr>
        <w:t>Nova AI Chatbot</w:t>
      </w:r>
    </w:p>
    <w:p>
      <w:pPr>
        <w:spacing w:after="120"/>
      </w:pPr>
      <w:r>
        <w:rPr>
          <w:rFonts w:ascii="Calibri" w:hAnsi="Calibri"/>
          <w:b w:val="0"/>
          <w:i w:val="0"/>
          <w:color w:val="333333"/>
          <w:sz w:val="22"/>
        </w:rPr>
        <w:t>Nova is an AI-powered recruitment marketing intelligence chatbot embedded in the web UI. It provides conversational access to Joveo's proprietary supply data (10,238+ publishers across 70+ countries), 30+ live API enrichment sources, a 42-source recruitment industry knowledge base, the data synthesis engine with confidence scoring, and the budget allocation engine with dollar projections. Nova operates in two modes: rule-based keyword routing for fast deterministic answers, and LLM-powered reasoning via Claude Haiku 4.5 (simple queries) or Claude Sonnet 4.6 (complex strategy queries).</w:t>
      </w:r>
    </w:p>
    <w:p>
      <w:pPr>
        <w:pStyle w:val="Heading2"/>
      </w:pPr>
      <w:r>
        <w:rPr>
          <w:rFonts w:ascii="Calibri" w:hAnsi="Calibri"/>
          <w:color w:val="1A5C8E"/>
        </w:rPr>
        <w:t>Slack Bot Integration</w:t>
      </w:r>
    </w:p>
    <w:p>
      <w:pPr>
        <w:spacing w:after="120"/>
      </w:pPr>
      <w:r>
        <w:rPr>
          <w:rFonts w:ascii="Calibri" w:hAnsi="Calibri"/>
          <w:b w:val="0"/>
          <w:i w:val="0"/>
          <w:color w:val="333333"/>
          <w:sz w:val="22"/>
        </w:rPr>
        <w:t>The Nova Slack Bot brings the full intelligence layer into the workplace. Team members can mention @Nova or send direct messages in Slack to access all 21 Nova tools, including orchestrator-powered data enrichment. The bot searches Slack history for previously answered questions, maintains an unanswered question queue for human review, learns from human-provided answers over time, and sends weekly digest summaries of outstanding questions. Built entirely with Python stdlib (urllib.request, no slack_sdk dependency).</w:t>
      </w:r>
    </w:p>
    <w:p>
      <w:pPr>
        <w:pStyle w:val="Heading2"/>
      </w:pPr>
      <w:r>
        <w:rPr>
          <w:rFonts w:ascii="Calibri" w:hAnsi="Calibri"/>
          <w:color w:val="1A5C8E"/>
        </w:rPr>
        <w:t>Budget Optimization Engine</w:t>
      </w:r>
    </w:p>
    <w:p>
      <w:pPr>
        <w:spacing w:after="120"/>
      </w:pPr>
      <w:r>
        <w:rPr>
          <w:rFonts w:ascii="Calibri" w:hAnsi="Calibri"/>
          <w:b w:val="0"/>
          <w:i w:val="0"/>
          <w:color w:val="333333"/>
          <w:sz w:val="22"/>
        </w:rPr>
        <w:t>The budget engine converts percentage allocations to concrete dollar amounts, producing per-channel spend recommendations with projected outcomes (clicks, applications, hires). It integrates dynamic CPC benchmarks from the trend engine, collar-weighted allocation via the collar intelligence module, and structured confidence on every channel allocation. Role-tier multipliers adjust CPA expectations across six seniority levels from Gig (0.5x) to Executive (3.5x).</w:t>
      </w:r>
    </w:p>
    <w:p>
      <w:pPr>
        <w:pStyle w:val="Heading2"/>
      </w:pPr>
      <w:r>
        <w:rPr>
          <w:rFonts w:ascii="Calibri" w:hAnsi="Calibri"/>
          <w:color w:val="1A5C8E"/>
        </w:rPr>
        <w:t>Multi-Currency &amp; Global Support</w:t>
      </w:r>
    </w:p>
    <w:p>
      <w:pPr>
        <w:spacing w:after="120"/>
      </w:pPr>
      <w:r>
        <w:rPr>
          <w:rFonts w:ascii="Calibri" w:hAnsi="Calibri"/>
          <w:b w:val="0"/>
          <w:i w:val="0"/>
          <w:color w:val="333333"/>
          <w:sz w:val="22"/>
        </w:rPr>
        <w:t>The platform supports 26 currencies (USD, EUR, GBP, INR, JPY, CNY, AUD, CAD, SGD, HKD, NZD, CHF, SEK, NOK, DKK, BRL, ZAR, MXN, KRW, THB, MYR, PHP, IDR, AED, SAR, and more) with proper symbol formatting. Location intelligence spans 40+ countries and 100+ metro areas, with automatic currency detection based on the primary hiring location.</w:t>
      </w:r>
    </w:p>
    <w:p>
      <w:pPr>
        <w:pStyle w:val="Heading2"/>
      </w:pPr>
      <w:r>
        <w:rPr>
          <w:rFonts w:ascii="Calibri" w:hAnsi="Calibri"/>
          <w:color w:val="1A5C8E"/>
        </w:rPr>
        <w:t>Collar Intelligence</w:t>
      </w:r>
    </w:p>
    <w:p>
      <w:pPr>
        <w:spacing w:after="120"/>
      </w:pPr>
      <w:r>
        <w:rPr>
          <w:rFonts w:ascii="Calibri" w:hAnsi="Calibri"/>
          <w:b w:val="0"/>
          <w:i w:val="0"/>
          <w:color w:val="333333"/>
          <w:sz w:val="22"/>
        </w:rPr>
        <w:t>First-class collar-type classification differentiates strategy at every level: data queries, budget allocation, channel selection, output formatting, and chat responses. The engine classifies roles into four collar types (blue, white, grey, pink) using SOC major groups, O*NET Job Zones, standardizer role tiers, and keyword pattern matching. Each collar type routes to different channel mixes, budget weightings, and messaging strategies.</w:t>
      </w:r>
    </w:p>
    <w:p>
      <w:r>
        <w:br w:type="page"/>
      </w:r>
    </w:p>
    <w:p>
      <w:pPr>
        <w:pStyle w:val="Heading1"/>
      </w:pPr>
      <w:r>
        <w:rPr>
          <w:rFonts w:ascii="Calibri" w:hAnsi="Calibri"/>
          <w:color w:val="003D6B"/>
        </w:rPr>
        <w:t>The AI Engine: Unified LLM Router</w:t>
      </w:r>
    </w:p>
    <w:p>
      <w:pPr>
        <w:spacing w:after="120"/>
      </w:pPr>
      <w:r>
        <w:rPr>
          <w:rFonts w:ascii="Calibri" w:hAnsi="Calibri"/>
          <w:b w:val="0"/>
          <w:i w:val="0"/>
          <w:color w:val="333333"/>
          <w:sz w:val="22"/>
        </w:rPr>
        <w:t>At the core of Nova's intelligence is a unified LLM router that manages twelve independent AI providers through a cost-optimized, fault-tolerant cascade. The router follows a free-first philosophy: it exhausts all nine free-tier providers before falling back to three paid models, minimizing operational cost while maintaining response quality. The entire routing layer is stdlib-only and thread-safe.</w:t>
      </w:r>
    </w:p>
    <w:p>
      <w:pPr>
        <w:pStyle w:val="Heading2"/>
      </w:pPr>
      <w:r>
        <w:rPr>
          <w:rFonts w:ascii="Calibri" w:hAnsi="Calibri"/>
          <w:color w:val="1A5C8E"/>
        </w:rPr>
        <w:t>Provider Cascade (Priority Order)</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504"/>
            <w:shd w:fill="003D6B" w:val="clear"/>
          </w:tcPr>
          <w:p>
            <w:pPr>
              <w:jc w:val="left"/>
            </w:pPr>
            <w:r/>
            <w:r>
              <w:rPr>
                <w:rFonts w:ascii="Calibri" w:hAnsi="Calibri"/>
                <w:b/>
                <w:color w:val="FFFFFF"/>
                <w:sz w:val="19"/>
              </w:rPr>
              <w:t>#</w:t>
            </w:r>
          </w:p>
        </w:tc>
        <w:tc>
          <w:tcPr>
            <w:tcW w:type="dxa" w:w="2880"/>
            <w:shd w:fill="003D6B" w:val="clear"/>
          </w:tcPr>
          <w:p>
            <w:pPr>
              <w:jc w:val="left"/>
            </w:pPr>
            <w:r/>
            <w:r>
              <w:rPr>
                <w:rFonts w:ascii="Calibri" w:hAnsi="Calibri"/>
                <w:b/>
                <w:color w:val="FFFFFF"/>
                <w:sz w:val="19"/>
              </w:rPr>
              <w:t>Provider</w:t>
            </w:r>
          </w:p>
        </w:tc>
        <w:tc>
          <w:tcPr>
            <w:tcW w:type="dxa" w:w="1224"/>
            <w:shd w:fill="003D6B" w:val="clear"/>
          </w:tcPr>
          <w:p>
            <w:pPr>
              <w:jc w:val="left"/>
            </w:pPr>
            <w:r/>
            <w:r>
              <w:rPr>
                <w:rFonts w:ascii="Calibri" w:hAnsi="Calibri"/>
                <w:b/>
                <w:color w:val="FFFFFF"/>
                <w:sz w:val="19"/>
              </w:rPr>
              <w:t>Vendor</w:t>
            </w:r>
          </w:p>
        </w:tc>
        <w:tc>
          <w:tcPr>
            <w:tcW w:type="dxa" w:w="648"/>
            <w:shd w:fill="003D6B" w:val="clear"/>
          </w:tcPr>
          <w:p>
            <w:pPr>
              <w:jc w:val="left"/>
            </w:pPr>
            <w:r/>
            <w:r>
              <w:rPr>
                <w:rFonts w:ascii="Calibri" w:hAnsi="Calibri"/>
                <w:b/>
                <w:color w:val="FFFFFF"/>
                <w:sz w:val="19"/>
              </w:rPr>
              <w:t>Tier</w:t>
            </w:r>
          </w:p>
        </w:tc>
        <w:tc>
          <w:tcPr>
            <w:tcW w:type="dxa" w:w="3384"/>
            <w:shd w:fill="003D6B" w:val="clear"/>
          </w:tcPr>
          <w:p>
            <w:pPr>
              <w:jc w:val="left"/>
            </w:pPr>
            <w:r/>
            <w:r>
              <w:rPr>
                <w:rFonts w:ascii="Calibri" w:hAnsi="Calibri"/>
                <w:b/>
                <w:color w:val="FFFFFF"/>
                <w:sz w:val="19"/>
              </w:rPr>
              <w:t>Strength</w:t>
            </w:r>
          </w:p>
        </w:tc>
      </w:tr>
      <w:tr>
        <w:tc>
          <w:tcPr>
            <w:tcW w:type="dxa" w:w="504"/>
          </w:tcPr>
          <w:p>
            <w:r/>
            <w:r>
              <w:rPr>
                <w:rFonts w:ascii="Calibri" w:hAnsi="Calibri"/>
                <w:color w:val="333333"/>
                <w:sz w:val="18"/>
              </w:rPr>
              <w:t>1</w:t>
            </w:r>
          </w:p>
        </w:tc>
        <w:tc>
          <w:tcPr>
            <w:tcW w:type="dxa" w:w="2880"/>
          </w:tcPr>
          <w:p>
            <w:r/>
            <w:r>
              <w:rPr>
                <w:rFonts w:ascii="Calibri" w:hAnsi="Calibri"/>
                <w:color w:val="333333"/>
                <w:sz w:val="18"/>
              </w:rPr>
              <w:t>Gemini 2.0 Flash</w:t>
            </w:r>
          </w:p>
        </w:tc>
        <w:tc>
          <w:tcPr>
            <w:tcW w:type="dxa" w:w="1224"/>
          </w:tcPr>
          <w:p>
            <w:r/>
            <w:r>
              <w:rPr>
                <w:rFonts w:ascii="Calibri" w:hAnsi="Calibri"/>
                <w:color w:val="333333"/>
                <w:sz w:val="18"/>
              </w:rPr>
              <w:t>Google</w:t>
            </w:r>
          </w:p>
        </w:tc>
        <w:tc>
          <w:tcPr>
            <w:tcW w:type="dxa" w:w="648"/>
          </w:tcPr>
          <w:p>
            <w:r/>
            <w:r>
              <w:rPr>
                <w:rFonts w:ascii="Calibri" w:hAnsi="Calibri"/>
                <w:color w:val="333333"/>
                <w:sz w:val="18"/>
              </w:rPr>
              <w:t>Free</w:t>
            </w:r>
          </w:p>
        </w:tc>
        <w:tc>
          <w:tcPr>
            <w:tcW w:type="dxa" w:w="3384"/>
          </w:tcPr>
          <w:p>
            <w:r/>
            <w:r>
              <w:rPr>
                <w:rFonts w:ascii="Calibri" w:hAnsi="Calibri"/>
                <w:color w:val="333333"/>
                <w:sz w:val="18"/>
              </w:rPr>
              <w:t>Structured JSON, code, verification</w:t>
            </w:r>
          </w:p>
        </w:tc>
      </w:tr>
      <w:tr>
        <w:tc>
          <w:tcPr>
            <w:tcW w:type="dxa" w:w="504"/>
            <w:shd w:fill="EAF0F6" w:val="clear"/>
          </w:tcPr>
          <w:p>
            <w:r/>
            <w:r>
              <w:rPr>
                <w:rFonts w:ascii="Calibri" w:hAnsi="Calibri"/>
                <w:color w:val="333333"/>
                <w:sz w:val="18"/>
              </w:rPr>
              <w:t>2</w:t>
            </w:r>
          </w:p>
        </w:tc>
        <w:tc>
          <w:tcPr>
            <w:tcW w:type="dxa" w:w="2880"/>
            <w:shd w:fill="EAF0F6" w:val="clear"/>
          </w:tcPr>
          <w:p>
            <w:r/>
            <w:r>
              <w:rPr>
                <w:rFonts w:ascii="Calibri" w:hAnsi="Calibri"/>
                <w:color w:val="333333"/>
                <w:sz w:val="18"/>
              </w:rPr>
              <w:t>Groq Llama 3.3 70B</w:t>
            </w:r>
          </w:p>
        </w:tc>
        <w:tc>
          <w:tcPr>
            <w:tcW w:type="dxa" w:w="1224"/>
            <w:shd w:fill="EAF0F6" w:val="clear"/>
          </w:tcPr>
          <w:p>
            <w:r/>
            <w:r>
              <w:rPr>
                <w:rFonts w:ascii="Calibri" w:hAnsi="Calibri"/>
                <w:color w:val="333333"/>
                <w:sz w:val="18"/>
              </w:rPr>
              <w:t>Groq</w:t>
            </w:r>
          </w:p>
        </w:tc>
        <w:tc>
          <w:tcPr>
            <w:tcW w:type="dxa" w:w="648"/>
            <w:shd w:fill="EAF0F6" w:val="clear"/>
          </w:tcPr>
          <w:p>
            <w:r/>
            <w:r>
              <w:rPr>
                <w:rFonts w:ascii="Calibri" w:hAnsi="Calibri"/>
                <w:color w:val="333333"/>
                <w:sz w:val="18"/>
              </w:rPr>
              <w:t>Free</w:t>
            </w:r>
          </w:p>
        </w:tc>
        <w:tc>
          <w:tcPr>
            <w:tcW w:type="dxa" w:w="3384"/>
            <w:shd w:fill="EAF0F6" w:val="clear"/>
          </w:tcPr>
          <w:p>
            <w:r/>
            <w:r>
              <w:rPr>
                <w:rFonts w:ascii="Calibri" w:hAnsi="Calibri"/>
                <w:color w:val="333333"/>
                <w:sz w:val="18"/>
              </w:rPr>
              <w:t>Conversational, complex reasoning</w:t>
            </w:r>
          </w:p>
        </w:tc>
      </w:tr>
      <w:tr>
        <w:tc>
          <w:tcPr>
            <w:tcW w:type="dxa" w:w="504"/>
          </w:tcPr>
          <w:p>
            <w:r/>
            <w:r>
              <w:rPr>
                <w:rFonts w:ascii="Calibri" w:hAnsi="Calibri"/>
                <w:color w:val="333333"/>
                <w:sz w:val="18"/>
              </w:rPr>
              <w:t>3</w:t>
            </w:r>
          </w:p>
        </w:tc>
        <w:tc>
          <w:tcPr>
            <w:tcW w:type="dxa" w:w="2880"/>
          </w:tcPr>
          <w:p>
            <w:r/>
            <w:r>
              <w:rPr>
                <w:rFonts w:ascii="Calibri" w:hAnsi="Calibri"/>
                <w:color w:val="333333"/>
                <w:sz w:val="18"/>
              </w:rPr>
              <w:t>Cerebras Llama 3.3 70B</w:t>
            </w:r>
          </w:p>
        </w:tc>
        <w:tc>
          <w:tcPr>
            <w:tcW w:type="dxa" w:w="1224"/>
          </w:tcPr>
          <w:p>
            <w:r/>
            <w:r>
              <w:rPr>
                <w:rFonts w:ascii="Calibri" w:hAnsi="Calibri"/>
                <w:color w:val="333333"/>
                <w:sz w:val="18"/>
              </w:rPr>
              <w:t>Cerebras</w:t>
            </w:r>
          </w:p>
        </w:tc>
        <w:tc>
          <w:tcPr>
            <w:tcW w:type="dxa" w:w="648"/>
          </w:tcPr>
          <w:p>
            <w:r/>
            <w:r>
              <w:rPr>
                <w:rFonts w:ascii="Calibri" w:hAnsi="Calibri"/>
                <w:color w:val="333333"/>
                <w:sz w:val="18"/>
              </w:rPr>
              <w:t>Free</w:t>
            </w:r>
          </w:p>
        </w:tc>
        <w:tc>
          <w:tcPr>
            <w:tcW w:type="dxa" w:w="3384"/>
          </w:tcPr>
          <w:p>
            <w:r/>
            <w:r>
              <w:rPr>
                <w:rFonts w:ascii="Calibri" w:hAnsi="Calibri"/>
                <w:color w:val="333333"/>
                <w:sz w:val="18"/>
              </w:rPr>
              <w:t>Hot spare (same model, independent infra)</w:t>
            </w:r>
          </w:p>
        </w:tc>
      </w:tr>
      <w:tr>
        <w:tc>
          <w:tcPr>
            <w:tcW w:type="dxa" w:w="504"/>
            <w:shd w:fill="EAF0F6" w:val="clear"/>
          </w:tcPr>
          <w:p>
            <w:r/>
            <w:r>
              <w:rPr>
                <w:rFonts w:ascii="Calibri" w:hAnsi="Calibri"/>
                <w:color w:val="333333"/>
                <w:sz w:val="18"/>
              </w:rPr>
              <w:t>4</w:t>
            </w:r>
          </w:p>
        </w:tc>
        <w:tc>
          <w:tcPr>
            <w:tcW w:type="dxa" w:w="2880"/>
            <w:shd w:fill="EAF0F6" w:val="clear"/>
          </w:tcPr>
          <w:p>
            <w:r/>
            <w:r>
              <w:rPr>
                <w:rFonts w:ascii="Calibri" w:hAnsi="Calibri"/>
                <w:color w:val="333333"/>
                <w:sz w:val="18"/>
              </w:rPr>
              <w:t>Mistral Small</w:t>
            </w:r>
          </w:p>
        </w:tc>
        <w:tc>
          <w:tcPr>
            <w:tcW w:type="dxa" w:w="1224"/>
            <w:shd w:fill="EAF0F6" w:val="clear"/>
          </w:tcPr>
          <w:p>
            <w:r/>
            <w:r>
              <w:rPr>
                <w:rFonts w:ascii="Calibri" w:hAnsi="Calibri"/>
                <w:color w:val="333333"/>
                <w:sz w:val="18"/>
              </w:rPr>
              <w:t>Mistral AI</w:t>
            </w:r>
          </w:p>
        </w:tc>
        <w:tc>
          <w:tcPr>
            <w:tcW w:type="dxa" w:w="648"/>
            <w:shd w:fill="EAF0F6" w:val="clear"/>
          </w:tcPr>
          <w:p>
            <w:r/>
            <w:r>
              <w:rPr>
                <w:rFonts w:ascii="Calibri" w:hAnsi="Calibri"/>
                <w:color w:val="333333"/>
                <w:sz w:val="18"/>
              </w:rPr>
              <w:t>Free</w:t>
            </w:r>
          </w:p>
        </w:tc>
        <w:tc>
          <w:tcPr>
            <w:tcW w:type="dxa" w:w="3384"/>
            <w:shd w:fill="EAF0F6" w:val="clear"/>
          </w:tcPr>
          <w:p>
            <w:r/>
            <w:r>
              <w:rPr>
                <w:rFonts w:ascii="Calibri" w:hAnsi="Calibri"/>
                <w:color w:val="333333"/>
                <w:sz w:val="18"/>
              </w:rPr>
              <w:t>JSON output, multilingual support</w:t>
            </w:r>
          </w:p>
        </w:tc>
      </w:tr>
      <w:tr>
        <w:tc>
          <w:tcPr>
            <w:tcW w:type="dxa" w:w="504"/>
          </w:tcPr>
          <w:p>
            <w:r/>
            <w:r>
              <w:rPr>
                <w:rFonts w:ascii="Calibri" w:hAnsi="Calibri"/>
                <w:color w:val="333333"/>
                <w:sz w:val="18"/>
              </w:rPr>
              <w:t>5</w:t>
            </w:r>
          </w:p>
        </w:tc>
        <w:tc>
          <w:tcPr>
            <w:tcW w:type="dxa" w:w="2880"/>
          </w:tcPr>
          <w:p>
            <w:r/>
            <w:r>
              <w:rPr>
                <w:rFonts w:ascii="Calibri" w:hAnsi="Calibri"/>
                <w:color w:val="333333"/>
                <w:sz w:val="18"/>
              </w:rPr>
              <w:t>OpenRouter (Llama 4 Maverick)</w:t>
            </w:r>
          </w:p>
        </w:tc>
        <w:tc>
          <w:tcPr>
            <w:tcW w:type="dxa" w:w="1224"/>
          </w:tcPr>
          <w:p>
            <w:r/>
            <w:r>
              <w:rPr>
                <w:rFonts w:ascii="Calibri" w:hAnsi="Calibri"/>
                <w:color w:val="333333"/>
                <w:sz w:val="18"/>
              </w:rPr>
              <w:t>OpenRouter</w:t>
            </w:r>
          </w:p>
        </w:tc>
        <w:tc>
          <w:tcPr>
            <w:tcW w:type="dxa" w:w="648"/>
          </w:tcPr>
          <w:p>
            <w:r/>
            <w:r>
              <w:rPr>
                <w:rFonts w:ascii="Calibri" w:hAnsi="Calibri"/>
                <w:color w:val="333333"/>
                <w:sz w:val="18"/>
              </w:rPr>
              <w:t>Free</w:t>
            </w:r>
          </w:p>
        </w:tc>
        <w:tc>
          <w:tcPr>
            <w:tcW w:type="dxa" w:w="3384"/>
          </w:tcPr>
          <w:p>
            <w:r/>
            <w:r>
              <w:rPr>
                <w:rFonts w:ascii="Calibri" w:hAnsi="Calibri"/>
                <w:color w:val="333333"/>
                <w:sz w:val="18"/>
              </w:rPr>
              <w:t>Strong general purpose via free models</w:t>
            </w:r>
          </w:p>
        </w:tc>
      </w:tr>
      <w:tr>
        <w:tc>
          <w:tcPr>
            <w:tcW w:type="dxa" w:w="504"/>
            <w:shd w:fill="EAF0F6" w:val="clear"/>
          </w:tcPr>
          <w:p>
            <w:r/>
            <w:r>
              <w:rPr>
                <w:rFonts w:ascii="Calibri" w:hAnsi="Calibri"/>
                <w:color w:val="333333"/>
                <w:sz w:val="18"/>
              </w:rPr>
              <w:t>6</w:t>
            </w:r>
          </w:p>
        </w:tc>
        <w:tc>
          <w:tcPr>
            <w:tcW w:type="dxa" w:w="2880"/>
            <w:shd w:fill="EAF0F6" w:val="clear"/>
          </w:tcPr>
          <w:p>
            <w:r/>
            <w:r>
              <w:rPr>
                <w:rFonts w:ascii="Calibri" w:hAnsi="Calibri"/>
                <w:color w:val="333333"/>
                <w:sz w:val="18"/>
              </w:rPr>
              <w:t>xAI Grok</w:t>
            </w:r>
          </w:p>
        </w:tc>
        <w:tc>
          <w:tcPr>
            <w:tcW w:type="dxa" w:w="1224"/>
            <w:shd w:fill="EAF0F6" w:val="clear"/>
          </w:tcPr>
          <w:p>
            <w:r/>
            <w:r>
              <w:rPr>
                <w:rFonts w:ascii="Calibri" w:hAnsi="Calibri"/>
                <w:color w:val="333333"/>
                <w:sz w:val="18"/>
              </w:rPr>
              <w:t>xAI</w:t>
            </w:r>
          </w:p>
        </w:tc>
        <w:tc>
          <w:tcPr>
            <w:tcW w:type="dxa" w:w="648"/>
            <w:shd w:fill="EAF0F6" w:val="clear"/>
          </w:tcPr>
          <w:p>
            <w:r/>
            <w:r>
              <w:rPr>
                <w:rFonts w:ascii="Calibri" w:hAnsi="Calibri"/>
                <w:color w:val="333333"/>
                <w:sz w:val="18"/>
              </w:rPr>
              <w:t>Free*</w:t>
            </w:r>
          </w:p>
        </w:tc>
        <w:tc>
          <w:tcPr>
            <w:tcW w:type="dxa" w:w="3384"/>
            <w:shd w:fill="EAF0F6" w:val="clear"/>
          </w:tcPr>
          <w:p>
            <w:r/>
            <w:r>
              <w:rPr>
                <w:rFonts w:ascii="Calibri" w:hAnsi="Calibri"/>
                <w:color w:val="333333"/>
                <w:sz w:val="18"/>
              </w:rPr>
              <w:t>Strong reasoning ($25 signup credits)</w:t>
            </w:r>
          </w:p>
        </w:tc>
      </w:tr>
      <w:tr>
        <w:tc>
          <w:tcPr>
            <w:tcW w:type="dxa" w:w="504"/>
          </w:tcPr>
          <w:p>
            <w:r/>
            <w:r>
              <w:rPr>
                <w:rFonts w:ascii="Calibri" w:hAnsi="Calibri"/>
                <w:color w:val="333333"/>
                <w:sz w:val="18"/>
              </w:rPr>
              <w:t>7</w:t>
            </w:r>
          </w:p>
        </w:tc>
        <w:tc>
          <w:tcPr>
            <w:tcW w:type="dxa" w:w="2880"/>
          </w:tcPr>
          <w:p>
            <w:r/>
            <w:r>
              <w:rPr>
                <w:rFonts w:ascii="Calibri" w:hAnsi="Calibri"/>
                <w:color w:val="333333"/>
                <w:sz w:val="18"/>
              </w:rPr>
              <w:t>SambaNova (Llama 3.1 405B)</w:t>
            </w:r>
          </w:p>
        </w:tc>
        <w:tc>
          <w:tcPr>
            <w:tcW w:type="dxa" w:w="1224"/>
          </w:tcPr>
          <w:p>
            <w:r/>
            <w:r>
              <w:rPr>
                <w:rFonts w:ascii="Calibri" w:hAnsi="Calibri"/>
                <w:color w:val="333333"/>
                <w:sz w:val="18"/>
              </w:rPr>
              <w:t>SambaNova</w:t>
            </w:r>
          </w:p>
        </w:tc>
        <w:tc>
          <w:tcPr>
            <w:tcW w:type="dxa" w:w="648"/>
          </w:tcPr>
          <w:p>
            <w:r/>
            <w:r>
              <w:rPr>
                <w:rFonts w:ascii="Calibri" w:hAnsi="Calibri"/>
                <w:color w:val="333333"/>
                <w:sz w:val="18"/>
              </w:rPr>
              <w:t>Free</w:t>
            </w:r>
          </w:p>
        </w:tc>
        <w:tc>
          <w:tcPr>
            <w:tcW w:type="dxa" w:w="3384"/>
          </w:tcPr>
          <w:p>
            <w:r/>
            <w:r>
              <w:rPr>
                <w:rFonts w:ascii="Calibri" w:hAnsi="Calibri"/>
                <w:color w:val="333333"/>
                <w:sz w:val="18"/>
              </w:rPr>
              <w:t>Largest open model free, fastest inference (RDU)</w:t>
            </w:r>
          </w:p>
        </w:tc>
      </w:tr>
      <w:tr>
        <w:tc>
          <w:tcPr>
            <w:tcW w:type="dxa" w:w="504"/>
            <w:shd w:fill="EAF0F6" w:val="clear"/>
          </w:tcPr>
          <w:p>
            <w:r/>
            <w:r>
              <w:rPr>
                <w:rFonts w:ascii="Calibri" w:hAnsi="Calibri"/>
                <w:color w:val="333333"/>
                <w:sz w:val="18"/>
              </w:rPr>
              <w:t>8</w:t>
            </w:r>
          </w:p>
        </w:tc>
        <w:tc>
          <w:tcPr>
            <w:tcW w:type="dxa" w:w="2880"/>
            <w:shd w:fill="EAF0F6" w:val="clear"/>
          </w:tcPr>
          <w:p>
            <w:r/>
            <w:r>
              <w:rPr>
                <w:rFonts w:ascii="Calibri" w:hAnsi="Calibri"/>
                <w:color w:val="333333"/>
                <w:sz w:val="18"/>
              </w:rPr>
              <w:t>NVIDIA NIM (Llama 3.1 70B)</w:t>
            </w:r>
          </w:p>
        </w:tc>
        <w:tc>
          <w:tcPr>
            <w:tcW w:type="dxa" w:w="1224"/>
            <w:shd w:fill="EAF0F6" w:val="clear"/>
          </w:tcPr>
          <w:p>
            <w:r/>
            <w:r>
              <w:rPr>
                <w:rFonts w:ascii="Calibri" w:hAnsi="Calibri"/>
                <w:color w:val="333333"/>
                <w:sz w:val="18"/>
              </w:rPr>
              <w:t>NVIDIA</w:t>
            </w:r>
          </w:p>
        </w:tc>
        <w:tc>
          <w:tcPr>
            <w:tcW w:type="dxa" w:w="648"/>
            <w:shd w:fill="EAF0F6" w:val="clear"/>
          </w:tcPr>
          <w:p>
            <w:r/>
            <w:r>
              <w:rPr>
                <w:rFonts w:ascii="Calibri" w:hAnsi="Calibri"/>
                <w:color w:val="333333"/>
                <w:sz w:val="18"/>
              </w:rPr>
              <w:t>Free</w:t>
            </w:r>
          </w:p>
        </w:tc>
        <w:tc>
          <w:tcPr>
            <w:tcW w:type="dxa" w:w="3384"/>
            <w:shd w:fill="EAF0F6" w:val="clear"/>
          </w:tcPr>
          <w:p>
            <w:r/>
            <w:r>
              <w:rPr>
                <w:rFonts w:ascii="Calibri" w:hAnsi="Calibri"/>
                <w:color w:val="333333"/>
                <w:sz w:val="18"/>
              </w:rPr>
              <w:t>NVIDIA-optimized, exclusive Nemotron models</w:t>
            </w:r>
          </w:p>
        </w:tc>
      </w:tr>
      <w:tr>
        <w:tc>
          <w:tcPr>
            <w:tcW w:type="dxa" w:w="504"/>
          </w:tcPr>
          <w:p>
            <w:r/>
            <w:r>
              <w:rPr>
                <w:rFonts w:ascii="Calibri" w:hAnsi="Calibri"/>
                <w:color w:val="333333"/>
                <w:sz w:val="18"/>
              </w:rPr>
              <w:t>9</w:t>
            </w:r>
          </w:p>
        </w:tc>
        <w:tc>
          <w:tcPr>
            <w:tcW w:type="dxa" w:w="2880"/>
          </w:tcPr>
          <w:p>
            <w:r/>
            <w:r>
              <w:rPr>
                <w:rFonts w:ascii="Calibri" w:hAnsi="Calibri"/>
                <w:color w:val="333333"/>
                <w:sz w:val="18"/>
              </w:rPr>
              <w:t>Cloudflare Workers AI (Llama 3.3 70B)</w:t>
            </w:r>
          </w:p>
        </w:tc>
        <w:tc>
          <w:tcPr>
            <w:tcW w:type="dxa" w:w="1224"/>
          </w:tcPr>
          <w:p>
            <w:r/>
            <w:r>
              <w:rPr>
                <w:rFonts w:ascii="Calibri" w:hAnsi="Calibri"/>
                <w:color w:val="333333"/>
                <w:sz w:val="18"/>
              </w:rPr>
              <w:t>Cloudflare</w:t>
            </w:r>
          </w:p>
        </w:tc>
        <w:tc>
          <w:tcPr>
            <w:tcW w:type="dxa" w:w="648"/>
          </w:tcPr>
          <w:p>
            <w:r/>
            <w:r>
              <w:rPr>
                <w:rFonts w:ascii="Calibri" w:hAnsi="Calibri"/>
                <w:color w:val="333333"/>
                <w:sz w:val="18"/>
              </w:rPr>
              <w:t>Free</w:t>
            </w:r>
          </w:p>
        </w:tc>
        <w:tc>
          <w:tcPr>
            <w:tcW w:type="dxa" w:w="3384"/>
          </w:tcPr>
          <w:p>
            <w:r/>
            <w:r>
              <w:rPr>
                <w:rFonts w:ascii="Calibri" w:hAnsi="Calibri"/>
                <w:color w:val="333333"/>
                <w:sz w:val="18"/>
              </w:rPr>
              <w:t>Edge-distributed, 10K neurons/day</w:t>
            </w:r>
          </w:p>
        </w:tc>
      </w:tr>
      <w:tr>
        <w:tc>
          <w:tcPr>
            <w:tcW w:type="dxa" w:w="504"/>
            <w:shd w:fill="EAF0F6" w:val="clear"/>
          </w:tcPr>
          <w:p>
            <w:r/>
            <w:r>
              <w:rPr>
                <w:rFonts w:ascii="Calibri" w:hAnsi="Calibri"/>
                <w:color w:val="333333"/>
                <w:sz w:val="18"/>
              </w:rPr>
              <w:t>10</w:t>
            </w:r>
          </w:p>
        </w:tc>
        <w:tc>
          <w:tcPr>
            <w:tcW w:type="dxa" w:w="2880"/>
            <w:shd w:fill="EAF0F6" w:val="clear"/>
          </w:tcPr>
          <w:p>
            <w:r/>
            <w:r>
              <w:rPr>
                <w:rFonts w:ascii="Calibri" w:hAnsi="Calibri"/>
                <w:color w:val="333333"/>
                <w:sz w:val="18"/>
              </w:rPr>
              <w:t>GPT-4o</w:t>
            </w:r>
          </w:p>
        </w:tc>
        <w:tc>
          <w:tcPr>
            <w:tcW w:type="dxa" w:w="1224"/>
            <w:shd w:fill="EAF0F6" w:val="clear"/>
          </w:tcPr>
          <w:p>
            <w:r/>
            <w:r>
              <w:rPr>
                <w:rFonts w:ascii="Calibri" w:hAnsi="Calibri"/>
                <w:color w:val="333333"/>
                <w:sz w:val="18"/>
              </w:rPr>
              <w:t>OpenAI</w:t>
            </w:r>
          </w:p>
        </w:tc>
        <w:tc>
          <w:tcPr>
            <w:tcW w:type="dxa" w:w="648"/>
            <w:shd w:fill="EAF0F6" w:val="clear"/>
          </w:tcPr>
          <w:p>
            <w:r/>
            <w:r>
              <w:rPr>
                <w:rFonts w:ascii="Calibri" w:hAnsi="Calibri"/>
                <w:color w:val="333333"/>
                <w:sz w:val="18"/>
              </w:rPr>
              <w:t>Paid</w:t>
            </w:r>
          </w:p>
        </w:tc>
        <w:tc>
          <w:tcPr>
            <w:tcW w:type="dxa" w:w="3384"/>
            <w:shd w:fill="EAF0F6" w:val="clear"/>
          </w:tcPr>
          <w:p>
            <w:r/>
            <w:r>
              <w:rPr>
                <w:rFonts w:ascii="Calibri" w:hAnsi="Calibri"/>
                <w:color w:val="333333"/>
                <w:sz w:val="18"/>
              </w:rPr>
              <w:t>Structured JSON, general reasoning, calculations</w:t>
            </w:r>
          </w:p>
        </w:tc>
      </w:tr>
      <w:tr>
        <w:tc>
          <w:tcPr>
            <w:tcW w:type="dxa" w:w="504"/>
          </w:tcPr>
          <w:p>
            <w:r/>
            <w:r>
              <w:rPr>
                <w:rFonts w:ascii="Calibri" w:hAnsi="Calibri"/>
                <w:color w:val="333333"/>
                <w:sz w:val="18"/>
              </w:rPr>
              <w:t>11</w:t>
            </w:r>
          </w:p>
        </w:tc>
        <w:tc>
          <w:tcPr>
            <w:tcW w:type="dxa" w:w="2880"/>
          </w:tcPr>
          <w:p>
            <w:r/>
            <w:r>
              <w:rPr>
                <w:rFonts w:ascii="Calibri" w:hAnsi="Calibri"/>
                <w:color w:val="333333"/>
                <w:sz w:val="18"/>
              </w:rPr>
              <w:t>Claude Sonnet 4</w:t>
            </w:r>
          </w:p>
        </w:tc>
        <w:tc>
          <w:tcPr>
            <w:tcW w:type="dxa" w:w="1224"/>
          </w:tcPr>
          <w:p>
            <w:r/>
            <w:r>
              <w:rPr>
                <w:rFonts w:ascii="Calibri" w:hAnsi="Calibri"/>
                <w:color w:val="333333"/>
                <w:sz w:val="18"/>
              </w:rPr>
              <w:t>Anthropic</w:t>
            </w:r>
          </w:p>
        </w:tc>
        <w:tc>
          <w:tcPr>
            <w:tcW w:type="dxa" w:w="648"/>
          </w:tcPr>
          <w:p>
            <w:r/>
            <w:r>
              <w:rPr>
                <w:rFonts w:ascii="Calibri" w:hAnsi="Calibri"/>
                <w:color w:val="333333"/>
                <w:sz w:val="18"/>
              </w:rPr>
              <w:t>Paid</w:t>
            </w:r>
          </w:p>
        </w:tc>
        <w:tc>
          <w:tcPr>
            <w:tcW w:type="dxa" w:w="3384"/>
          </w:tcPr>
          <w:p>
            <w:r/>
            <w:r>
              <w:rPr>
                <w:rFonts w:ascii="Calibri" w:hAnsi="Calibri"/>
                <w:color w:val="333333"/>
                <w:sz w:val="18"/>
              </w:rPr>
              <w:t>High quality, strong tool-use chains</w:t>
            </w:r>
          </w:p>
        </w:tc>
      </w:tr>
      <w:tr>
        <w:tc>
          <w:tcPr>
            <w:tcW w:type="dxa" w:w="504"/>
            <w:shd w:fill="EAF0F6" w:val="clear"/>
          </w:tcPr>
          <w:p>
            <w:r/>
            <w:r>
              <w:rPr>
                <w:rFonts w:ascii="Calibri" w:hAnsi="Calibri"/>
                <w:color w:val="333333"/>
                <w:sz w:val="18"/>
              </w:rPr>
              <w:t>12</w:t>
            </w:r>
          </w:p>
        </w:tc>
        <w:tc>
          <w:tcPr>
            <w:tcW w:type="dxa" w:w="2880"/>
            <w:shd w:fill="EAF0F6" w:val="clear"/>
          </w:tcPr>
          <w:p>
            <w:r/>
            <w:r>
              <w:rPr>
                <w:rFonts w:ascii="Calibri" w:hAnsi="Calibri"/>
                <w:color w:val="333333"/>
                <w:sz w:val="18"/>
              </w:rPr>
              <w:t>Claude Opus 4</w:t>
            </w:r>
          </w:p>
        </w:tc>
        <w:tc>
          <w:tcPr>
            <w:tcW w:type="dxa" w:w="1224"/>
            <w:shd w:fill="EAF0F6" w:val="clear"/>
          </w:tcPr>
          <w:p>
            <w:r/>
            <w:r>
              <w:rPr>
                <w:rFonts w:ascii="Calibri" w:hAnsi="Calibri"/>
                <w:color w:val="333333"/>
                <w:sz w:val="18"/>
              </w:rPr>
              <w:t>Anthropic</w:t>
            </w:r>
          </w:p>
        </w:tc>
        <w:tc>
          <w:tcPr>
            <w:tcW w:type="dxa" w:w="648"/>
            <w:shd w:fill="EAF0F6" w:val="clear"/>
          </w:tcPr>
          <w:p>
            <w:r/>
            <w:r>
              <w:rPr>
                <w:rFonts w:ascii="Calibri" w:hAnsi="Calibri"/>
                <w:color w:val="333333"/>
                <w:sz w:val="18"/>
              </w:rPr>
              <w:t>Paid</w:t>
            </w:r>
          </w:p>
        </w:tc>
        <w:tc>
          <w:tcPr>
            <w:tcW w:type="dxa" w:w="3384"/>
            <w:shd w:fill="EAF0F6" w:val="clear"/>
          </w:tcPr>
          <w:p>
            <w:r/>
            <w:r>
              <w:rPr>
                <w:rFonts w:ascii="Calibri" w:hAnsi="Calibri"/>
                <w:color w:val="333333"/>
                <w:sz w:val="18"/>
              </w:rPr>
              <w:t>Last resort, highest quality, most expensive</w:t>
            </w:r>
          </w:p>
        </w:tc>
      </w:tr>
    </w:tbl>
    <w:p>
      <w:pPr>
        <w:pStyle w:val="Heading2"/>
      </w:pPr>
      <w:r>
        <w:rPr>
          <w:rFonts w:ascii="Calibri" w:hAnsi="Calibri"/>
          <w:color w:val="1A5C8E"/>
        </w:rPr>
        <w:t>Task-Based Routing</w:t>
      </w:r>
    </w:p>
    <w:p>
      <w:pPr>
        <w:spacing w:after="120"/>
      </w:pPr>
      <w:r>
        <w:rPr>
          <w:rFonts w:ascii="Calibri" w:hAnsi="Calibri"/>
          <w:b w:val="0"/>
          <w:i w:val="0"/>
          <w:color w:val="333333"/>
          <w:sz w:val="22"/>
        </w:rPr>
        <w:t>Every incoming request is classified into one of four task types, and the provider priority order is adjusted accordingly within each tier:</w:t>
      </w:r>
    </w:p>
    <w:tbl>
      <w:tblPr>
        <w:tblStyle w:val="TableGrid"/>
        <w:tblW w:type="auto" w:w="0"/>
        <w:jc w:val="center"/>
        <w:tblLook w:firstColumn="1" w:firstRow="1" w:lastColumn="0" w:lastRow="0" w:noHBand="0" w:noVBand="1" w:val="04A0"/>
      </w:tblPr>
      <w:tblGrid>
        <w:gridCol w:w="3135"/>
        <w:gridCol w:w="3135"/>
        <w:gridCol w:w="3135"/>
      </w:tblGrid>
      <w:tr>
        <w:tc>
          <w:tcPr>
            <w:tcW w:type="dxa" w:w="1728"/>
            <w:shd w:fill="003D6B" w:val="clear"/>
          </w:tcPr>
          <w:p>
            <w:pPr>
              <w:jc w:val="left"/>
            </w:pPr>
            <w:r/>
            <w:r>
              <w:rPr>
                <w:rFonts w:ascii="Calibri" w:hAnsi="Calibri"/>
                <w:b/>
                <w:color w:val="FFFFFF"/>
                <w:sz w:val="19"/>
              </w:rPr>
              <w:t>Task Type</w:t>
            </w:r>
          </w:p>
        </w:tc>
        <w:tc>
          <w:tcPr>
            <w:tcW w:type="dxa" w:w="4032"/>
            <w:shd w:fill="003D6B" w:val="clear"/>
          </w:tcPr>
          <w:p>
            <w:pPr>
              <w:jc w:val="left"/>
            </w:pPr>
            <w:r/>
            <w:r>
              <w:rPr>
                <w:rFonts w:ascii="Calibri" w:hAnsi="Calibri"/>
                <w:b/>
                <w:color w:val="FFFFFF"/>
                <w:sz w:val="19"/>
              </w:rPr>
              <w:t>Description</w:t>
            </w:r>
          </w:p>
        </w:tc>
        <w:tc>
          <w:tcPr>
            <w:tcW w:type="dxa" w:w="2880"/>
            <w:shd w:fill="003D6B" w:val="clear"/>
          </w:tcPr>
          <w:p>
            <w:pPr>
              <w:jc w:val="left"/>
            </w:pPr>
            <w:r/>
            <w:r>
              <w:rPr>
                <w:rFonts w:ascii="Calibri" w:hAnsi="Calibri"/>
                <w:b/>
                <w:color w:val="FFFFFF"/>
                <w:sz w:val="19"/>
              </w:rPr>
              <w:t>Preferred Providers</w:t>
            </w:r>
          </w:p>
        </w:tc>
      </w:tr>
      <w:tr>
        <w:tc>
          <w:tcPr>
            <w:tcW w:type="dxa" w:w="1728"/>
          </w:tcPr>
          <w:p>
            <w:r/>
            <w:r>
              <w:rPr>
                <w:rFonts w:ascii="Calibri" w:hAnsi="Calibri"/>
                <w:color w:val="333333"/>
                <w:sz w:val="18"/>
              </w:rPr>
              <w:t>STRUCTURED</w:t>
            </w:r>
          </w:p>
        </w:tc>
        <w:tc>
          <w:tcPr>
            <w:tcW w:type="dxa" w:w="4032"/>
          </w:tcPr>
          <w:p>
            <w:r/>
            <w:r>
              <w:rPr>
                <w:rFonts w:ascii="Calibri" w:hAnsi="Calibri"/>
                <w:color w:val="333333"/>
                <w:sz w:val="18"/>
              </w:rPr>
              <w:t>Benchmark lookups, CPC/CPA queries, JSON output</w:t>
            </w:r>
          </w:p>
        </w:tc>
        <w:tc>
          <w:tcPr>
            <w:tcW w:type="dxa" w:w="2880"/>
          </w:tcPr>
          <w:p>
            <w:r/>
            <w:r>
              <w:rPr>
                <w:rFonts w:ascii="Calibri" w:hAnsi="Calibri"/>
                <w:color w:val="333333"/>
                <w:sz w:val="18"/>
              </w:rPr>
              <w:t>Gemini &gt; Mistral &gt; Groq &gt; ... &gt; GPT-4o</w:t>
            </w:r>
          </w:p>
        </w:tc>
      </w:tr>
      <w:tr>
        <w:tc>
          <w:tcPr>
            <w:tcW w:type="dxa" w:w="1728"/>
            <w:shd w:fill="EAF0F6" w:val="clear"/>
          </w:tcPr>
          <w:p>
            <w:r/>
            <w:r>
              <w:rPr>
                <w:rFonts w:ascii="Calibri" w:hAnsi="Calibri"/>
                <w:color w:val="333333"/>
                <w:sz w:val="18"/>
              </w:rPr>
              <w:t>CONVERSATIONAL</w:t>
            </w:r>
          </w:p>
        </w:tc>
        <w:tc>
          <w:tcPr>
            <w:tcW w:type="dxa" w:w="4032"/>
            <w:shd w:fill="EAF0F6" w:val="clear"/>
          </w:tcPr>
          <w:p>
            <w:r/>
            <w:r>
              <w:rPr>
                <w:rFonts w:ascii="Calibri" w:hAnsi="Calibri"/>
                <w:color w:val="333333"/>
                <w:sz w:val="18"/>
              </w:rPr>
              <w:t>Strategy explanations, general Q&amp;A, advisory</w:t>
            </w:r>
          </w:p>
        </w:tc>
        <w:tc>
          <w:tcPr>
            <w:tcW w:type="dxa" w:w="2880"/>
            <w:shd w:fill="EAF0F6" w:val="clear"/>
          </w:tcPr>
          <w:p>
            <w:r/>
            <w:r>
              <w:rPr>
                <w:rFonts w:ascii="Calibri" w:hAnsi="Calibri"/>
                <w:color w:val="333333"/>
                <w:sz w:val="18"/>
              </w:rPr>
              <w:t>Groq &gt; Cerebras &gt; Gemini &gt; ... &gt; GPT-4o</w:t>
            </w:r>
          </w:p>
        </w:tc>
      </w:tr>
      <w:tr>
        <w:tc>
          <w:tcPr>
            <w:tcW w:type="dxa" w:w="1728"/>
          </w:tcPr>
          <w:p>
            <w:r/>
            <w:r>
              <w:rPr>
                <w:rFonts w:ascii="Calibri" w:hAnsi="Calibri"/>
                <w:color w:val="333333"/>
                <w:sz w:val="18"/>
              </w:rPr>
              <w:t>COMPLEX</w:t>
            </w:r>
          </w:p>
        </w:tc>
        <w:tc>
          <w:tcPr>
            <w:tcW w:type="dxa" w:w="4032"/>
          </w:tcPr>
          <w:p>
            <w:r/>
            <w:r>
              <w:rPr>
                <w:rFonts w:ascii="Calibri" w:hAnsi="Calibri"/>
                <w:color w:val="333333"/>
                <w:sz w:val="18"/>
              </w:rPr>
              <w:t>What-if scenarios, role decomposition, multi-step analysis</w:t>
            </w:r>
          </w:p>
        </w:tc>
        <w:tc>
          <w:tcPr>
            <w:tcW w:type="dxa" w:w="2880"/>
          </w:tcPr>
          <w:p>
            <w:r/>
            <w:r>
              <w:rPr>
                <w:rFonts w:ascii="Calibri" w:hAnsi="Calibri"/>
                <w:color w:val="333333"/>
                <w:sz w:val="18"/>
              </w:rPr>
              <w:t>Groq &gt; Cerebras &gt; Gemini &gt; ... &gt; Claude Sonnet</w:t>
            </w:r>
          </w:p>
        </w:tc>
      </w:tr>
      <w:tr>
        <w:tc>
          <w:tcPr>
            <w:tcW w:type="dxa" w:w="1728"/>
            <w:shd w:fill="EAF0F6" w:val="clear"/>
          </w:tcPr>
          <w:p>
            <w:r/>
            <w:r>
              <w:rPr>
                <w:rFonts w:ascii="Calibri" w:hAnsi="Calibri"/>
                <w:color w:val="333333"/>
                <w:sz w:val="18"/>
              </w:rPr>
              <w:t>CODE</w:t>
            </w:r>
          </w:p>
        </w:tc>
        <w:tc>
          <w:tcPr>
            <w:tcW w:type="dxa" w:w="4032"/>
            <w:shd w:fill="EAF0F6" w:val="clear"/>
          </w:tcPr>
          <w:p>
            <w:r/>
            <w:r>
              <w:rPr>
                <w:rFonts w:ascii="Calibri" w:hAnsi="Calibri"/>
                <w:color w:val="333333"/>
                <w:sz w:val="18"/>
              </w:rPr>
              <w:t>Formula generation, calculations, data transforms</w:t>
            </w:r>
          </w:p>
        </w:tc>
        <w:tc>
          <w:tcPr>
            <w:tcW w:type="dxa" w:w="2880"/>
            <w:shd w:fill="EAF0F6" w:val="clear"/>
          </w:tcPr>
          <w:p>
            <w:r/>
            <w:r>
              <w:rPr>
                <w:rFonts w:ascii="Calibri" w:hAnsi="Calibri"/>
                <w:color w:val="333333"/>
                <w:sz w:val="18"/>
              </w:rPr>
              <w:t>Gemini &gt; Mistral &gt; Groq &gt; ... &gt; GPT-4o</w:t>
            </w:r>
          </w:p>
        </w:tc>
      </w:tr>
    </w:tbl>
    <w:p>
      <w:pPr>
        <w:pStyle w:val="Heading2"/>
      </w:pPr>
      <w:r>
        <w:rPr>
          <w:rFonts w:ascii="Calibri" w:hAnsi="Calibri"/>
          <w:color w:val="1A5C8E"/>
        </w:rPr>
        <w:t>Fault Tolerance</w:t>
      </w:r>
    </w:p>
    <w:p>
      <w:pPr>
        <w:pStyle w:val="ListBullet"/>
      </w:pPr>
      <w:r>
        <w:rPr>
          <w:rFonts w:ascii="Calibri" w:hAnsi="Calibri"/>
          <w:b/>
          <w:color w:val="333333"/>
          <w:sz w:val="22"/>
        </w:rPr>
        <w:t>Circuit Breakers:</w:t>
      </w:r>
      <w:r>
        <w:rPr>
          <w:rFonts w:ascii="Calibri" w:hAnsi="Calibri"/>
          <w:color w:val="333333"/>
          <w:sz w:val="22"/>
        </w:rPr>
        <w:t xml:space="preserve"> Each provider has an independent circuit breaker. After 5 consecutive failures, the provider enters a 60-second cooldown before retrying.</w:t>
      </w:r>
    </w:p>
    <w:p>
      <w:pPr>
        <w:pStyle w:val="ListBullet"/>
      </w:pPr>
      <w:r>
        <w:rPr>
          <w:rFonts w:ascii="Calibri" w:hAnsi="Calibri"/>
          <w:b/>
          <w:color w:val="333333"/>
          <w:sz w:val="22"/>
        </w:rPr>
        <w:t>Rate Limiting:</w:t>
      </w:r>
      <w:r>
        <w:rPr>
          <w:rFonts w:ascii="Calibri" w:hAnsi="Calibri"/>
          <w:color w:val="333333"/>
          <w:sz w:val="22"/>
        </w:rPr>
        <w:t xml:space="preserve"> Per-minute and per-day request tracking per provider prevents exceeding API quotas (e.g., Gemini: 15 RPM / 1,500 RPD; Groq: 30 RPM / 14,400 RPD).</w:t>
      </w:r>
    </w:p>
    <w:p>
      <w:pPr>
        <w:pStyle w:val="ListBullet"/>
      </w:pPr>
      <w:r>
        <w:rPr>
          <w:rFonts w:ascii="Calibri" w:hAnsi="Calibri"/>
          <w:b/>
          <w:color w:val="333333"/>
          <w:sz w:val="22"/>
        </w:rPr>
        <w:t>Global Timeout Budget:</w:t>
      </w:r>
      <w:r>
        <w:rPr>
          <w:rFonts w:ascii="Calibri" w:hAnsi="Calibri"/>
          <w:color w:val="333333"/>
          <w:sz w:val="22"/>
        </w:rPr>
        <w:t xml:space="preserve"> The entire call_llm() fallback loop is capped at 60 seconds wall-clock time. Individual provider timeouts are dynamically adjusted to fit within the remaining budget. No attempt starts with less than 5 seconds remaining.</w:t>
      </w:r>
    </w:p>
    <w:p>
      <w:r>
        <w:br w:type="page"/>
      </w:r>
    </w:p>
    <w:p>
      <w:pPr>
        <w:pStyle w:val="Heading1"/>
      </w:pPr>
      <w:r>
        <w:rPr>
          <w:rFonts w:ascii="Calibri" w:hAnsi="Calibri"/>
          <w:color w:val="003D6B"/>
        </w:rPr>
        <w:t>Data Intelligence Layer</w:t>
      </w:r>
    </w:p>
    <w:p>
      <w:pPr>
        <w:spacing w:after="120"/>
      </w:pPr>
      <w:r>
        <w:rPr>
          <w:rFonts w:ascii="Calibri" w:hAnsi="Calibri"/>
          <w:b w:val="0"/>
          <w:i w:val="0"/>
          <w:color w:val="333333"/>
          <w:sz w:val="22"/>
        </w:rPr>
        <w:t>The platform's data intelligence layer is built on a unified data orchestrator that cascades through all available data sources in order of cost and speed. It never crashes -- all errors are caught and the caller always receives a usable result dictionary.</w:t>
      </w:r>
    </w:p>
    <w:p>
      <w:pPr>
        <w:pStyle w:val="Heading2"/>
      </w:pPr>
      <w:r>
        <w:rPr>
          <w:rFonts w:ascii="Calibri" w:hAnsi="Calibri"/>
          <w:color w:val="1A5C8E"/>
        </w:rPr>
        <w:t>Unified Data Orchestrator</w:t>
      </w:r>
    </w:p>
    <w:p>
      <w:pPr>
        <w:spacing w:after="120"/>
      </w:pPr>
      <w:r>
        <w:rPr>
          <w:rFonts w:ascii="Calibri" w:hAnsi="Calibri"/>
          <w:b w:val="0"/>
          <w:i w:val="0"/>
          <w:color w:val="333333"/>
          <w:sz w:val="22"/>
        </w:rPr>
        <w:t>The orchestrator (data_orchestrator.py) is the single entry point for enriched data queries. It cascades through six tiers:</w:t>
      </w:r>
    </w:p>
    <w:p>
      <w:pPr>
        <w:pStyle w:val="ListBullet"/>
      </w:pPr>
      <w:r>
        <w:rPr>
          <w:rFonts w:ascii="Calibri" w:hAnsi="Calibri"/>
          <w:b/>
          <w:color w:val="333333"/>
          <w:sz w:val="22"/>
        </w:rPr>
        <w:t>Tier 1:</w:t>
      </w:r>
      <w:r>
        <w:rPr>
          <w:rFonts w:ascii="Calibri" w:hAnsi="Calibri"/>
          <w:color w:val="333333"/>
          <w:sz w:val="22"/>
        </w:rPr>
        <w:t xml:space="preserve"> research.py embedded data (free, instant, 40+ countries, 100+ metros)</w:t>
      </w:r>
    </w:p>
    <w:p>
      <w:pPr>
        <w:pStyle w:val="ListBullet"/>
      </w:pPr>
      <w:r>
        <w:rPr>
          <w:rFonts w:ascii="Calibri" w:hAnsi="Calibri"/>
          <w:b/>
          <w:color w:val="333333"/>
          <w:sz w:val="22"/>
        </w:rPr>
        <w:t>Tier 2:</w:t>
      </w:r>
      <w:r>
        <w:rPr>
          <w:rFonts w:ascii="Calibri" w:hAnsi="Calibri"/>
          <w:color w:val="333333"/>
          <w:sz w:val="22"/>
        </w:rPr>
        <w:t xml:space="preserve"> trend_engine.py benchmarks (free, instant, 4-year CPC/CPA trends)</w:t>
      </w:r>
    </w:p>
    <w:p>
      <w:pPr>
        <w:pStyle w:val="ListBullet"/>
      </w:pPr>
      <w:r>
        <w:rPr>
          <w:rFonts w:ascii="Calibri" w:hAnsi="Calibri"/>
          <w:b/>
          <w:color w:val="333333"/>
          <w:sz w:val="22"/>
        </w:rPr>
        <w:t>Tier 3:</w:t>
      </w:r>
      <w:r>
        <w:rPr>
          <w:rFonts w:ascii="Calibri" w:hAnsi="Calibri"/>
          <w:color w:val="333333"/>
          <w:sz w:val="22"/>
        </w:rPr>
        <w:t xml:space="preserve"> collar_intelligence.py (free, instant, collar classification)</w:t>
      </w:r>
    </w:p>
    <w:p>
      <w:pPr>
        <w:pStyle w:val="ListBullet"/>
      </w:pPr>
      <w:r>
        <w:rPr>
          <w:rFonts w:ascii="Calibri" w:hAnsi="Calibri"/>
          <w:b/>
          <w:color w:val="333333"/>
          <w:sz w:val="22"/>
        </w:rPr>
        <w:t>Tier 4:</w:t>
      </w:r>
      <w:r>
        <w:rPr>
          <w:rFonts w:ascii="Calibri" w:hAnsi="Calibri"/>
          <w:color w:val="333333"/>
          <w:sz w:val="22"/>
        </w:rPr>
        <w:t xml:space="preserve"> Selective live API calls (individual APIs, cached 24 hours)</w:t>
      </w:r>
    </w:p>
    <w:p>
      <w:pPr>
        <w:pStyle w:val="ListBullet"/>
      </w:pPr>
      <w:r>
        <w:rPr>
          <w:rFonts w:ascii="Calibri" w:hAnsi="Calibri"/>
          <w:b/>
          <w:color w:val="333333"/>
          <w:sz w:val="22"/>
        </w:rPr>
        <w:t>Tier 5:</w:t>
      </w:r>
      <w:r>
        <w:rPr>
          <w:rFonts w:ascii="Calibri" w:hAnsi="Calibri"/>
          <w:color w:val="333333"/>
          <w:sz w:val="22"/>
        </w:rPr>
        <w:t xml:space="preserve"> data_synthesizer.py fusion (cross-validates multi-source data)</w:t>
      </w:r>
    </w:p>
    <w:p>
      <w:pPr>
        <w:pStyle w:val="ListBullet"/>
      </w:pPr>
      <w:r>
        <w:rPr>
          <w:rFonts w:ascii="Calibri" w:hAnsi="Calibri"/>
          <w:b/>
          <w:color w:val="333333"/>
          <w:sz w:val="22"/>
        </w:rPr>
        <w:t>Tier 6:</w:t>
      </w:r>
      <w:r>
        <w:rPr>
          <w:rFonts w:ascii="Calibri" w:hAnsi="Calibri"/>
          <w:color w:val="333333"/>
          <w:sz w:val="22"/>
        </w:rPr>
        <w:t xml:space="preserve"> Static KB fallback (JSON files, always available)</w:t>
      </w:r>
    </w:p>
    <w:p>
      <w:pPr>
        <w:pStyle w:val="Heading2"/>
      </w:pPr>
      <w:r>
        <w:rPr>
          <w:rFonts w:ascii="Calibri" w:hAnsi="Calibri"/>
          <w:color w:val="1A5C8E"/>
        </w:rPr>
        <w:t>30+ Real-Time API Integrations</w:t>
      </w:r>
    </w:p>
    <w:tbl>
      <w:tblPr>
        <w:tblStyle w:val="TableGrid"/>
        <w:tblW w:type="auto" w:w="0"/>
        <w:jc w:val="center"/>
        <w:tblLook w:firstColumn="1" w:firstRow="1" w:lastColumn="0" w:lastRow="0" w:noHBand="0" w:noVBand="1" w:val="04A0"/>
      </w:tblPr>
      <w:tblGrid>
        <w:gridCol w:w="3135"/>
        <w:gridCol w:w="3135"/>
        <w:gridCol w:w="3135"/>
      </w:tblGrid>
      <w:tr>
        <w:tc>
          <w:tcPr>
            <w:tcW w:type="dxa" w:w="1872"/>
            <w:shd w:fill="003D6B" w:val="clear"/>
          </w:tcPr>
          <w:p>
            <w:pPr>
              <w:jc w:val="left"/>
            </w:pPr>
            <w:r/>
            <w:r>
              <w:rPr>
                <w:rFonts w:ascii="Calibri" w:hAnsi="Calibri"/>
                <w:b/>
                <w:color w:val="FFFFFF"/>
                <w:sz w:val="19"/>
              </w:rPr>
              <w:t>API</w:t>
            </w:r>
          </w:p>
        </w:tc>
        <w:tc>
          <w:tcPr>
            <w:tcW w:type="dxa" w:w="2448"/>
            <w:shd w:fill="003D6B" w:val="clear"/>
          </w:tcPr>
          <w:p>
            <w:pPr>
              <w:jc w:val="left"/>
            </w:pPr>
            <w:r/>
            <w:r>
              <w:rPr>
                <w:rFonts w:ascii="Calibri" w:hAnsi="Calibri"/>
                <w:b/>
                <w:color w:val="FFFFFF"/>
                <w:sz w:val="19"/>
              </w:rPr>
              <w:t>Provider</w:t>
            </w:r>
          </w:p>
        </w:tc>
        <w:tc>
          <w:tcPr>
            <w:tcW w:type="dxa" w:w="4320"/>
            <w:shd w:fill="003D6B" w:val="clear"/>
          </w:tcPr>
          <w:p>
            <w:pPr>
              <w:jc w:val="left"/>
            </w:pPr>
            <w:r/>
            <w:r>
              <w:rPr>
                <w:rFonts w:ascii="Calibri" w:hAnsi="Calibri"/>
                <w:b/>
                <w:color w:val="FFFFFF"/>
                <w:sz w:val="19"/>
              </w:rPr>
              <w:t>Data Provided</w:t>
            </w:r>
          </w:p>
        </w:tc>
      </w:tr>
      <w:tr>
        <w:tc>
          <w:tcPr>
            <w:tcW w:type="dxa" w:w="1872"/>
          </w:tcPr>
          <w:p>
            <w:r/>
            <w:r>
              <w:rPr>
                <w:rFonts w:ascii="Calibri" w:hAnsi="Calibri"/>
                <w:color w:val="333333"/>
                <w:sz w:val="18"/>
              </w:rPr>
              <w:t>BLS OES</w:t>
            </w:r>
          </w:p>
        </w:tc>
        <w:tc>
          <w:tcPr>
            <w:tcW w:type="dxa" w:w="2448"/>
          </w:tcPr>
          <w:p>
            <w:r/>
            <w:r>
              <w:rPr>
                <w:rFonts w:ascii="Calibri" w:hAnsi="Calibri"/>
                <w:color w:val="333333"/>
                <w:sz w:val="18"/>
              </w:rPr>
              <w:t>Bureau of Labor Statistics</w:t>
            </w:r>
          </w:p>
        </w:tc>
        <w:tc>
          <w:tcPr>
            <w:tcW w:type="dxa" w:w="4320"/>
          </w:tcPr>
          <w:p>
            <w:r/>
            <w:r>
              <w:rPr>
                <w:rFonts w:ascii="Calibri" w:hAnsi="Calibri"/>
                <w:color w:val="333333"/>
                <w:sz w:val="18"/>
              </w:rPr>
              <w:t>Salary data by occupation</w:t>
            </w:r>
          </w:p>
        </w:tc>
      </w:tr>
      <w:tr>
        <w:tc>
          <w:tcPr>
            <w:tcW w:type="dxa" w:w="1872"/>
            <w:shd w:fill="EAF0F6" w:val="clear"/>
          </w:tcPr>
          <w:p>
            <w:r/>
            <w:r>
              <w:rPr>
                <w:rFonts w:ascii="Calibri" w:hAnsi="Calibri"/>
                <w:color w:val="333333"/>
                <w:sz w:val="18"/>
              </w:rPr>
              <w:t>BLS QCEW</w:t>
            </w:r>
          </w:p>
        </w:tc>
        <w:tc>
          <w:tcPr>
            <w:tcW w:type="dxa" w:w="2448"/>
            <w:shd w:fill="EAF0F6" w:val="clear"/>
          </w:tcPr>
          <w:p>
            <w:r/>
            <w:r>
              <w:rPr>
                <w:rFonts w:ascii="Calibri" w:hAnsi="Calibri"/>
                <w:color w:val="333333"/>
                <w:sz w:val="18"/>
              </w:rPr>
              <w:t>Bureau of Labor Statistics</w:t>
            </w:r>
          </w:p>
        </w:tc>
        <w:tc>
          <w:tcPr>
            <w:tcW w:type="dxa" w:w="4320"/>
            <w:shd w:fill="EAF0F6" w:val="clear"/>
          </w:tcPr>
          <w:p>
            <w:r/>
            <w:r>
              <w:rPr>
                <w:rFonts w:ascii="Calibri" w:hAnsi="Calibri"/>
                <w:color w:val="333333"/>
                <w:sz w:val="18"/>
              </w:rPr>
              <w:t>Industry employment and wage statistics</w:t>
            </w:r>
          </w:p>
        </w:tc>
      </w:tr>
      <w:tr>
        <w:tc>
          <w:tcPr>
            <w:tcW w:type="dxa" w:w="1872"/>
          </w:tcPr>
          <w:p>
            <w:r/>
            <w:r>
              <w:rPr>
                <w:rFonts w:ascii="Calibri" w:hAnsi="Calibri"/>
                <w:color w:val="333333"/>
                <w:sz w:val="18"/>
              </w:rPr>
              <w:t>BLS JOLTS</w:t>
            </w:r>
          </w:p>
        </w:tc>
        <w:tc>
          <w:tcPr>
            <w:tcW w:type="dxa" w:w="2448"/>
          </w:tcPr>
          <w:p>
            <w:r/>
            <w:r>
              <w:rPr>
                <w:rFonts w:ascii="Calibri" w:hAnsi="Calibri"/>
                <w:color w:val="333333"/>
                <w:sz w:val="18"/>
              </w:rPr>
              <w:t>Bureau of Labor Statistics</w:t>
            </w:r>
          </w:p>
        </w:tc>
        <w:tc>
          <w:tcPr>
            <w:tcW w:type="dxa" w:w="4320"/>
          </w:tcPr>
          <w:p>
            <w:r/>
            <w:r>
              <w:rPr>
                <w:rFonts w:ascii="Calibri" w:hAnsi="Calibri"/>
                <w:color w:val="333333"/>
                <w:sz w:val="18"/>
              </w:rPr>
              <w:t>Job openings, hires, quits by industry</w:t>
            </w:r>
          </w:p>
        </w:tc>
      </w:tr>
      <w:tr>
        <w:tc>
          <w:tcPr>
            <w:tcW w:type="dxa" w:w="1872"/>
            <w:shd w:fill="EAF0F6" w:val="clear"/>
          </w:tcPr>
          <w:p>
            <w:r/>
            <w:r>
              <w:rPr>
                <w:rFonts w:ascii="Calibri" w:hAnsi="Calibri"/>
                <w:color w:val="333333"/>
                <w:sz w:val="18"/>
              </w:rPr>
              <w:t>US Census ACS</w:t>
            </w:r>
          </w:p>
        </w:tc>
        <w:tc>
          <w:tcPr>
            <w:tcW w:type="dxa" w:w="2448"/>
            <w:shd w:fill="EAF0F6" w:val="clear"/>
          </w:tcPr>
          <w:p>
            <w:r/>
            <w:r>
              <w:rPr>
                <w:rFonts w:ascii="Calibri" w:hAnsi="Calibri"/>
                <w:color w:val="333333"/>
                <w:sz w:val="18"/>
              </w:rPr>
              <w:t>U.S. Census Bureau</w:t>
            </w:r>
          </w:p>
        </w:tc>
        <w:tc>
          <w:tcPr>
            <w:tcW w:type="dxa" w:w="4320"/>
            <w:shd w:fill="EAF0F6" w:val="clear"/>
          </w:tcPr>
          <w:p>
            <w:r/>
            <w:r>
              <w:rPr>
                <w:rFonts w:ascii="Calibri" w:hAnsi="Calibri"/>
                <w:color w:val="333333"/>
                <w:sz w:val="18"/>
              </w:rPr>
              <w:t>Location demographics, population, income</w:t>
            </w:r>
          </w:p>
        </w:tc>
      </w:tr>
      <w:tr>
        <w:tc>
          <w:tcPr>
            <w:tcW w:type="dxa" w:w="1872"/>
          </w:tcPr>
          <w:p>
            <w:r/>
            <w:r>
              <w:rPr>
                <w:rFonts w:ascii="Calibri" w:hAnsi="Calibri"/>
                <w:color w:val="333333"/>
                <w:sz w:val="18"/>
              </w:rPr>
              <w:t>O*NET</w:t>
            </w:r>
          </w:p>
        </w:tc>
        <w:tc>
          <w:tcPr>
            <w:tcW w:type="dxa" w:w="2448"/>
          </w:tcPr>
          <w:p>
            <w:r/>
            <w:r>
              <w:rPr>
                <w:rFonts w:ascii="Calibri" w:hAnsi="Calibri"/>
                <w:color w:val="333333"/>
                <w:sz w:val="18"/>
              </w:rPr>
              <w:t>Dept. of Labor</w:t>
            </w:r>
          </w:p>
        </w:tc>
        <w:tc>
          <w:tcPr>
            <w:tcW w:type="dxa" w:w="4320"/>
          </w:tcPr>
          <w:p>
            <w:r/>
            <w:r>
              <w:rPr>
                <w:rFonts w:ascii="Calibri" w:hAnsi="Calibri"/>
                <w:color w:val="333333"/>
                <w:sz w:val="18"/>
              </w:rPr>
              <w:t>Occupation skills, knowledge, outlook</w:t>
            </w:r>
          </w:p>
        </w:tc>
      </w:tr>
      <w:tr>
        <w:tc>
          <w:tcPr>
            <w:tcW w:type="dxa" w:w="1872"/>
            <w:shd w:fill="EAF0F6" w:val="clear"/>
          </w:tcPr>
          <w:p>
            <w:r/>
            <w:r>
              <w:rPr>
                <w:rFonts w:ascii="Calibri" w:hAnsi="Calibri"/>
                <w:color w:val="333333"/>
                <w:sz w:val="18"/>
              </w:rPr>
              <w:t>CareerOneStop</w:t>
            </w:r>
          </w:p>
        </w:tc>
        <w:tc>
          <w:tcPr>
            <w:tcW w:type="dxa" w:w="2448"/>
            <w:shd w:fill="EAF0F6" w:val="clear"/>
          </w:tcPr>
          <w:p>
            <w:r/>
            <w:r>
              <w:rPr>
                <w:rFonts w:ascii="Calibri" w:hAnsi="Calibri"/>
                <w:color w:val="333333"/>
                <w:sz w:val="18"/>
              </w:rPr>
              <w:t>Dept. of Labor</w:t>
            </w:r>
          </w:p>
        </w:tc>
        <w:tc>
          <w:tcPr>
            <w:tcW w:type="dxa" w:w="4320"/>
            <w:shd w:fill="EAF0F6" w:val="clear"/>
          </w:tcPr>
          <w:p>
            <w:r/>
            <w:r>
              <w:rPr>
                <w:rFonts w:ascii="Calibri" w:hAnsi="Calibri"/>
                <w:color w:val="333333"/>
                <w:sz w:val="18"/>
              </w:rPr>
              <w:t>Salary, outlook, certifications</w:t>
            </w:r>
          </w:p>
        </w:tc>
      </w:tr>
      <w:tr>
        <w:tc>
          <w:tcPr>
            <w:tcW w:type="dxa" w:w="1872"/>
          </w:tcPr>
          <w:p>
            <w:r/>
            <w:r>
              <w:rPr>
                <w:rFonts w:ascii="Calibri" w:hAnsi="Calibri"/>
                <w:color w:val="333333"/>
                <w:sz w:val="18"/>
              </w:rPr>
              <w:t>FRED</w:t>
            </w:r>
          </w:p>
        </w:tc>
        <w:tc>
          <w:tcPr>
            <w:tcW w:type="dxa" w:w="2448"/>
          </w:tcPr>
          <w:p>
            <w:r/>
            <w:r>
              <w:rPr>
                <w:rFonts w:ascii="Calibri" w:hAnsi="Calibri"/>
                <w:color w:val="333333"/>
                <w:sz w:val="18"/>
              </w:rPr>
              <w:t>Federal Reserve</w:t>
            </w:r>
          </w:p>
        </w:tc>
        <w:tc>
          <w:tcPr>
            <w:tcW w:type="dxa" w:w="4320"/>
          </w:tcPr>
          <w:p>
            <w:r/>
            <w:r>
              <w:rPr>
                <w:rFonts w:ascii="Calibri" w:hAnsi="Calibri"/>
                <w:color w:val="333333"/>
                <w:sz w:val="18"/>
              </w:rPr>
              <w:t>Economic indicators, avg hourly earnings, ECI</w:t>
            </w:r>
          </w:p>
        </w:tc>
      </w:tr>
      <w:tr>
        <w:tc>
          <w:tcPr>
            <w:tcW w:type="dxa" w:w="1872"/>
            <w:shd w:fill="EAF0F6" w:val="clear"/>
          </w:tcPr>
          <w:p>
            <w:r/>
            <w:r>
              <w:rPr>
                <w:rFonts w:ascii="Calibri" w:hAnsi="Calibri"/>
                <w:color w:val="333333"/>
                <w:sz w:val="18"/>
              </w:rPr>
              <w:t>World Bank</w:t>
            </w:r>
          </w:p>
        </w:tc>
        <w:tc>
          <w:tcPr>
            <w:tcW w:type="dxa" w:w="2448"/>
            <w:shd w:fill="EAF0F6" w:val="clear"/>
          </w:tcPr>
          <w:p>
            <w:r/>
            <w:r>
              <w:rPr>
                <w:rFonts w:ascii="Calibri" w:hAnsi="Calibri"/>
                <w:color w:val="333333"/>
                <w:sz w:val="18"/>
              </w:rPr>
              <w:t>World Bank Group</w:t>
            </w:r>
          </w:p>
        </w:tc>
        <w:tc>
          <w:tcPr>
            <w:tcW w:type="dxa" w:w="4320"/>
            <w:shd w:fill="EAF0F6" w:val="clear"/>
          </w:tcPr>
          <w:p>
            <w:r/>
            <w:r>
              <w:rPr>
                <w:rFonts w:ascii="Calibri" w:hAnsi="Calibri"/>
                <w:color w:val="333333"/>
                <w:sz w:val="18"/>
              </w:rPr>
              <w:t>Global economic indicators (190+ countries)</w:t>
            </w:r>
          </w:p>
        </w:tc>
      </w:tr>
      <w:tr>
        <w:tc>
          <w:tcPr>
            <w:tcW w:type="dxa" w:w="1872"/>
          </w:tcPr>
          <w:p>
            <w:r/>
            <w:r>
              <w:rPr>
                <w:rFonts w:ascii="Calibri" w:hAnsi="Calibri"/>
                <w:color w:val="333333"/>
                <w:sz w:val="18"/>
              </w:rPr>
              <w:t>IMF DataMapper</w:t>
            </w:r>
          </w:p>
        </w:tc>
        <w:tc>
          <w:tcPr>
            <w:tcW w:type="dxa" w:w="2448"/>
          </w:tcPr>
          <w:p>
            <w:r/>
            <w:r>
              <w:rPr>
                <w:rFonts w:ascii="Calibri" w:hAnsi="Calibri"/>
                <w:color w:val="333333"/>
                <w:sz w:val="18"/>
              </w:rPr>
              <w:t>International Monetary Fund</w:t>
            </w:r>
          </w:p>
        </w:tc>
        <w:tc>
          <w:tcPr>
            <w:tcW w:type="dxa" w:w="4320"/>
          </w:tcPr>
          <w:p>
            <w:r/>
            <w:r>
              <w:rPr>
                <w:rFonts w:ascii="Calibri" w:hAnsi="Calibri"/>
                <w:color w:val="333333"/>
                <w:sz w:val="18"/>
              </w:rPr>
              <w:t>GDP, inflation, unemployment</w:t>
            </w:r>
          </w:p>
        </w:tc>
      </w:tr>
      <w:tr>
        <w:tc>
          <w:tcPr>
            <w:tcW w:type="dxa" w:w="1872"/>
            <w:shd w:fill="EAF0F6" w:val="clear"/>
          </w:tcPr>
          <w:p>
            <w:r/>
            <w:r>
              <w:rPr>
                <w:rFonts w:ascii="Calibri" w:hAnsi="Calibri"/>
                <w:color w:val="333333"/>
                <w:sz w:val="18"/>
              </w:rPr>
              <w:t>Eurostat LFS</w:t>
            </w:r>
          </w:p>
        </w:tc>
        <w:tc>
          <w:tcPr>
            <w:tcW w:type="dxa" w:w="2448"/>
            <w:shd w:fill="EAF0F6" w:val="clear"/>
          </w:tcPr>
          <w:p>
            <w:r/>
            <w:r>
              <w:rPr>
                <w:rFonts w:ascii="Calibri" w:hAnsi="Calibri"/>
                <w:color w:val="333333"/>
                <w:sz w:val="18"/>
              </w:rPr>
              <w:t>European Commission</w:t>
            </w:r>
          </w:p>
        </w:tc>
        <w:tc>
          <w:tcPr>
            <w:tcW w:type="dxa" w:w="4320"/>
            <w:shd w:fill="EAF0F6" w:val="clear"/>
          </w:tcPr>
          <w:p>
            <w:r/>
            <w:r>
              <w:rPr>
                <w:rFonts w:ascii="Calibri" w:hAnsi="Calibri"/>
                <w:color w:val="333333"/>
                <w:sz w:val="18"/>
              </w:rPr>
              <w:t>EU unemployment, wages, employment</w:t>
            </w:r>
          </w:p>
        </w:tc>
      </w:tr>
      <w:tr>
        <w:tc>
          <w:tcPr>
            <w:tcW w:type="dxa" w:w="1872"/>
          </w:tcPr>
          <w:p>
            <w:r/>
            <w:r>
              <w:rPr>
                <w:rFonts w:ascii="Calibri" w:hAnsi="Calibri"/>
                <w:color w:val="333333"/>
                <w:sz w:val="18"/>
              </w:rPr>
              <w:t>ILO ILOSTAT</w:t>
            </w:r>
          </w:p>
        </w:tc>
        <w:tc>
          <w:tcPr>
            <w:tcW w:type="dxa" w:w="2448"/>
          </w:tcPr>
          <w:p>
            <w:r/>
            <w:r>
              <w:rPr>
                <w:rFonts w:ascii="Calibri" w:hAnsi="Calibri"/>
                <w:color w:val="333333"/>
                <w:sz w:val="18"/>
              </w:rPr>
              <w:t>International Labour Org.</w:t>
            </w:r>
          </w:p>
        </w:tc>
        <w:tc>
          <w:tcPr>
            <w:tcW w:type="dxa" w:w="4320"/>
          </w:tcPr>
          <w:p>
            <w:r/>
            <w:r>
              <w:rPr>
                <w:rFonts w:ascii="Calibri" w:hAnsi="Calibri"/>
                <w:color w:val="333333"/>
                <w:sz w:val="18"/>
              </w:rPr>
              <w:t>Global labour participation rates</w:t>
            </w:r>
          </w:p>
        </w:tc>
      </w:tr>
      <w:tr>
        <w:tc>
          <w:tcPr>
            <w:tcW w:type="dxa" w:w="1872"/>
            <w:shd w:fill="EAF0F6" w:val="clear"/>
          </w:tcPr>
          <w:p>
            <w:r/>
            <w:r>
              <w:rPr>
                <w:rFonts w:ascii="Calibri" w:hAnsi="Calibri"/>
                <w:color w:val="333333"/>
                <w:sz w:val="18"/>
              </w:rPr>
              <w:t>SEC EDGAR</w:t>
            </w:r>
          </w:p>
        </w:tc>
        <w:tc>
          <w:tcPr>
            <w:tcW w:type="dxa" w:w="2448"/>
            <w:shd w:fill="EAF0F6" w:val="clear"/>
          </w:tcPr>
          <w:p>
            <w:r/>
            <w:r>
              <w:rPr>
                <w:rFonts w:ascii="Calibri" w:hAnsi="Calibri"/>
                <w:color w:val="333333"/>
                <w:sz w:val="18"/>
              </w:rPr>
              <w:t>Securities &amp; Exchange Comm.</w:t>
            </w:r>
          </w:p>
        </w:tc>
        <w:tc>
          <w:tcPr>
            <w:tcW w:type="dxa" w:w="4320"/>
            <w:shd w:fill="EAF0F6" w:val="clear"/>
          </w:tcPr>
          <w:p>
            <w:r/>
            <w:r>
              <w:rPr>
                <w:rFonts w:ascii="Calibri" w:hAnsi="Calibri"/>
                <w:color w:val="333333"/>
                <w:sz w:val="18"/>
              </w:rPr>
              <w:t>Public company filings and data</w:t>
            </w:r>
          </w:p>
        </w:tc>
      </w:tr>
      <w:tr>
        <w:tc>
          <w:tcPr>
            <w:tcW w:type="dxa" w:w="1872"/>
          </w:tcPr>
          <w:p>
            <w:r/>
            <w:r>
              <w:rPr>
                <w:rFonts w:ascii="Calibri" w:hAnsi="Calibri"/>
                <w:color w:val="333333"/>
                <w:sz w:val="18"/>
              </w:rPr>
              <w:t>Google Ads API</w:t>
            </w:r>
          </w:p>
        </w:tc>
        <w:tc>
          <w:tcPr>
            <w:tcW w:type="dxa" w:w="2448"/>
          </w:tcPr>
          <w:p>
            <w:r/>
            <w:r>
              <w:rPr>
                <w:rFonts w:ascii="Calibri" w:hAnsi="Calibri"/>
                <w:color w:val="333333"/>
                <w:sz w:val="18"/>
              </w:rPr>
              <w:t>Google</w:t>
            </w:r>
          </w:p>
        </w:tc>
        <w:tc>
          <w:tcPr>
            <w:tcW w:type="dxa" w:w="4320"/>
          </w:tcPr>
          <w:p>
            <w:r/>
            <w:r>
              <w:rPr>
                <w:rFonts w:ascii="Calibri" w:hAnsi="Calibri"/>
                <w:color w:val="333333"/>
                <w:sz w:val="18"/>
              </w:rPr>
              <w:t>Keyword search volumes, CPC/CPM benchmarks</w:t>
            </w:r>
          </w:p>
        </w:tc>
      </w:tr>
      <w:tr>
        <w:tc>
          <w:tcPr>
            <w:tcW w:type="dxa" w:w="1872"/>
            <w:shd w:fill="EAF0F6" w:val="clear"/>
          </w:tcPr>
          <w:p>
            <w:r/>
            <w:r>
              <w:rPr>
                <w:rFonts w:ascii="Calibri" w:hAnsi="Calibri"/>
                <w:color w:val="333333"/>
                <w:sz w:val="18"/>
              </w:rPr>
              <w:t>Meta Marketing API</w:t>
            </w:r>
          </w:p>
        </w:tc>
        <w:tc>
          <w:tcPr>
            <w:tcW w:type="dxa" w:w="2448"/>
            <w:shd w:fill="EAF0F6" w:val="clear"/>
          </w:tcPr>
          <w:p>
            <w:r/>
            <w:r>
              <w:rPr>
                <w:rFonts w:ascii="Calibri" w:hAnsi="Calibri"/>
                <w:color w:val="333333"/>
                <w:sz w:val="18"/>
              </w:rPr>
              <w:t>Meta</w:t>
            </w:r>
          </w:p>
        </w:tc>
        <w:tc>
          <w:tcPr>
            <w:tcW w:type="dxa" w:w="4320"/>
            <w:shd w:fill="EAF0F6" w:val="clear"/>
          </w:tcPr>
          <w:p>
            <w:r/>
            <w:r>
              <w:rPr>
                <w:rFonts w:ascii="Calibri" w:hAnsi="Calibri"/>
                <w:color w:val="333333"/>
                <w:sz w:val="18"/>
              </w:rPr>
              <w:t>Facebook/Instagram audience sizing, CPC/CPM</w:t>
            </w:r>
          </w:p>
        </w:tc>
      </w:tr>
      <w:tr>
        <w:tc>
          <w:tcPr>
            <w:tcW w:type="dxa" w:w="1872"/>
          </w:tcPr>
          <w:p>
            <w:r/>
            <w:r>
              <w:rPr>
                <w:rFonts w:ascii="Calibri" w:hAnsi="Calibri"/>
                <w:color w:val="333333"/>
                <w:sz w:val="18"/>
              </w:rPr>
              <w:t>LinkedIn Marketing API</w:t>
            </w:r>
          </w:p>
        </w:tc>
        <w:tc>
          <w:tcPr>
            <w:tcW w:type="dxa" w:w="2448"/>
          </w:tcPr>
          <w:p>
            <w:r/>
            <w:r>
              <w:rPr>
                <w:rFonts w:ascii="Calibri" w:hAnsi="Calibri"/>
                <w:color w:val="333333"/>
                <w:sz w:val="18"/>
              </w:rPr>
              <w:t>LinkedIn</w:t>
            </w:r>
          </w:p>
        </w:tc>
        <w:tc>
          <w:tcPr>
            <w:tcW w:type="dxa" w:w="4320"/>
          </w:tcPr>
          <w:p>
            <w:r/>
            <w:r>
              <w:rPr>
                <w:rFonts w:ascii="Calibri" w:hAnsi="Calibri"/>
                <w:color w:val="333333"/>
                <w:sz w:val="18"/>
              </w:rPr>
              <w:t>Professional audience sizing, CPC</w:t>
            </w:r>
          </w:p>
        </w:tc>
      </w:tr>
      <w:tr>
        <w:tc>
          <w:tcPr>
            <w:tcW w:type="dxa" w:w="1872"/>
            <w:shd w:fill="EAF0F6" w:val="clear"/>
          </w:tcPr>
          <w:p>
            <w:r/>
            <w:r>
              <w:rPr>
                <w:rFonts w:ascii="Calibri" w:hAnsi="Calibri"/>
                <w:color w:val="333333"/>
                <w:sz w:val="18"/>
              </w:rPr>
              <w:t>Bing Ads API</w:t>
            </w:r>
          </w:p>
        </w:tc>
        <w:tc>
          <w:tcPr>
            <w:tcW w:type="dxa" w:w="2448"/>
            <w:shd w:fill="EAF0F6" w:val="clear"/>
          </w:tcPr>
          <w:p>
            <w:r/>
            <w:r>
              <w:rPr>
                <w:rFonts w:ascii="Calibri" w:hAnsi="Calibri"/>
                <w:color w:val="333333"/>
                <w:sz w:val="18"/>
              </w:rPr>
              <w:t>Microsoft</w:t>
            </w:r>
          </w:p>
        </w:tc>
        <w:tc>
          <w:tcPr>
            <w:tcW w:type="dxa" w:w="4320"/>
            <w:shd w:fill="EAF0F6" w:val="clear"/>
          </w:tcPr>
          <w:p>
            <w:r/>
            <w:r>
              <w:rPr>
                <w:rFonts w:ascii="Calibri" w:hAnsi="Calibri"/>
                <w:color w:val="333333"/>
                <w:sz w:val="18"/>
              </w:rPr>
              <w:t>Search volumes, CPC estimates</w:t>
            </w:r>
          </w:p>
        </w:tc>
      </w:tr>
      <w:tr>
        <w:tc>
          <w:tcPr>
            <w:tcW w:type="dxa" w:w="1872"/>
          </w:tcPr>
          <w:p>
            <w:r/>
            <w:r>
              <w:rPr>
                <w:rFonts w:ascii="Calibri" w:hAnsi="Calibri"/>
                <w:color w:val="333333"/>
                <w:sz w:val="18"/>
              </w:rPr>
              <w:t>TikTok Marketing API</w:t>
            </w:r>
          </w:p>
        </w:tc>
        <w:tc>
          <w:tcPr>
            <w:tcW w:type="dxa" w:w="2448"/>
          </w:tcPr>
          <w:p>
            <w:r/>
            <w:r>
              <w:rPr>
                <w:rFonts w:ascii="Calibri" w:hAnsi="Calibri"/>
                <w:color w:val="333333"/>
                <w:sz w:val="18"/>
              </w:rPr>
              <w:t>TikTok / ByteDance</w:t>
            </w:r>
          </w:p>
        </w:tc>
        <w:tc>
          <w:tcPr>
            <w:tcW w:type="dxa" w:w="4320"/>
          </w:tcPr>
          <w:p>
            <w:r/>
            <w:r>
              <w:rPr>
                <w:rFonts w:ascii="Calibri" w:hAnsi="Calibri"/>
                <w:color w:val="333333"/>
                <w:sz w:val="18"/>
              </w:rPr>
              <w:t>Audience estimation, CPC/CPM</w:t>
            </w:r>
          </w:p>
        </w:tc>
      </w:tr>
      <w:tr>
        <w:tc>
          <w:tcPr>
            <w:tcW w:type="dxa" w:w="1872"/>
            <w:shd w:fill="EAF0F6" w:val="clear"/>
          </w:tcPr>
          <w:p>
            <w:r/>
            <w:r>
              <w:rPr>
                <w:rFonts w:ascii="Calibri" w:hAnsi="Calibri"/>
                <w:color w:val="333333"/>
                <w:sz w:val="18"/>
              </w:rPr>
              <w:t>Adzuna</w:t>
            </w:r>
          </w:p>
        </w:tc>
        <w:tc>
          <w:tcPr>
            <w:tcW w:type="dxa" w:w="2448"/>
            <w:shd w:fill="EAF0F6" w:val="clear"/>
          </w:tcPr>
          <w:p>
            <w:r/>
            <w:r>
              <w:rPr>
                <w:rFonts w:ascii="Calibri" w:hAnsi="Calibri"/>
                <w:color w:val="333333"/>
                <w:sz w:val="18"/>
              </w:rPr>
              <w:t>Adzuna</w:t>
            </w:r>
          </w:p>
        </w:tc>
        <w:tc>
          <w:tcPr>
            <w:tcW w:type="dxa" w:w="4320"/>
            <w:shd w:fill="EAF0F6" w:val="clear"/>
          </w:tcPr>
          <w:p>
            <w:r/>
            <w:r>
              <w:rPr>
                <w:rFonts w:ascii="Calibri" w:hAnsi="Calibri"/>
                <w:color w:val="333333"/>
                <w:sz w:val="18"/>
              </w:rPr>
              <w:t>Job postings and salary data</w:t>
            </w:r>
          </w:p>
        </w:tc>
      </w:tr>
      <w:tr>
        <w:tc>
          <w:tcPr>
            <w:tcW w:type="dxa" w:w="1872"/>
          </w:tcPr>
          <w:p>
            <w:r/>
            <w:r>
              <w:rPr>
                <w:rFonts w:ascii="Calibri" w:hAnsi="Calibri"/>
                <w:color w:val="333333"/>
                <w:sz w:val="18"/>
              </w:rPr>
              <w:t>Jooble</w:t>
            </w:r>
          </w:p>
        </w:tc>
        <w:tc>
          <w:tcPr>
            <w:tcW w:type="dxa" w:w="2448"/>
          </w:tcPr>
          <w:p>
            <w:r/>
            <w:r>
              <w:rPr>
                <w:rFonts w:ascii="Calibri" w:hAnsi="Calibri"/>
                <w:color w:val="333333"/>
                <w:sz w:val="18"/>
              </w:rPr>
              <w:t>Jooble</w:t>
            </w:r>
          </w:p>
        </w:tc>
        <w:tc>
          <w:tcPr>
            <w:tcW w:type="dxa" w:w="4320"/>
          </w:tcPr>
          <w:p>
            <w:r/>
            <w:r>
              <w:rPr>
                <w:rFonts w:ascii="Calibri" w:hAnsi="Calibri"/>
                <w:color w:val="333333"/>
                <w:sz w:val="18"/>
              </w:rPr>
              <w:t>International job market data (69 countries)</w:t>
            </w:r>
          </w:p>
        </w:tc>
      </w:tr>
      <w:tr>
        <w:tc>
          <w:tcPr>
            <w:tcW w:type="dxa" w:w="1872"/>
            <w:shd w:fill="EAF0F6" w:val="clear"/>
          </w:tcPr>
          <w:p>
            <w:r/>
            <w:r>
              <w:rPr>
                <w:rFonts w:ascii="Calibri" w:hAnsi="Calibri"/>
                <w:color w:val="333333"/>
                <w:sz w:val="18"/>
              </w:rPr>
              <w:t>REST Countries</w:t>
            </w:r>
          </w:p>
        </w:tc>
        <w:tc>
          <w:tcPr>
            <w:tcW w:type="dxa" w:w="2448"/>
            <w:shd w:fill="EAF0F6" w:val="clear"/>
          </w:tcPr>
          <w:p>
            <w:r/>
            <w:r>
              <w:rPr>
                <w:rFonts w:ascii="Calibri" w:hAnsi="Calibri"/>
                <w:color w:val="333333"/>
                <w:sz w:val="18"/>
              </w:rPr>
              <w:t>Open Source</w:t>
            </w:r>
          </w:p>
        </w:tc>
        <w:tc>
          <w:tcPr>
            <w:tcW w:type="dxa" w:w="4320"/>
            <w:shd w:fill="EAF0F6" w:val="clear"/>
          </w:tcPr>
          <w:p>
            <w:r/>
            <w:r>
              <w:rPr>
                <w:rFonts w:ascii="Calibri" w:hAnsi="Calibri"/>
                <w:color w:val="333333"/>
                <w:sz w:val="18"/>
              </w:rPr>
              <w:t>Country population, currency, languages</w:t>
            </w:r>
          </w:p>
        </w:tc>
      </w:tr>
      <w:tr>
        <w:tc>
          <w:tcPr>
            <w:tcW w:type="dxa" w:w="1872"/>
          </w:tcPr>
          <w:p>
            <w:r/>
            <w:r>
              <w:rPr>
                <w:rFonts w:ascii="Calibri" w:hAnsi="Calibri"/>
                <w:color w:val="333333"/>
                <w:sz w:val="18"/>
              </w:rPr>
              <w:t>GeoNames</w:t>
            </w:r>
          </w:p>
        </w:tc>
        <w:tc>
          <w:tcPr>
            <w:tcW w:type="dxa" w:w="2448"/>
          </w:tcPr>
          <w:p>
            <w:r/>
            <w:r>
              <w:rPr>
                <w:rFonts w:ascii="Calibri" w:hAnsi="Calibri"/>
                <w:color w:val="333333"/>
                <w:sz w:val="18"/>
              </w:rPr>
              <w:t>GeoNames.org</w:t>
            </w:r>
          </w:p>
        </w:tc>
        <w:tc>
          <w:tcPr>
            <w:tcW w:type="dxa" w:w="4320"/>
          </w:tcPr>
          <w:p>
            <w:r/>
            <w:r>
              <w:rPr>
                <w:rFonts w:ascii="Calibri" w:hAnsi="Calibri"/>
                <w:color w:val="333333"/>
                <w:sz w:val="18"/>
              </w:rPr>
              <w:t>Geographic data, coordinates, timezone</w:t>
            </w:r>
          </w:p>
        </w:tc>
      </w:tr>
      <w:tr>
        <w:tc>
          <w:tcPr>
            <w:tcW w:type="dxa" w:w="1872"/>
            <w:shd w:fill="EAF0F6" w:val="clear"/>
          </w:tcPr>
          <w:p>
            <w:r/>
            <w:r>
              <w:rPr>
                <w:rFonts w:ascii="Calibri" w:hAnsi="Calibri"/>
                <w:color w:val="333333"/>
                <w:sz w:val="18"/>
              </w:rPr>
              <w:t>Teleport</w:t>
            </w:r>
          </w:p>
        </w:tc>
        <w:tc>
          <w:tcPr>
            <w:tcW w:type="dxa" w:w="2448"/>
            <w:shd w:fill="EAF0F6" w:val="clear"/>
          </w:tcPr>
          <w:p>
            <w:r/>
            <w:r>
              <w:rPr>
                <w:rFonts w:ascii="Calibri" w:hAnsi="Calibri"/>
                <w:color w:val="333333"/>
                <w:sz w:val="18"/>
              </w:rPr>
              <w:t>Teleport</w:t>
            </w:r>
          </w:p>
        </w:tc>
        <w:tc>
          <w:tcPr>
            <w:tcW w:type="dxa" w:w="4320"/>
            <w:shd w:fill="EAF0F6" w:val="clear"/>
          </w:tcPr>
          <w:p>
            <w:r/>
            <w:r>
              <w:rPr>
                <w:rFonts w:ascii="Calibri" w:hAnsi="Calibri"/>
                <w:color w:val="333333"/>
                <w:sz w:val="18"/>
              </w:rPr>
              <w:t>Quality of life scores, cost of living</w:t>
            </w:r>
          </w:p>
        </w:tc>
      </w:tr>
      <w:tr>
        <w:tc>
          <w:tcPr>
            <w:tcW w:type="dxa" w:w="1872"/>
          </w:tcPr>
          <w:p>
            <w:r/>
            <w:r>
              <w:rPr>
                <w:rFonts w:ascii="Calibri" w:hAnsi="Calibri"/>
                <w:color w:val="333333"/>
                <w:sz w:val="18"/>
              </w:rPr>
              <w:t>DataUSA</w:t>
            </w:r>
          </w:p>
        </w:tc>
        <w:tc>
          <w:tcPr>
            <w:tcW w:type="dxa" w:w="2448"/>
          </w:tcPr>
          <w:p>
            <w:r/>
            <w:r>
              <w:rPr>
                <w:rFonts w:ascii="Calibri" w:hAnsi="Calibri"/>
                <w:color w:val="333333"/>
                <w:sz w:val="18"/>
              </w:rPr>
              <w:t>Datawheel / Deloitte</w:t>
            </w:r>
          </w:p>
        </w:tc>
        <w:tc>
          <w:tcPr>
            <w:tcW w:type="dxa" w:w="4320"/>
          </w:tcPr>
          <w:p>
            <w:r/>
            <w:r>
              <w:rPr>
                <w:rFonts w:ascii="Calibri" w:hAnsi="Calibri"/>
                <w:color w:val="333333"/>
                <w:sz w:val="18"/>
              </w:rPr>
              <w:t>US occupation wages, state demographics</w:t>
            </w:r>
          </w:p>
        </w:tc>
      </w:tr>
      <w:tr>
        <w:tc>
          <w:tcPr>
            <w:tcW w:type="dxa" w:w="1872"/>
            <w:shd w:fill="EAF0F6" w:val="clear"/>
          </w:tcPr>
          <w:p>
            <w:r/>
            <w:r>
              <w:rPr>
                <w:rFonts w:ascii="Calibri" w:hAnsi="Calibri"/>
                <w:color w:val="333333"/>
                <w:sz w:val="18"/>
              </w:rPr>
              <w:t>Google Trends</w:t>
            </w:r>
          </w:p>
        </w:tc>
        <w:tc>
          <w:tcPr>
            <w:tcW w:type="dxa" w:w="2448"/>
            <w:shd w:fill="EAF0F6" w:val="clear"/>
          </w:tcPr>
          <w:p>
            <w:r/>
            <w:r>
              <w:rPr>
                <w:rFonts w:ascii="Calibri" w:hAnsi="Calibri"/>
                <w:color w:val="333333"/>
                <w:sz w:val="18"/>
              </w:rPr>
              <w:t>Google</w:t>
            </w:r>
          </w:p>
        </w:tc>
        <w:tc>
          <w:tcPr>
            <w:tcW w:type="dxa" w:w="4320"/>
            <w:shd w:fill="EAF0F6" w:val="clear"/>
          </w:tcPr>
          <w:p>
            <w:r/>
            <w:r>
              <w:rPr>
                <w:rFonts w:ascii="Calibri" w:hAnsi="Calibri"/>
                <w:color w:val="333333"/>
                <w:sz w:val="18"/>
              </w:rPr>
              <w:t>Search interest data for job market signals</w:t>
            </w:r>
          </w:p>
        </w:tc>
      </w:tr>
      <w:tr>
        <w:tc>
          <w:tcPr>
            <w:tcW w:type="dxa" w:w="1872"/>
          </w:tcPr>
          <w:p>
            <w:r/>
            <w:r>
              <w:rPr>
                <w:rFonts w:ascii="Calibri" w:hAnsi="Calibri"/>
                <w:color w:val="333333"/>
                <w:sz w:val="18"/>
              </w:rPr>
              <w:t>Wikipedia REST</w:t>
            </w:r>
          </w:p>
        </w:tc>
        <w:tc>
          <w:tcPr>
            <w:tcW w:type="dxa" w:w="2448"/>
          </w:tcPr>
          <w:p>
            <w:r/>
            <w:r>
              <w:rPr>
                <w:rFonts w:ascii="Calibri" w:hAnsi="Calibri"/>
                <w:color w:val="333333"/>
                <w:sz w:val="18"/>
              </w:rPr>
              <w:t>Wikimedia Foundation</w:t>
            </w:r>
          </w:p>
        </w:tc>
        <w:tc>
          <w:tcPr>
            <w:tcW w:type="dxa" w:w="4320"/>
          </w:tcPr>
          <w:p>
            <w:r/>
            <w:r>
              <w:rPr>
                <w:rFonts w:ascii="Calibri" w:hAnsi="Calibri"/>
                <w:color w:val="333333"/>
                <w:sz w:val="18"/>
              </w:rPr>
              <w:t>Company descriptions</w:t>
            </w:r>
          </w:p>
        </w:tc>
      </w:tr>
      <w:tr>
        <w:tc>
          <w:tcPr>
            <w:tcW w:type="dxa" w:w="1872"/>
            <w:shd w:fill="EAF0F6" w:val="clear"/>
          </w:tcPr>
          <w:p>
            <w:r/>
            <w:r>
              <w:rPr>
                <w:rFonts w:ascii="Calibri" w:hAnsi="Calibri"/>
                <w:color w:val="333333"/>
                <w:sz w:val="18"/>
              </w:rPr>
              <w:t>Clearbit</w:t>
            </w:r>
          </w:p>
        </w:tc>
        <w:tc>
          <w:tcPr>
            <w:tcW w:type="dxa" w:w="2448"/>
            <w:shd w:fill="EAF0F6" w:val="clear"/>
          </w:tcPr>
          <w:p>
            <w:r/>
            <w:r>
              <w:rPr>
                <w:rFonts w:ascii="Calibri" w:hAnsi="Calibri"/>
                <w:color w:val="333333"/>
                <w:sz w:val="18"/>
              </w:rPr>
              <w:t>Clearbit / HubSpot</w:t>
            </w:r>
          </w:p>
        </w:tc>
        <w:tc>
          <w:tcPr>
            <w:tcW w:type="dxa" w:w="4320"/>
            <w:shd w:fill="EAF0F6" w:val="clear"/>
          </w:tcPr>
          <w:p>
            <w:r/>
            <w:r>
              <w:rPr>
                <w:rFonts w:ascii="Calibri" w:hAnsi="Calibri"/>
                <w:color w:val="333333"/>
                <w:sz w:val="18"/>
              </w:rPr>
              <w:t>Company metadata and domain lookup</w:t>
            </w:r>
          </w:p>
        </w:tc>
      </w:tr>
      <w:tr>
        <w:tc>
          <w:tcPr>
            <w:tcW w:type="dxa" w:w="1872"/>
          </w:tcPr>
          <w:p>
            <w:r/>
            <w:r>
              <w:rPr>
                <w:rFonts w:ascii="Calibri" w:hAnsi="Calibri"/>
                <w:color w:val="333333"/>
                <w:sz w:val="18"/>
              </w:rPr>
              <w:t>Currency Rates</w:t>
            </w:r>
          </w:p>
        </w:tc>
        <w:tc>
          <w:tcPr>
            <w:tcW w:type="dxa" w:w="2448"/>
          </w:tcPr>
          <w:p>
            <w:r/>
            <w:r>
              <w:rPr>
                <w:rFonts w:ascii="Calibri" w:hAnsi="Calibri"/>
                <w:color w:val="333333"/>
                <w:sz w:val="18"/>
              </w:rPr>
              <w:t>Various</w:t>
            </w:r>
          </w:p>
        </w:tc>
        <w:tc>
          <w:tcPr>
            <w:tcW w:type="dxa" w:w="4320"/>
          </w:tcPr>
          <w:p>
            <w:r/>
            <w:r>
              <w:rPr>
                <w:rFonts w:ascii="Calibri" w:hAnsi="Calibri"/>
                <w:color w:val="333333"/>
                <w:sz w:val="18"/>
              </w:rPr>
              <w:t>Live exchange rates (26 currencies)</w:t>
            </w:r>
          </w:p>
        </w:tc>
      </w:tr>
      <w:tr>
        <w:tc>
          <w:tcPr>
            <w:tcW w:type="dxa" w:w="1872"/>
            <w:shd w:fill="EAF0F6" w:val="clear"/>
          </w:tcPr>
          <w:p>
            <w:r/>
            <w:r>
              <w:rPr>
                <w:rFonts w:ascii="Calibri" w:hAnsi="Calibri"/>
                <w:color w:val="333333"/>
                <w:sz w:val="18"/>
              </w:rPr>
              <w:t>H-1B Wage Data</w:t>
            </w:r>
          </w:p>
        </w:tc>
        <w:tc>
          <w:tcPr>
            <w:tcW w:type="dxa" w:w="2448"/>
            <w:shd w:fill="EAF0F6" w:val="clear"/>
          </w:tcPr>
          <w:p>
            <w:r/>
            <w:r>
              <w:rPr>
                <w:rFonts w:ascii="Calibri" w:hAnsi="Calibri"/>
                <w:color w:val="333333"/>
                <w:sz w:val="18"/>
              </w:rPr>
              <w:t>DOL / Curated</w:t>
            </w:r>
          </w:p>
        </w:tc>
        <w:tc>
          <w:tcPr>
            <w:tcW w:type="dxa" w:w="4320"/>
            <w:shd w:fill="EAF0F6" w:val="clear"/>
          </w:tcPr>
          <w:p>
            <w:r/>
            <w:r>
              <w:rPr>
                <w:rFonts w:ascii="Calibri" w:hAnsi="Calibri"/>
                <w:color w:val="333333"/>
                <w:sz w:val="18"/>
              </w:rPr>
              <w:t>Prevailing wages by SOC code</w:t>
            </w:r>
          </w:p>
        </w:tc>
      </w:tr>
    </w:tbl>
    <w:p>
      <w:pPr>
        <w:pStyle w:val="Heading2"/>
      </w:pPr>
      <w:r>
        <w:rPr>
          <w:rFonts w:ascii="Calibri" w:hAnsi="Calibri"/>
          <w:color w:val="1A5C8E"/>
        </w:rPr>
        <w:t>3-Tier Caching Architecture</w:t>
      </w:r>
    </w:p>
    <w:p>
      <w:pPr>
        <w:pStyle w:val="ListBullet"/>
      </w:pPr>
      <w:r>
        <w:rPr>
          <w:rFonts w:ascii="Calibri" w:hAnsi="Calibri"/>
          <w:b/>
          <w:color w:val="333333"/>
          <w:sz w:val="22"/>
        </w:rPr>
        <w:t>L1 (Memory):</w:t>
      </w:r>
      <w:r>
        <w:rPr>
          <w:rFonts w:ascii="Calibri" w:hAnsi="Calibri"/>
          <w:color w:val="333333"/>
          <w:sz w:val="22"/>
        </w:rPr>
        <w:t xml:space="preserve"> In-memory dictionary -- fastest, lost on restart.</w:t>
      </w:r>
    </w:p>
    <w:p>
      <w:pPr>
        <w:pStyle w:val="ListBullet"/>
      </w:pPr>
      <w:r>
        <w:rPr>
          <w:rFonts w:ascii="Calibri" w:hAnsi="Calibri"/>
          <w:b/>
          <w:color w:val="333333"/>
          <w:sz w:val="22"/>
        </w:rPr>
        <w:t>L2 (Disk):</w:t>
      </w:r>
      <w:r>
        <w:rPr>
          <w:rFonts w:ascii="Calibri" w:hAnsi="Calibri"/>
          <w:color w:val="333333"/>
          <w:sz w:val="22"/>
        </w:rPr>
        <w:t xml:space="preserve"> Disk JSON files -- survives restart, limited by available disk.</w:t>
      </w:r>
    </w:p>
    <w:p>
      <w:pPr>
        <w:pStyle w:val="ListBullet"/>
      </w:pPr>
      <w:r>
        <w:rPr>
          <w:rFonts w:ascii="Calibri" w:hAnsi="Calibri"/>
          <w:b/>
          <w:color w:val="333333"/>
          <w:sz w:val="22"/>
        </w:rPr>
        <w:t>L3 (Supabase):</w:t>
      </w:r>
      <w:r>
        <w:rPr>
          <w:rFonts w:ascii="Calibri" w:hAnsi="Calibri"/>
          <w:color w:val="333333"/>
          <w:sz w:val="22"/>
        </w:rPr>
        <w:t xml:space="preserve"> Supabase Postgres -- survives redeployments, shared across instances. Uses only urllib.request with 3-second timeout per call, retry on 5xx errors, and automatic TTL-based cleanup.</w:t>
      </w:r>
    </w:p>
    <w:p>
      <w:pPr>
        <w:pStyle w:val="Heading2"/>
      </w:pPr>
      <w:r>
        <w:rPr>
          <w:rFonts w:ascii="Calibri" w:hAnsi="Calibri"/>
          <w:color w:val="1A5C8E"/>
        </w:rPr>
        <w:t>Canonical Taxonomy Standardizer</w:t>
      </w:r>
    </w:p>
    <w:p>
      <w:pPr>
        <w:spacing w:after="120"/>
      </w:pPr>
      <w:r>
        <w:rPr>
          <w:rFonts w:ascii="Calibri" w:hAnsi="Calibri"/>
          <w:b w:val="0"/>
          <w:i w:val="0"/>
          <w:color w:val="333333"/>
          <w:sz w:val="22"/>
        </w:rPr>
        <w:t>The standardizer module (standardizer.py) provides unified naming conventions across all subsystems. It normalizes industries (17 canonical entries), roles, locations (country maps, US state maps, region maps), platforms/channels, and metrics. Every public function handles None/empty input gracefully and performs case-insensitive matching, ensuring consistent data flow between the frontend, API enrichment, data synthesizer, knowledge base files, Nova, and channel databases.</w:t>
      </w:r>
    </w:p>
    <w:p>
      <w:r>
        <w:br w:type="page"/>
      </w:r>
    </w:p>
    <w:p>
      <w:pPr>
        <w:pStyle w:val="Heading1"/>
      </w:pPr>
      <w:r>
        <w:rPr>
          <w:rFonts w:ascii="Calibri" w:hAnsi="Calibri"/>
          <w:color w:val="003D6B"/>
        </w:rPr>
        <w:t>Budget Engine &amp; Collar Intelligence</w:t>
      </w:r>
    </w:p>
    <w:p>
      <w:pPr>
        <w:pStyle w:val="Heading2"/>
      </w:pPr>
      <w:r>
        <w:rPr>
          <w:rFonts w:ascii="Calibri" w:hAnsi="Calibri"/>
          <w:color w:val="1A5C8E"/>
        </w:rPr>
        <w:t>Budget Optimization Algorithm</w:t>
      </w:r>
    </w:p>
    <w:p>
      <w:pPr>
        <w:spacing w:after="120"/>
      </w:pPr>
      <w:r>
        <w:rPr>
          <w:rFonts w:ascii="Calibri" w:hAnsi="Calibri"/>
          <w:b w:val="0"/>
          <w:i w:val="0"/>
          <w:color w:val="333333"/>
          <w:sz w:val="22"/>
        </w:rPr>
        <w:t>The budget engine (budget_engine.py) converts high-level percentage allocations into concrete dollar amounts with projected outcomes. It operates on a hierarchy of data sources: dynamic CPC benchmarks from the trend engine take priority, followed by collar-weighted adjustments from collar intelligence, then static base benchmarks as a final fallback.</w:t>
      </w:r>
    </w:p>
    <w:p>
      <w:pPr>
        <w:pStyle w:val="Heading2"/>
      </w:pPr>
      <w:r>
        <w:rPr>
          <w:rFonts w:ascii="Calibri" w:hAnsi="Calibri"/>
          <w:color w:val="1A5C8E"/>
        </w:rPr>
        <w:t>Role-Tier CPA Multipliers</w:t>
      </w:r>
    </w:p>
    <w:p>
      <w:pPr>
        <w:spacing w:after="120"/>
      </w:pPr>
      <w:r>
        <w:rPr>
          <w:rFonts w:ascii="Calibri" w:hAnsi="Calibri"/>
          <w:b w:val="0"/>
          <w:i w:val="0"/>
          <w:color w:val="333333"/>
          <w:sz w:val="22"/>
        </w:rPr>
        <w:t>Cost-per-acquisition expectations are adjusted by role seniority using predefined multipliers. These multipliers scale the base CPA to reflect the realistic cost of filling roles at different levels:</w:t>
      </w:r>
    </w:p>
    <w:tbl>
      <w:tblPr>
        <w:tblStyle w:val="TableGrid"/>
        <w:tblW w:type="auto" w:w="0"/>
        <w:jc w:val="center"/>
        <w:tblLook w:firstColumn="1" w:firstRow="1" w:lastColumn="0" w:lastRow="0" w:noHBand="0" w:noVBand="1" w:val="04A0"/>
      </w:tblPr>
      <w:tblGrid>
        <w:gridCol w:w="3135"/>
        <w:gridCol w:w="3135"/>
        <w:gridCol w:w="3135"/>
      </w:tblGrid>
      <w:tr>
        <w:tc>
          <w:tcPr>
            <w:tcW w:type="dxa" w:w="2592"/>
            <w:shd w:fill="003D6B" w:val="clear"/>
          </w:tcPr>
          <w:p>
            <w:pPr>
              <w:jc w:val="left"/>
            </w:pPr>
            <w:r/>
            <w:r>
              <w:rPr>
                <w:rFonts w:ascii="Calibri" w:hAnsi="Calibri"/>
                <w:b/>
                <w:color w:val="FFFFFF"/>
                <w:sz w:val="19"/>
              </w:rPr>
              <w:t>Role Tier</w:t>
            </w:r>
          </w:p>
        </w:tc>
        <w:tc>
          <w:tcPr>
            <w:tcW w:type="dxa" w:w="1152"/>
            <w:shd w:fill="003D6B" w:val="clear"/>
          </w:tcPr>
          <w:p>
            <w:pPr>
              <w:jc w:val="left"/>
            </w:pPr>
            <w:r/>
            <w:r>
              <w:rPr>
                <w:rFonts w:ascii="Calibri" w:hAnsi="Calibri"/>
                <w:b/>
                <w:color w:val="FFFFFF"/>
                <w:sz w:val="19"/>
              </w:rPr>
              <w:t>Multiplier</w:t>
            </w:r>
          </w:p>
        </w:tc>
        <w:tc>
          <w:tcPr>
            <w:tcW w:type="dxa" w:w="4896"/>
            <w:shd w:fill="003D6B" w:val="clear"/>
          </w:tcPr>
          <w:p>
            <w:pPr>
              <w:jc w:val="left"/>
            </w:pPr>
            <w:r/>
            <w:r>
              <w:rPr>
                <w:rFonts w:ascii="Calibri" w:hAnsi="Calibri"/>
                <w:b/>
                <w:color w:val="FFFFFF"/>
                <w:sz w:val="19"/>
              </w:rPr>
              <w:t>Example Roles</w:t>
            </w:r>
          </w:p>
        </w:tc>
      </w:tr>
      <w:tr>
        <w:tc>
          <w:tcPr>
            <w:tcW w:type="dxa" w:w="2592"/>
          </w:tcPr>
          <w:p>
            <w:r/>
            <w:r>
              <w:rPr>
                <w:rFonts w:ascii="Calibri" w:hAnsi="Calibri"/>
                <w:color w:val="333333"/>
                <w:sz w:val="18"/>
              </w:rPr>
              <w:t>Executive / Leadership</w:t>
            </w:r>
          </w:p>
        </w:tc>
        <w:tc>
          <w:tcPr>
            <w:tcW w:type="dxa" w:w="1152"/>
          </w:tcPr>
          <w:p>
            <w:r/>
            <w:r>
              <w:rPr>
                <w:rFonts w:ascii="Calibri" w:hAnsi="Calibri"/>
                <w:color w:val="333333"/>
                <w:sz w:val="18"/>
              </w:rPr>
              <w:t>3.5x</w:t>
            </w:r>
          </w:p>
        </w:tc>
        <w:tc>
          <w:tcPr>
            <w:tcW w:type="dxa" w:w="4896"/>
          </w:tcPr>
          <w:p>
            <w:r/>
            <w:r>
              <w:rPr>
                <w:rFonts w:ascii="Calibri" w:hAnsi="Calibri"/>
                <w:color w:val="333333"/>
                <w:sz w:val="18"/>
              </w:rPr>
              <w:t>C-suite, VP, Director roles</w:t>
            </w:r>
          </w:p>
        </w:tc>
      </w:tr>
      <w:tr>
        <w:tc>
          <w:tcPr>
            <w:tcW w:type="dxa" w:w="2592"/>
            <w:shd w:fill="EAF0F6" w:val="clear"/>
          </w:tcPr>
          <w:p>
            <w:r/>
            <w:r>
              <w:rPr>
                <w:rFonts w:ascii="Calibri" w:hAnsi="Calibri"/>
                <w:color w:val="333333"/>
                <w:sz w:val="18"/>
              </w:rPr>
              <w:t>Clinical / Licensed</w:t>
            </w:r>
          </w:p>
        </w:tc>
        <w:tc>
          <w:tcPr>
            <w:tcW w:type="dxa" w:w="1152"/>
            <w:shd w:fill="EAF0F6" w:val="clear"/>
          </w:tcPr>
          <w:p>
            <w:r/>
            <w:r>
              <w:rPr>
                <w:rFonts w:ascii="Calibri" w:hAnsi="Calibri"/>
                <w:color w:val="333333"/>
                <w:sz w:val="18"/>
              </w:rPr>
              <w:t>2.2x</w:t>
            </w:r>
          </w:p>
        </w:tc>
        <w:tc>
          <w:tcPr>
            <w:tcW w:type="dxa" w:w="4896"/>
            <w:shd w:fill="EAF0F6" w:val="clear"/>
          </w:tcPr>
          <w:p>
            <w:r/>
            <w:r>
              <w:rPr>
                <w:rFonts w:ascii="Calibri" w:hAnsi="Calibri"/>
                <w:color w:val="333333"/>
                <w:sz w:val="18"/>
              </w:rPr>
              <w:t>Nurses, physicians, licensed practitioners</w:t>
            </w:r>
          </w:p>
        </w:tc>
      </w:tr>
      <w:tr>
        <w:tc>
          <w:tcPr>
            <w:tcW w:type="dxa" w:w="2592"/>
          </w:tcPr>
          <w:p>
            <w:r/>
            <w:r>
              <w:rPr>
                <w:rFonts w:ascii="Calibri" w:hAnsi="Calibri"/>
                <w:color w:val="333333"/>
                <w:sz w:val="18"/>
              </w:rPr>
              <w:t>Professional / White-Collar</w:t>
            </w:r>
          </w:p>
        </w:tc>
        <w:tc>
          <w:tcPr>
            <w:tcW w:type="dxa" w:w="1152"/>
          </w:tcPr>
          <w:p>
            <w:r/>
            <w:r>
              <w:rPr>
                <w:rFonts w:ascii="Calibri" w:hAnsi="Calibri"/>
                <w:color w:val="333333"/>
                <w:sz w:val="18"/>
              </w:rPr>
              <w:t>1.8x</w:t>
            </w:r>
          </w:p>
        </w:tc>
        <w:tc>
          <w:tcPr>
            <w:tcW w:type="dxa" w:w="4896"/>
          </w:tcPr>
          <w:p>
            <w:r/>
            <w:r>
              <w:rPr>
                <w:rFonts w:ascii="Calibri" w:hAnsi="Calibri"/>
                <w:color w:val="333333"/>
                <w:sz w:val="18"/>
              </w:rPr>
              <w:t>Engineers, analysts, managers</w:t>
            </w:r>
          </w:p>
        </w:tc>
      </w:tr>
      <w:tr>
        <w:tc>
          <w:tcPr>
            <w:tcW w:type="dxa" w:w="2592"/>
            <w:shd w:fill="EAF0F6" w:val="clear"/>
          </w:tcPr>
          <w:p>
            <w:r/>
            <w:r>
              <w:rPr>
                <w:rFonts w:ascii="Calibri" w:hAnsi="Calibri"/>
                <w:color w:val="333333"/>
                <w:sz w:val="18"/>
              </w:rPr>
              <w:t>Skilled Trades / Technical</w:t>
            </w:r>
          </w:p>
        </w:tc>
        <w:tc>
          <w:tcPr>
            <w:tcW w:type="dxa" w:w="1152"/>
            <w:shd w:fill="EAF0F6" w:val="clear"/>
          </w:tcPr>
          <w:p>
            <w:r/>
            <w:r>
              <w:rPr>
                <w:rFonts w:ascii="Calibri" w:hAnsi="Calibri"/>
                <w:color w:val="333333"/>
                <w:sz w:val="18"/>
              </w:rPr>
              <w:t>1.0x</w:t>
            </w:r>
          </w:p>
        </w:tc>
        <w:tc>
          <w:tcPr>
            <w:tcW w:type="dxa" w:w="4896"/>
            <w:shd w:fill="EAF0F6" w:val="clear"/>
          </w:tcPr>
          <w:p>
            <w:r/>
            <w:r>
              <w:rPr>
                <w:rFonts w:ascii="Calibri" w:hAnsi="Calibri"/>
                <w:color w:val="333333"/>
                <w:sz w:val="18"/>
              </w:rPr>
              <w:t>Electricians, mechanics, technicians (baseline)</w:t>
            </w:r>
          </w:p>
        </w:tc>
      </w:tr>
      <w:tr>
        <w:tc>
          <w:tcPr>
            <w:tcW w:type="dxa" w:w="2592"/>
          </w:tcPr>
          <w:p>
            <w:r/>
            <w:r>
              <w:rPr>
                <w:rFonts w:ascii="Calibri" w:hAnsi="Calibri"/>
                <w:color w:val="333333"/>
                <w:sz w:val="18"/>
              </w:rPr>
              <w:t>Education / Academic</w:t>
            </w:r>
          </w:p>
        </w:tc>
        <w:tc>
          <w:tcPr>
            <w:tcW w:type="dxa" w:w="1152"/>
          </w:tcPr>
          <w:p>
            <w:r/>
            <w:r>
              <w:rPr>
                <w:rFonts w:ascii="Calibri" w:hAnsi="Calibri"/>
                <w:color w:val="333333"/>
                <w:sz w:val="18"/>
              </w:rPr>
              <w:t>1.0x</w:t>
            </w:r>
          </w:p>
        </w:tc>
        <w:tc>
          <w:tcPr>
            <w:tcW w:type="dxa" w:w="4896"/>
          </w:tcPr>
          <w:p>
            <w:r/>
            <w:r>
              <w:rPr>
                <w:rFonts w:ascii="Calibri" w:hAnsi="Calibri"/>
                <w:color w:val="333333"/>
                <w:sz w:val="18"/>
              </w:rPr>
              <w:t>Teachers, professors, academic staff</w:t>
            </w:r>
          </w:p>
        </w:tc>
      </w:tr>
      <w:tr>
        <w:tc>
          <w:tcPr>
            <w:tcW w:type="dxa" w:w="2592"/>
            <w:shd w:fill="EAF0F6" w:val="clear"/>
          </w:tcPr>
          <w:p>
            <w:r/>
            <w:r>
              <w:rPr>
                <w:rFonts w:ascii="Calibri" w:hAnsi="Calibri"/>
                <w:color w:val="333333"/>
                <w:sz w:val="18"/>
              </w:rPr>
              <w:t>Hourly / Entry-Level</w:t>
            </w:r>
          </w:p>
        </w:tc>
        <w:tc>
          <w:tcPr>
            <w:tcW w:type="dxa" w:w="1152"/>
            <w:shd w:fill="EAF0F6" w:val="clear"/>
          </w:tcPr>
          <w:p>
            <w:r/>
            <w:r>
              <w:rPr>
                <w:rFonts w:ascii="Calibri" w:hAnsi="Calibri"/>
                <w:color w:val="333333"/>
                <w:sz w:val="18"/>
              </w:rPr>
              <w:t>0.7x</w:t>
            </w:r>
          </w:p>
        </w:tc>
        <w:tc>
          <w:tcPr>
            <w:tcW w:type="dxa" w:w="4896"/>
            <w:shd w:fill="EAF0F6" w:val="clear"/>
          </w:tcPr>
          <w:p>
            <w:r/>
            <w:r>
              <w:rPr>
                <w:rFonts w:ascii="Calibri" w:hAnsi="Calibri"/>
                <w:color w:val="333333"/>
                <w:sz w:val="18"/>
              </w:rPr>
              <w:t>Retail, food service, warehouse workers</w:t>
            </w:r>
          </w:p>
        </w:tc>
      </w:tr>
      <w:tr>
        <w:tc>
          <w:tcPr>
            <w:tcW w:type="dxa" w:w="2592"/>
          </w:tcPr>
          <w:p>
            <w:r/>
            <w:r>
              <w:rPr>
                <w:rFonts w:ascii="Calibri" w:hAnsi="Calibri"/>
                <w:color w:val="333333"/>
                <w:sz w:val="18"/>
              </w:rPr>
              <w:t>Gig / Independent Contractor</w:t>
            </w:r>
          </w:p>
        </w:tc>
        <w:tc>
          <w:tcPr>
            <w:tcW w:type="dxa" w:w="1152"/>
          </w:tcPr>
          <w:p>
            <w:r/>
            <w:r>
              <w:rPr>
                <w:rFonts w:ascii="Calibri" w:hAnsi="Calibri"/>
                <w:color w:val="333333"/>
                <w:sz w:val="18"/>
              </w:rPr>
              <w:t>0.5x</w:t>
            </w:r>
          </w:p>
        </w:tc>
        <w:tc>
          <w:tcPr>
            <w:tcW w:type="dxa" w:w="4896"/>
          </w:tcPr>
          <w:p>
            <w:r/>
            <w:r>
              <w:rPr>
                <w:rFonts w:ascii="Calibri" w:hAnsi="Calibri"/>
                <w:color w:val="333333"/>
                <w:sz w:val="18"/>
              </w:rPr>
              <w:t>Freelancers, on-demand workers</w:t>
            </w:r>
          </w:p>
        </w:tc>
      </w:tr>
    </w:tbl>
    <w:p>
      <w:pPr>
        <w:pStyle w:val="Heading2"/>
      </w:pPr>
      <w:r>
        <w:rPr>
          <w:rFonts w:ascii="Calibri" w:hAnsi="Calibri"/>
          <w:color w:val="1A5C8E"/>
        </w:rPr>
        <w:t>Collar-Aware Channel Optimization</w:t>
      </w:r>
    </w:p>
    <w:p>
      <w:pPr>
        <w:spacing w:after="120"/>
      </w:pPr>
      <w:r>
        <w:rPr>
          <w:rFonts w:ascii="Calibri" w:hAnsi="Calibri"/>
          <w:b w:val="0"/>
          <w:i w:val="0"/>
          <w:color w:val="333333"/>
          <w:sz w:val="22"/>
        </w:rPr>
        <w:t>The collar intelligence engine (collar_intelligence.py) classifies every role into one of four collar types using multiple signals: SOC major group codes from BLS (e.g., groups 47-53 map to blue collar, 11-29 to white collar), O*NET Job Zones (1-2 = blue/entry, 3 = grey/skilled, 4-5 = white/professional), standardizer role tiers, and keyword pattern matching for unclassified roles.</w:t>
      </w:r>
    </w:p>
    <w:tbl>
      <w:tblPr>
        <w:tblStyle w:val="TableGrid"/>
        <w:tblW w:type="auto" w:w="0"/>
        <w:jc w:val="center"/>
        <w:tblLook w:firstColumn="1" w:firstRow="1" w:lastColumn="0" w:lastRow="0" w:noHBand="0" w:noVBand="1" w:val="04A0"/>
      </w:tblPr>
      <w:tblGrid>
        <w:gridCol w:w="3135"/>
        <w:gridCol w:w="3135"/>
        <w:gridCol w:w="3135"/>
      </w:tblGrid>
      <w:tr>
        <w:tc>
          <w:tcPr>
            <w:tcW w:type="dxa" w:w="1440"/>
            <w:shd w:fill="003D6B" w:val="clear"/>
          </w:tcPr>
          <w:p>
            <w:pPr>
              <w:jc w:val="left"/>
            </w:pPr>
            <w:r/>
            <w:r>
              <w:rPr>
                <w:rFonts w:ascii="Calibri" w:hAnsi="Calibri"/>
                <w:b/>
                <w:color w:val="FFFFFF"/>
                <w:sz w:val="19"/>
              </w:rPr>
              <w:t>Collar Type</w:t>
            </w:r>
          </w:p>
        </w:tc>
        <w:tc>
          <w:tcPr>
            <w:tcW w:type="dxa" w:w="3600"/>
            <w:shd w:fill="003D6B" w:val="clear"/>
          </w:tcPr>
          <w:p>
            <w:pPr>
              <w:jc w:val="left"/>
            </w:pPr>
            <w:r/>
            <w:r>
              <w:rPr>
                <w:rFonts w:ascii="Calibri" w:hAnsi="Calibri"/>
                <w:b/>
                <w:color w:val="FFFFFF"/>
                <w:sz w:val="19"/>
              </w:rPr>
              <w:t>Description</w:t>
            </w:r>
          </w:p>
        </w:tc>
        <w:tc>
          <w:tcPr>
            <w:tcW w:type="dxa" w:w="3600"/>
            <w:shd w:fill="003D6B" w:val="clear"/>
          </w:tcPr>
          <w:p>
            <w:pPr>
              <w:jc w:val="left"/>
            </w:pPr>
            <w:r/>
            <w:r>
              <w:rPr>
                <w:rFonts w:ascii="Calibri" w:hAnsi="Calibri"/>
                <w:b/>
                <w:color w:val="FFFFFF"/>
                <w:sz w:val="19"/>
              </w:rPr>
              <w:t>Preferred Channels</w:t>
            </w:r>
          </w:p>
        </w:tc>
      </w:tr>
      <w:tr>
        <w:tc>
          <w:tcPr>
            <w:tcW w:type="dxa" w:w="1440"/>
          </w:tcPr>
          <w:p>
            <w:r/>
            <w:r>
              <w:rPr>
                <w:rFonts w:ascii="Calibri" w:hAnsi="Calibri"/>
                <w:color w:val="333333"/>
                <w:sz w:val="18"/>
              </w:rPr>
              <w:t>Blue Collar</w:t>
            </w:r>
          </w:p>
        </w:tc>
        <w:tc>
          <w:tcPr>
            <w:tcW w:type="dxa" w:w="3600"/>
          </w:tcPr>
          <w:p>
            <w:r/>
            <w:r>
              <w:rPr>
                <w:rFonts w:ascii="Calibri" w:hAnsi="Calibri"/>
                <w:color w:val="333333"/>
                <w:sz w:val="18"/>
              </w:rPr>
              <w:t>Manual labor, trades, hourly, shift-based</w:t>
            </w:r>
          </w:p>
        </w:tc>
        <w:tc>
          <w:tcPr>
            <w:tcW w:type="dxa" w:w="3600"/>
          </w:tcPr>
          <w:p>
            <w:r/>
            <w:r>
              <w:rPr>
                <w:rFonts w:ascii="Calibri" w:hAnsi="Calibri"/>
                <w:color w:val="333333"/>
                <w:sz w:val="18"/>
              </w:rPr>
              <w:t>Mobile-first, job boards, programmatic</w:t>
            </w:r>
          </w:p>
        </w:tc>
      </w:tr>
      <w:tr>
        <w:tc>
          <w:tcPr>
            <w:tcW w:type="dxa" w:w="1440"/>
            <w:shd w:fill="EAF0F6" w:val="clear"/>
          </w:tcPr>
          <w:p>
            <w:r/>
            <w:r>
              <w:rPr>
                <w:rFonts w:ascii="Calibri" w:hAnsi="Calibri"/>
                <w:color w:val="333333"/>
                <w:sz w:val="18"/>
              </w:rPr>
              <w:t>White Collar</w:t>
            </w:r>
          </w:p>
        </w:tc>
        <w:tc>
          <w:tcPr>
            <w:tcW w:type="dxa" w:w="3600"/>
            <w:shd w:fill="EAF0F6" w:val="clear"/>
          </w:tcPr>
          <w:p>
            <w:r/>
            <w:r>
              <w:rPr>
                <w:rFonts w:ascii="Calibri" w:hAnsi="Calibri"/>
                <w:color w:val="333333"/>
                <w:sz w:val="18"/>
              </w:rPr>
              <w:t>Professional, office-based, salaried</w:t>
            </w:r>
          </w:p>
        </w:tc>
        <w:tc>
          <w:tcPr>
            <w:tcW w:type="dxa" w:w="3600"/>
            <w:shd w:fill="EAF0F6" w:val="clear"/>
          </w:tcPr>
          <w:p>
            <w:r/>
            <w:r>
              <w:rPr>
                <w:rFonts w:ascii="Calibri" w:hAnsi="Calibri"/>
                <w:color w:val="333333"/>
                <w:sz w:val="18"/>
              </w:rPr>
              <w:t>LinkedIn, search, professional networks</w:t>
            </w:r>
          </w:p>
        </w:tc>
      </w:tr>
      <w:tr>
        <w:tc>
          <w:tcPr>
            <w:tcW w:type="dxa" w:w="1440"/>
          </w:tcPr>
          <w:p>
            <w:r/>
            <w:r>
              <w:rPr>
                <w:rFonts w:ascii="Calibri" w:hAnsi="Calibri"/>
                <w:color w:val="333333"/>
                <w:sz w:val="18"/>
              </w:rPr>
              <w:t>Grey Collar</w:t>
            </w:r>
          </w:p>
        </w:tc>
        <w:tc>
          <w:tcPr>
            <w:tcW w:type="dxa" w:w="3600"/>
          </w:tcPr>
          <w:p>
            <w:r/>
            <w:r>
              <w:rPr>
                <w:rFonts w:ascii="Calibri" w:hAnsi="Calibri"/>
                <w:color w:val="333333"/>
                <w:sz w:val="18"/>
              </w:rPr>
              <w:t>Licensed/clinical, shift-based (nurses, techs)</w:t>
            </w:r>
          </w:p>
        </w:tc>
        <w:tc>
          <w:tcPr>
            <w:tcW w:type="dxa" w:w="3600"/>
          </w:tcPr>
          <w:p>
            <w:r/>
            <w:r>
              <w:rPr>
                <w:rFonts w:ascii="Calibri" w:hAnsi="Calibri"/>
                <w:color w:val="333333"/>
                <w:sz w:val="18"/>
              </w:rPr>
              <w:t>Niche healthcare boards, hybrid channels</w:t>
            </w:r>
          </w:p>
        </w:tc>
      </w:tr>
      <w:tr>
        <w:tc>
          <w:tcPr>
            <w:tcW w:type="dxa" w:w="1440"/>
            <w:shd w:fill="EAF0F6" w:val="clear"/>
          </w:tcPr>
          <w:p>
            <w:r/>
            <w:r>
              <w:rPr>
                <w:rFonts w:ascii="Calibri" w:hAnsi="Calibri"/>
                <w:color w:val="333333"/>
                <w:sz w:val="18"/>
              </w:rPr>
              <w:t>Pink Collar</w:t>
            </w:r>
          </w:p>
        </w:tc>
        <w:tc>
          <w:tcPr>
            <w:tcW w:type="dxa" w:w="3600"/>
            <w:shd w:fill="EAF0F6" w:val="clear"/>
          </w:tcPr>
          <w:p>
            <w:r/>
            <w:r>
              <w:rPr>
                <w:rFonts w:ascii="Calibri" w:hAnsi="Calibri"/>
                <w:color w:val="333333"/>
                <w:sz w:val="18"/>
              </w:rPr>
              <w:t>Administrative, care, service roles</w:t>
            </w:r>
          </w:p>
        </w:tc>
        <w:tc>
          <w:tcPr>
            <w:tcW w:type="dxa" w:w="3600"/>
            <w:shd w:fill="EAF0F6" w:val="clear"/>
          </w:tcPr>
          <w:p>
            <w:r/>
            <w:r>
              <w:rPr>
                <w:rFonts w:ascii="Calibri" w:hAnsi="Calibri"/>
                <w:color w:val="333333"/>
                <w:sz w:val="18"/>
              </w:rPr>
              <w:t>General boards, social, community channels</w:t>
            </w:r>
          </w:p>
        </w:tc>
      </w:tr>
    </w:tbl>
    <w:p>
      <w:pPr>
        <w:pStyle w:val="Heading2"/>
      </w:pPr>
      <w:r>
        <w:rPr>
          <w:rFonts w:ascii="Calibri" w:hAnsi="Calibri"/>
          <w:color w:val="1A5C8E"/>
        </w:rPr>
        <w:t>Trend Engine: Dynamic Benchmarks</w:t>
      </w:r>
    </w:p>
    <w:p>
      <w:pPr>
        <w:spacing w:after="120"/>
      </w:pPr>
      <w:r>
        <w:rPr>
          <w:rFonts w:ascii="Calibri" w:hAnsi="Calibri"/>
          <w:b w:val="0"/>
          <w:i w:val="0"/>
          <w:color w:val="333333"/>
          <w:sz w:val="22"/>
        </w:rPr>
        <w:t>The trend engine (trend_engine.py) is the single source of truth for recruitment advertising benchmark data. It provides 4-year historical CPC/CPM/CTR/CPA trends across 6 ad platforms (Google Search, Meta Facebook, Meta Instagram, LinkedIn, Indeed, Programmatic) and 22 industry verticals. Features include seasonal monthly multipliers differentiated by collar type, regional CPC adjustment factors for 100+ US metros and 40+ countries, collar-type CPC differentials per platform, and structured uncertainty on every returned value (confidence interval, trend direction). Data is curated from Appcast, WordStream/LOCALiQ, SHRM, LinkedIn Talent Solutions, Recruitics/PandoLogic, and iCIMS benchmark reports spanning 2022-2026.</w:t>
      </w:r>
    </w:p>
    <w:p>
      <w:r>
        <w:br w:type="page"/>
      </w:r>
    </w:p>
    <w:p>
      <w:pPr>
        <w:pStyle w:val="Heading1"/>
      </w:pPr>
      <w:r>
        <w:rPr>
          <w:rFonts w:ascii="Calibri" w:hAnsi="Calibri"/>
          <w:color w:val="003D6B"/>
        </w:rPr>
        <w:t>Quality Assurance &amp; Self-Healing</w:t>
      </w:r>
    </w:p>
    <w:p>
      <w:pPr>
        <w:pStyle w:val="Heading2"/>
      </w:pPr>
      <w:r>
        <w:rPr>
          <w:rFonts w:ascii="Calibri" w:hAnsi="Calibri"/>
          <w:color w:val="1A5C8E"/>
        </w:rPr>
        <w:t>AutoQC Engine</w:t>
      </w:r>
    </w:p>
    <w:p>
      <w:pPr>
        <w:spacing w:after="120"/>
      </w:pPr>
      <w:r>
        <w:rPr>
          <w:rFonts w:ascii="Calibri" w:hAnsi="Calibri"/>
          <w:b w:val="0"/>
          <w:i w:val="0"/>
          <w:color w:val="333333"/>
          <w:sz w:val="22"/>
        </w:rPr>
        <w:t>The autonomous QC engine (auto_qc.py) is a self-running, self-healing, self-upgrading quality assurance system. It executes a comprehensive test suite against live endpoints on a twice-daily schedule (every 12 hours), with a 45-second hard ceiling per individual test. Results are stored in memory and persisted to disk, with failures triggering self-healing actions and optional Slack alerts.</w:t>
      </w:r>
    </w:p>
    <w:p>
      <w:pPr>
        <w:pStyle w:val="ListBullet"/>
      </w:pPr>
      <w:r>
        <w:rPr>
          <w:rFonts w:ascii="Calibri" w:hAnsi="Calibri"/>
          <w:b/>
          <w:color w:val="333333"/>
          <w:sz w:val="22"/>
        </w:rPr>
        <w:t>Static Tests:</w:t>
      </w:r>
      <w:r>
        <w:rPr>
          <w:rFonts w:ascii="Calibri" w:hAnsi="Calibri"/>
          <w:color w:val="333333"/>
          <w:sz w:val="22"/>
        </w:rPr>
        <w:t xml:space="preserve"> Static tests ported from the original test_nova_chat.sh script, covering endpoint health, response format validation, data integrity, and integration correctness.</w:t>
      </w:r>
    </w:p>
    <w:p>
      <w:pPr>
        <w:pStyle w:val="ListBullet"/>
      </w:pPr>
      <w:r>
        <w:rPr>
          <w:rFonts w:ascii="Calibri" w:hAnsi="Calibri"/>
          <w:b/>
          <w:color w:val="333333"/>
          <w:sz w:val="22"/>
        </w:rPr>
        <w:t>Dynamic Tests:</w:t>
      </w:r>
      <w:r>
        <w:rPr>
          <w:rFonts w:ascii="Calibri" w:hAnsi="Calibri"/>
          <w:color w:val="333333"/>
          <w:sz w:val="22"/>
        </w:rPr>
        <w:t xml:space="preserve"> Generated weekly from request_log.json and Nova interaction metrics. The engine analyzes real user interactions to create new test cases that cover emerging usage patterns.</w:t>
      </w:r>
    </w:p>
    <w:p>
      <w:pPr>
        <w:pStyle w:val="ListBullet"/>
      </w:pPr>
      <w:r>
        <w:rPr>
          <w:rFonts w:ascii="Calibri" w:hAnsi="Calibri"/>
          <w:b/>
          <w:color w:val="333333"/>
          <w:sz w:val="22"/>
        </w:rPr>
        <w:t>Self-Healing:</w:t>
      </w:r>
      <w:r>
        <w:rPr>
          <w:rFonts w:ascii="Calibri" w:hAnsi="Calibri"/>
          <w:color w:val="333333"/>
          <w:sz w:val="22"/>
        </w:rPr>
        <w:t xml:space="preserve"> On failure, the engine attempts automatic resolution: cache clearing, module reload via importlib, data orchestrator sentinel resets, and stale cache eviction.</w:t>
      </w:r>
    </w:p>
    <w:p>
      <w:pPr>
        <w:pStyle w:val="ListBullet"/>
      </w:pPr>
      <w:r>
        <w:rPr>
          <w:rFonts w:ascii="Calibri" w:hAnsi="Calibri"/>
          <w:b/>
          <w:color w:val="333333"/>
          <w:sz w:val="22"/>
        </w:rPr>
        <w:t>Weekly Self-Upgrade:</w:t>
      </w:r>
      <w:r>
        <w:rPr>
          <w:rFonts w:ascii="Calibri" w:hAnsi="Calibri"/>
          <w:color w:val="333333"/>
          <w:sz w:val="22"/>
        </w:rPr>
        <w:t xml:space="preserve"> Every 7 days, the engine analyzes user interaction patterns to generate new test cases, keeping the test suite aligned with actual production usage.</w:t>
      </w:r>
    </w:p>
    <w:p>
      <w:pPr>
        <w:pStyle w:val="Heading2"/>
      </w:pPr>
      <w:r>
        <w:rPr>
          <w:rFonts w:ascii="Calibri" w:hAnsi="Calibri"/>
          <w:color w:val="1A5C8E"/>
        </w:rPr>
        <w:t>Data Matrix Monitor</w:t>
      </w:r>
    </w:p>
    <w:p>
      <w:pPr>
        <w:spacing w:after="120"/>
      </w:pPr>
      <w:r>
        <w:rPr>
          <w:rFonts w:ascii="Calibri" w:hAnsi="Calibri"/>
          <w:b w:val="0"/>
          <w:i w:val="0"/>
          <w:color w:val="333333"/>
          <w:sz w:val="22"/>
        </w:rPr>
        <w:t>The data matrix monitor (data_matrix_monitor.py) tracks whether all four products (Excel/PPT, Nova Chat, Slack Bot, PPT Generator) correctly access all nine data layers. It runs probes every 12 hours in a background daemon thread and maps an expected-state matrix (YES / NO / PARTIAL / VIA_ORCHESTRATOR) against actual runtime conditions. Self-healing actions include re-importing failed modules, resetting orchestrator lazy-load sentinels, and evicting stale cache entries.</w:t>
      </w:r>
    </w:p>
    <w:p>
      <w:pPr>
        <w:pStyle w:val="Heading2"/>
      </w:pPr>
      <w:r>
        <w:rPr>
          <w:rFonts w:ascii="Calibri" w:hAnsi="Calibri"/>
          <w:color w:val="1A5C8E"/>
        </w:rPr>
        <w:t>Evaluation Framework</w:t>
      </w:r>
    </w:p>
    <w:p>
      <w:pPr>
        <w:spacing w:after="120"/>
      </w:pPr>
      <w:r>
        <w:rPr>
          <w:rFonts w:ascii="Calibri" w:hAnsi="Calibri"/>
          <w:b w:val="0"/>
          <w:i w:val="0"/>
          <w:color w:val="333333"/>
          <w:sz w:val="22"/>
        </w:rPr>
        <w:t>The evaluation framework (eval_framework.py) scores the quality of budget recommendations, collar classification consistency, geographic coherence, and CPA reasonableness across the core modules (budget_engine, collar_intelligence, trend_engine). Every test case execution is wrapped in try/except so a single failure cannot abort the suite.</w:t>
      </w:r>
    </w:p>
    <w:p>
      <w:pPr>
        <w:pStyle w:val="Heading2"/>
      </w:pPr>
      <w:r>
        <w:rPr>
          <w:rFonts w:ascii="Calibri" w:hAnsi="Calibri"/>
          <w:color w:val="1A5C8E"/>
        </w:rPr>
        <w:t>Regression Detector</w:t>
      </w:r>
    </w:p>
    <w:p>
      <w:pPr>
        <w:spacing w:after="120"/>
      </w:pPr>
      <w:r>
        <w:rPr>
          <w:rFonts w:ascii="Calibri" w:hAnsi="Calibri"/>
          <w:b w:val="0"/>
          <w:i w:val="0"/>
          <w:color w:val="333333"/>
          <w:sz w:val="22"/>
        </w:rPr>
        <w:t>The regression detector (regression_detector.py) runs a fixed set of reference scenarios through the budget allocation engine and compares outputs to a persisted baseline snapshot. Alert thresholds are configurable: CPA drift greater than 10%, channel allocation drift greater than 15%, and hire projection drift greater than 20% all trigger alerts. The baseline file is persisted at data/persistent/regression_baseline.json.</w:t>
      </w:r>
    </w:p>
    <w:p>
      <w:pPr>
        <w:pStyle w:val="Heading2"/>
      </w:pPr>
      <w:r>
        <w:rPr>
          <w:rFonts w:ascii="Calibri" w:hAnsi="Calibri"/>
          <w:color w:val="1A5C8E"/>
        </w:rPr>
        <w:t>Data Contracts</w:t>
      </w:r>
    </w:p>
    <w:p>
      <w:pPr>
        <w:spacing w:after="120"/>
      </w:pPr>
      <w:r>
        <w:rPr>
          <w:rFonts w:ascii="Calibri" w:hAnsi="Calibri"/>
          <w:b w:val="0"/>
          <w:i w:val="0"/>
          <w:color w:val="333333"/>
          <w:sz w:val="22"/>
        </w:rPr>
        <w:t>The data contracts module (data_contracts.py) validates 12 JSON knowledge-base files and API enrichment output against defined schemas, ensuring that downstream consumers (PPT generator, chatbot, orchestrator) never silently receive malformed data. Schema validation covers structure, required keys, numeric ranges, and type correctness.</w:t>
      </w:r>
    </w:p>
    <w:p>
      <w:r>
        <w:br w:type="page"/>
      </w:r>
    </w:p>
    <w:p>
      <w:pPr>
        <w:pStyle w:val="Heading1"/>
      </w:pPr>
      <w:r>
        <w:rPr>
          <w:rFonts w:ascii="Calibri" w:hAnsi="Calibri"/>
          <w:color w:val="003D6B"/>
        </w:rPr>
        <w:t>Observability &amp; Monitoring</w:t>
      </w:r>
    </w:p>
    <w:p>
      <w:pPr>
        <w:pStyle w:val="Heading2"/>
      </w:pPr>
      <w:r>
        <w:rPr>
          <w:rFonts w:ascii="Calibri" w:hAnsi="Calibri"/>
          <w:color w:val="1A5C8E"/>
        </w:rPr>
        <w:t>Structured Logging &amp; Request Tracing</w:t>
      </w:r>
    </w:p>
    <w:p>
      <w:pPr>
        <w:spacing w:after="120"/>
      </w:pPr>
      <w:r>
        <w:rPr>
          <w:rFonts w:ascii="Calibri" w:hAnsi="Calibri"/>
          <w:b w:val="0"/>
          <w:i w:val="0"/>
          <w:color w:val="333333"/>
          <w:sz w:val="22"/>
        </w:rPr>
        <w:t>The monitoring module (monitoring.py) provides structured JSON logging with request-scoped tracing. Each incoming request receives a unique 12-character hex request ID, and all log entries within that request's scope carry the ID for end-to-end correlation. Elapsed time tracking is built into the request context, enabling per-request latency measurement.</w:t>
      </w:r>
    </w:p>
    <w:p>
      <w:pPr>
        <w:pStyle w:val="Heading2"/>
      </w:pPr>
      <w:r>
        <w:rPr>
          <w:rFonts w:ascii="Calibri" w:hAnsi="Calibri"/>
          <w:color w:val="1A5C8E"/>
        </w:rPr>
        <w:t>Grafana Cloud Loki Integration</w:t>
      </w:r>
    </w:p>
    <w:p>
      <w:pPr>
        <w:spacing w:after="120"/>
      </w:pPr>
      <w:r>
        <w:rPr>
          <w:rFonts w:ascii="Calibri" w:hAnsi="Calibri"/>
          <w:b w:val="0"/>
          <w:i w:val="0"/>
          <w:color w:val="333333"/>
          <w:sz w:val="22"/>
        </w:rPr>
        <w:t>The grafana_logger.py module ships structured JSON logs to Grafana Cloud Loki for centralized observability. The handler attaches to the existing Python logging system with a default threshold of WARNING, so only warning, error, and critical records are shipped externally while debug and info logs stay local. Log entries include labels for application name, deployment environment, and severity level. The module is entirely stdlib-based and gracefully disables itself when environment variables are not configured.</w:t>
      </w:r>
    </w:p>
    <w:p>
      <w:pPr>
        <w:pStyle w:val="Heading2"/>
      </w:pPr>
      <w:r>
        <w:rPr>
          <w:rFonts w:ascii="Calibri" w:hAnsi="Calibri"/>
          <w:color w:val="1A5C8E"/>
        </w:rPr>
        <w:t>Email Alerts (Resend)</w:t>
      </w:r>
    </w:p>
    <w:p>
      <w:pPr>
        <w:spacing w:after="120"/>
      </w:pPr>
      <w:r>
        <w:rPr>
          <w:rFonts w:ascii="Calibri" w:hAnsi="Calibri"/>
          <w:b w:val="0"/>
          <w:i w:val="0"/>
          <w:color w:val="333333"/>
          <w:sz w:val="22"/>
        </w:rPr>
        <w:t>The email alerts module (email_alerts.py) sends notifications via the Resend API for critical errors, circuit breaker trips, generation failures, and daily digest summaries. All emails use clean HTML formatting with contextual styling (red for errors, neutral for digests). Rate limiting caps output at 10 emails per hour, with deduplication suppressing identical error_type+message combinations within a 30-minute window. The module is entirely disabled (no-op) when the Resend API key is not set.</w:t>
      </w:r>
    </w:p>
    <w:p>
      <w:pPr>
        <w:pStyle w:val="Heading2"/>
      </w:pPr>
      <w:r>
        <w:rPr>
          <w:rFonts w:ascii="Calibri" w:hAnsi="Calibri"/>
          <w:color w:val="1A5C8E"/>
        </w:rPr>
        <w:t>Health Endpoints &amp; Dependency Probes</w:t>
      </w:r>
    </w:p>
    <w:p>
      <w:pPr>
        <w:pStyle w:val="ListBullet"/>
      </w:pPr>
      <w:r>
        <w:rPr>
          <w:rFonts w:ascii="Calibri" w:hAnsi="Calibri"/>
          <w:b/>
          <w:color w:val="333333"/>
          <w:sz w:val="22"/>
        </w:rPr>
        <w:t>Health API:</w:t>
      </w:r>
      <w:r>
        <w:rPr>
          <w:rFonts w:ascii="Calibri" w:hAnsi="Calibri"/>
          <w:color w:val="333333"/>
          <w:sz w:val="22"/>
        </w:rPr>
        <w:t xml:space="preserve"> Deep health checks combining liveness, readiness, and dependency probes in a single response.</w:t>
      </w:r>
    </w:p>
    <w:p>
      <w:pPr>
        <w:pStyle w:val="ListBullet"/>
      </w:pPr>
      <w:r>
        <w:rPr>
          <w:rFonts w:ascii="Calibri" w:hAnsi="Calibri"/>
          <w:b/>
          <w:color w:val="333333"/>
          <w:sz w:val="22"/>
        </w:rPr>
        <w:t>Metrics:</w:t>
      </w:r>
      <w:r>
        <w:rPr>
          <w:rFonts w:ascii="Calibri" w:hAnsi="Calibri"/>
          <w:color w:val="333333"/>
          <w:sz w:val="22"/>
        </w:rPr>
        <w:t xml:space="preserve"> Structured request metrics including latency, error rates, and throughput in a 1-hour rolling window.</w:t>
      </w:r>
    </w:p>
    <w:p>
      <w:pPr>
        <w:pStyle w:val="ListBullet"/>
      </w:pPr>
      <w:r>
        <w:rPr>
          <w:rFonts w:ascii="Calibri" w:hAnsi="Calibri"/>
          <w:b/>
          <w:color w:val="333333"/>
          <w:sz w:val="22"/>
        </w:rPr>
        <w:t>Resource Tracking:</w:t>
      </w:r>
      <w:r>
        <w:rPr>
          <w:rFonts w:ascii="Calibri" w:hAnsi="Calibri"/>
          <w:color w:val="333333"/>
          <w:sz w:val="22"/>
        </w:rPr>
        <w:t xml:space="preserve"> Runtime tracking of memory consumption and disk usage for the data and cache directories.</w:t>
      </w:r>
    </w:p>
    <w:p>
      <w:pPr>
        <w:pStyle w:val="ListBullet"/>
      </w:pPr>
      <w:r>
        <w:rPr>
          <w:rFonts w:ascii="Calibri" w:hAnsi="Calibri"/>
          <w:b/>
          <w:color w:val="333333"/>
          <w:sz w:val="22"/>
        </w:rPr>
        <w:t>Dependency Probes:</w:t>
      </w:r>
      <w:r>
        <w:rPr>
          <w:rFonts w:ascii="Calibri" w:hAnsi="Calibri"/>
          <w:color w:val="333333"/>
          <w:sz w:val="22"/>
        </w:rPr>
        <w:t xml:space="preserve"> Reachability probes against external API dependencies to detect outages before they impact generation.</w:t>
      </w:r>
    </w:p>
    <w:p>
      <w:pPr>
        <w:pStyle w:val="Heading2"/>
      </w:pPr>
      <w:r>
        <w:rPr>
          <w:rFonts w:ascii="Calibri" w:hAnsi="Calibri"/>
          <w:color w:val="1A5C8E"/>
        </w:rPr>
        <w:t>SLO Monitoring &amp; Error Budgets</w:t>
      </w:r>
    </w:p>
    <w:p>
      <w:pPr>
        <w:spacing w:after="120"/>
      </w:pPr>
      <w:r>
        <w:rPr>
          <w:rFonts w:ascii="Calibri" w:hAnsi="Calibri"/>
          <w:b w:val="0"/>
          <w:i w:val="0"/>
          <w:color w:val="333333"/>
          <w:sz w:val="22"/>
        </w:rPr>
        <w:t>The monitoring system tracks Service Level Objectives and error budget consumption. This enables proactive alerting when error rates approach thresholds, rather than reacting to incidents after they impact users. Audit trails record data transformation decisions for post-incident analysis.</w:t>
      </w:r>
    </w:p>
    <w:p>
      <w:r>
        <w:br w:type="page"/>
      </w:r>
    </w:p>
    <w:p>
      <w:pPr>
        <w:pStyle w:val="Heading1"/>
      </w:pPr>
      <w:r>
        <w:rPr>
          <w:rFonts w:ascii="Calibri" w:hAnsi="Calibri"/>
          <w:color w:val="003D6B"/>
        </w:rPr>
        <w:t>Security &amp; Reliability</w:t>
      </w:r>
    </w:p>
    <w:p>
      <w:pPr>
        <w:pStyle w:val="Heading2"/>
      </w:pPr>
      <w:r>
        <w:rPr>
          <w:rFonts w:ascii="Calibri" w:hAnsi="Calibri"/>
          <w:color w:val="1A5C8E"/>
        </w:rPr>
        <w:t>Input Sanitization</w:t>
      </w:r>
    </w:p>
    <w:p>
      <w:pPr>
        <w:spacing w:after="120"/>
      </w:pPr>
      <w:r>
        <w:rPr>
          <w:rFonts w:ascii="Calibri" w:hAnsi="Calibri"/>
          <w:b w:val="0"/>
          <w:i w:val="0"/>
          <w:color w:val="333333"/>
          <w:sz w:val="22"/>
        </w:rPr>
        <w:t>All user-facing inputs are sanitized before processing. Nova enforces a maximum message length of 4,000 characters and limits conversation history to 6 turns to prevent history injection attacks. Input validation occurs at every entry point (web UI, chat API, Slack webhook).</w:t>
      </w:r>
    </w:p>
    <w:p>
      <w:pPr>
        <w:pStyle w:val="Heading2"/>
      </w:pPr>
      <w:r>
        <w:rPr>
          <w:rFonts w:ascii="Calibri" w:hAnsi="Calibri"/>
          <w:color w:val="1A5C8E"/>
        </w:rPr>
        <w:t>Rate Limiting &amp; Authentication</w:t>
      </w:r>
    </w:p>
    <w:p>
      <w:pPr>
        <w:pStyle w:val="ListBullet"/>
      </w:pPr>
      <w:r>
        <w:rPr>
          <w:rFonts w:ascii="Calibri" w:hAnsi="Calibri"/>
          <w:b/>
          <w:color w:val="333333"/>
          <w:sz w:val="22"/>
        </w:rPr>
        <w:t>Per-IP Rate Limits:</w:t>
      </w:r>
      <w:r>
        <w:rPr>
          <w:rFonts w:ascii="Calibri" w:hAnsi="Calibri"/>
          <w:color w:val="333333"/>
          <w:sz w:val="22"/>
        </w:rPr>
        <w:t xml:space="preserve"> Configurable per-IP rate limiting prevents abuse of generation and chat endpoints.</w:t>
      </w:r>
    </w:p>
    <w:p>
      <w:pPr>
        <w:pStyle w:val="ListBullet"/>
      </w:pPr>
      <w:r>
        <w:rPr>
          <w:rFonts w:ascii="Calibri" w:hAnsi="Calibri"/>
          <w:b/>
          <w:color w:val="333333"/>
          <w:sz w:val="22"/>
        </w:rPr>
        <w:t>Global Chat Limits:</w:t>
      </w:r>
      <w:r>
        <w:rPr>
          <w:rFonts w:ascii="Calibri" w:hAnsi="Calibri"/>
          <w:color w:val="333333"/>
          <w:sz w:val="22"/>
        </w:rPr>
        <w:t xml:space="preserve"> Global rate limiting on chat endpoints ensures fair usage across all concurrent users.</w:t>
      </w:r>
    </w:p>
    <w:p>
      <w:pPr>
        <w:pStyle w:val="ListBullet"/>
      </w:pPr>
      <w:r>
        <w:rPr>
          <w:rFonts w:ascii="Calibri" w:hAnsi="Calibri"/>
          <w:b/>
          <w:color w:val="333333"/>
          <w:sz w:val="22"/>
        </w:rPr>
        <w:t>Admin API Key:</w:t>
      </w:r>
      <w:r>
        <w:rPr>
          <w:rFonts w:ascii="Calibri" w:hAnsi="Calibri"/>
          <w:color w:val="333333"/>
          <w:sz w:val="22"/>
        </w:rPr>
        <w:t xml:space="preserve"> Administrative endpoints (QC results, metrics, health details) are protected by API key authentication.</w:t>
      </w:r>
    </w:p>
    <w:p>
      <w:pPr>
        <w:pStyle w:val="ListBullet"/>
      </w:pPr>
      <w:r>
        <w:rPr>
          <w:rFonts w:ascii="Calibri" w:hAnsi="Calibri"/>
          <w:b/>
          <w:color w:val="333333"/>
          <w:sz w:val="22"/>
        </w:rPr>
        <w:t>CORS Whitelisting:</w:t>
      </w:r>
      <w:r>
        <w:rPr>
          <w:rFonts w:ascii="Calibri" w:hAnsi="Calibri"/>
          <w:color w:val="333333"/>
          <w:sz w:val="22"/>
        </w:rPr>
        <w:t xml:space="preserve"> Origin-based whitelisting restricts cross-origin requests to approved domains only.</w:t>
      </w:r>
    </w:p>
    <w:p>
      <w:pPr>
        <w:pStyle w:val="Heading2"/>
      </w:pPr>
      <w:r>
        <w:rPr>
          <w:rFonts w:ascii="Calibri" w:hAnsi="Calibri"/>
          <w:color w:val="1A5C8E"/>
        </w:rPr>
        <w:t>Adversarial Prompt Defense</w:t>
      </w:r>
    </w:p>
    <w:p>
      <w:pPr>
        <w:spacing w:after="120"/>
      </w:pPr>
      <w:r>
        <w:rPr>
          <w:rFonts w:ascii="Calibri" w:hAnsi="Calibri"/>
          <w:b w:val="0"/>
          <w:i w:val="0"/>
          <w:color w:val="333333"/>
          <w:sz w:val="22"/>
        </w:rPr>
        <w:t>The Nova chatbot includes adversarial prompt blocking that defends against five categories of prompt injection attacks. All five attack vectors tested during security evaluation were successfully blocked (5/5), preventing attempts to extract system prompts, bypass safety boundaries, or manipulate response behavior.</w:t>
      </w:r>
    </w:p>
    <w:p>
      <w:pPr>
        <w:pStyle w:val="Heading2"/>
      </w:pPr>
      <w:r>
        <w:rPr>
          <w:rFonts w:ascii="Calibri" w:hAnsi="Calibri"/>
          <w:color w:val="1A5C8E"/>
        </w:rPr>
        <w:t>Thread-Safe Architecture</w:t>
      </w:r>
    </w:p>
    <w:p>
      <w:pPr>
        <w:spacing w:after="120"/>
      </w:pPr>
      <w:r>
        <w:rPr>
          <w:rFonts w:ascii="Calibri" w:hAnsi="Calibri"/>
          <w:b w:val="0"/>
          <w:i w:val="0"/>
          <w:color w:val="333333"/>
          <w:sz w:val="22"/>
        </w:rPr>
        <w:t>All shared state in the application is protected by threading locks. This includes the LLM router's per-provider circuit breaker state, rate limit counters, the data orchestrator's lazy-loaded module references, Nova's conversation history, file I/O operations for caching and logging, and the Supabase cache layer. The application serves concurrent requests safely without data races or corruption.</w:t>
      </w:r>
    </w:p>
    <w:p>
      <w:pPr>
        <w:pStyle w:val="Heading2"/>
      </w:pPr>
      <w:r>
        <w:rPr>
          <w:rFonts w:ascii="Calibri" w:hAnsi="Calibri"/>
          <w:color w:val="1A5C8E"/>
        </w:rPr>
        <w:t>Circuit Breakers</w:t>
      </w:r>
    </w:p>
    <w:p>
      <w:pPr>
        <w:spacing w:after="120"/>
      </w:pPr>
      <w:r>
        <w:rPr>
          <w:rFonts w:ascii="Calibri" w:hAnsi="Calibri"/>
          <w:b w:val="0"/>
          <w:i w:val="0"/>
          <w:color w:val="333333"/>
          <w:sz w:val="22"/>
        </w:rPr>
        <w:t>Circuit breakers are deployed at two levels: per-provider circuit breakers in the LLM router (5 failures trigger 60-second cooldown per provider) and per-API circuit breakers in the enrichment layer (preventing cascading failures when external services are degraded). Circuit breaker state transitions trigger email alerts via the Resend integration.</w:t>
      </w:r>
    </w:p>
    <w:p>
      <w:pPr>
        <w:pStyle w:val="Heading2"/>
      </w:pPr>
      <w:r>
        <w:rPr>
          <w:rFonts w:ascii="Calibri" w:hAnsi="Calibri"/>
          <w:color w:val="1A5C8E"/>
        </w:rPr>
        <w:t>Graceful Shutdown</w:t>
      </w:r>
    </w:p>
    <w:p>
      <w:pPr>
        <w:spacing w:after="120"/>
      </w:pPr>
      <w:r>
        <w:rPr>
          <w:rFonts w:ascii="Calibri" w:hAnsi="Calibri"/>
          <w:b w:val="0"/>
          <w:i w:val="0"/>
          <w:color w:val="333333"/>
          <w:sz w:val="22"/>
        </w:rPr>
        <w:t>The monitoring module coordinates graceful shutdown across all background threads. When a shutdown signal is received, in-progress requests are allowed to complete, background health checks and QC runs are stopped cleanly, and any pending log shipments to Grafana Loki are flushed before the process exits.</w:t>
      </w:r>
    </w:p>
    <w:p>
      <w:r>
        <w:br w:type="page"/>
      </w:r>
    </w:p>
    <w:p>
      <w:pPr>
        <w:pStyle w:val="Heading1"/>
      </w:pPr>
      <w:r>
        <w:rPr>
          <w:rFonts w:ascii="Calibri" w:hAnsi="Calibri"/>
          <w:color w:val="003D6B"/>
        </w:rPr>
        <w:t>Architecture Summary</w:t>
      </w:r>
    </w:p>
    <w:p>
      <w:pPr>
        <w:pStyle w:val="Heading2"/>
      </w:pPr>
      <w:r>
        <w:rPr>
          <w:rFonts w:ascii="Calibri" w:hAnsi="Calibri"/>
          <w:color w:val="1A5C8E"/>
        </w:rPr>
        <w:t>System Architecture</w:t>
      </w:r>
    </w:p>
    <w:p>
      <w:pPr>
        <w:spacing w:before="120" w:after="120"/>
      </w:pPr>
      <w:r>
        <w:rPr>
          <w:rFonts w:ascii="Courier New" w:hAnsi="Courier New"/>
          <w:color w:val="333333"/>
          <w:sz w:val="15"/>
        </w:rPr>
        <w:t xml:space="preserve">                    +---------------------------+</w:t>
        <w:br/>
        <w:t xml:space="preserve">                    |        Web Browser         |</w:t>
        <w:br/>
        <w:t xml:space="preserve">                    |  (Excel/PPT + Nova Chat)   |</w:t>
        <w:br/>
        <w:t xml:space="preserve">                    +------------+--------------+</w:t>
        <w:br/>
        <w:t xml:space="preserve">                                 |</w:t>
        <w:br/>
        <w:t xml:space="preserve">              +------------------+------------------+</w:t>
        <w:br/>
        <w:t xml:space="preserve">              |                  |                  |</w:t>
        <w:br/>
        <w:t xml:space="preserve">     +--------v------+  +--------v------+  +-------v--------+</w:t>
        <w:br/>
        <w:t xml:space="preserve">     |   Web UI /    |  |  Nova Chat    |  |  Slack Bot     |</w:t>
        <w:br/>
        <w:t xml:space="preserve">     |  Generation   |  |  (nova.py)    |  | (nova_slack.py)|</w:t>
        <w:br/>
        <w:t xml:space="preserve">     |   (app.py)    |  |               |  |                |</w:t>
        <w:br/>
        <w:t xml:space="preserve">     +--------+------+  +--------+------+  +-------+--------+</w:t>
        <w:br/>
        <w:t xml:space="preserve">              |                  |                  |</w:t>
        <w:br/>
        <w:t xml:space="preserve">              +------------------+------------------+</w:t>
        <w:br/>
        <w:t xml:space="preserve">                                 |</w:t>
        <w:br/>
        <w:t xml:space="preserve">                    +------------v--------------+</w:t>
        <w:br/>
        <w:t xml:space="preserve">                    |   Data Orchestrator       |</w:t>
        <w:br/>
        <w:t xml:space="preserve">                    |  (data_orchestrator.py)   |</w:t>
        <w:br/>
        <w:t xml:space="preserve">                    +------------+--------------+</w:t>
        <w:br/>
        <w:t xml:space="preserve">                                 |</w:t>
        <w:br/>
        <w:t xml:space="preserve">         +-----------+-----------+-----------+-----------+</w:t>
        <w:br/>
        <w:t xml:space="preserve">         |           |           |           |           |</w:t>
        <w:br/>
        <w:t xml:space="preserve">   +-----v----+ +---v------+ +--v-------+ +-v--------+ +v---------+</w:t>
        <w:br/>
        <w:t xml:space="preserve">   | research | | trend_   | | collar_  | | 30+ Live | | data_    |</w:t>
        <w:br/>
        <w:t xml:space="preserve">   |   .py    | | engine   | | intel    | |   APIs   | |synthesize|</w:t>
        <w:br/>
        <w:t xml:space="preserve">   +----------+ +----------+ +----------+ +----------+ +----------+</w:t>
        <w:br/>
        <w:t xml:space="preserve">                                 |</w:t>
        <w:br/>
        <w:t xml:space="preserve">                    +------------v--------------+</w:t>
        <w:br/>
        <w:t xml:space="preserve">                    |     Budget Engine         |</w:t>
        <w:br/>
        <w:t xml:space="preserve">                    |   (budget_engine.py)      |</w:t>
        <w:br/>
        <w:t xml:space="preserve">                    +---------------------------+</w:t>
        <w:br/>
      </w:r>
    </w:p>
    <w:p>
      <w:pPr>
        <w:pStyle w:val="Heading2"/>
      </w:pPr>
      <w:r>
        <w:rPr>
          <w:rFonts w:ascii="Calibri" w:hAnsi="Calibri"/>
          <w:color w:val="1A5C8E"/>
        </w:rPr>
        <w:t>Technology Stack</w:t>
      </w:r>
    </w:p>
    <w:tbl>
      <w:tblPr>
        <w:tblStyle w:val="TableGrid"/>
        <w:tblW w:type="auto" w:w="0"/>
        <w:jc w:val="center"/>
        <w:tblLook w:firstColumn="1" w:firstRow="1" w:lastColumn="0" w:lastRow="0" w:noHBand="0" w:noVBand="1" w:val="04A0"/>
      </w:tblPr>
      <w:tblGrid>
        <w:gridCol w:w="4703"/>
        <w:gridCol w:w="4703"/>
      </w:tblGrid>
      <w:tr>
        <w:tc>
          <w:tcPr>
            <w:tcW w:type="dxa" w:w="2160"/>
            <w:shd w:fill="003D6B" w:val="clear"/>
          </w:tcPr>
          <w:p>
            <w:pPr>
              <w:jc w:val="left"/>
            </w:pPr>
            <w:r/>
            <w:r>
              <w:rPr>
                <w:rFonts w:ascii="Calibri" w:hAnsi="Calibri"/>
                <w:b/>
                <w:color w:val="FFFFFF"/>
                <w:sz w:val="19"/>
              </w:rPr>
              <w:t>Component</w:t>
            </w:r>
          </w:p>
        </w:tc>
        <w:tc>
          <w:tcPr>
            <w:tcW w:type="dxa" w:w="6480"/>
            <w:shd w:fill="003D6B" w:val="clear"/>
          </w:tcPr>
          <w:p>
            <w:pPr>
              <w:jc w:val="left"/>
            </w:pPr>
            <w:r/>
            <w:r>
              <w:rPr>
                <w:rFonts w:ascii="Calibri" w:hAnsi="Calibri"/>
                <w:b/>
                <w:color w:val="FFFFFF"/>
                <w:sz w:val="19"/>
              </w:rPr>
              <w:t>Technology</w:t>
            </w:r>
          </w:p>
        </w:tc>
      </w:tr>
      <w:tr>
        <w:tc>
          <w:tcPr>
            <w:tcW w:type="dxa" w:w="2160"/>
          </w:tcPr>
          <w:p>
            <w:r/>
            <w:r>
              <w:rPr>
                <w:rFonts w:ascii="Calibri" w:hAnsi="Calibri"/>
                <w:color w:val="333333"/>
                <w:sz w:val="18"/>
              </w:rPr>
              <w:t>Language</w:t>
            </w:r>
          </w:p>
        </w:tc>
        <w:tc>
          <w:tcPr>
            <w:tcW w:type="dxa" w:w="6480"/>
          </w:tcPr>
          <w:p>
            <w:r/>
            <w:r>
              <w:rPr>
                <w:rFonts w:ascii="Calibri" w:hAnsi="Calibri"/>
                <w:color w:val="333333"/>
                <w:sz w:val="18"/>
              </w:rPr>
              <w:t>Python 3.11+</w:t>
            </w:r>
          </w:p>
        </w:tc>
      </w:tr>
      <w:tr>
        <w:tc>
          <w:tcPr>
            <w:tcW w:type="dxa" w:w="2160"/>
            <w:shd w:fill="EAF0F6" w:val="clear"/>
          </w:tcPr>
          <w:p>
            <w:r/>
            <w:r>
              <w:rPr>
                <w:rFonts w:ascii="Calibri" w:hAnsi="Calibri"/>
                <w:color w:val="333333"/>
                <w:sz w:val="18"/>
              </w:rPr>
              <w:t>Core Dependencies</w:t>
            </w:r>
          </w:p>
        </w:tc>
        <w:tc>
          <w:tcPr>
            <w:tcW w:type="dxa" w:w="6480"/>
            <w:shd w:fill="EAF0F6" w:val="clear"/>
          </w:tcPr>
          <w:p>
            <w:r/>
            <w:r>
              <w:rPr>
                <w:rFonts w:ascii="Calibri" w:hAnsi="Calibri"/>
                <w:color w:val="333333"/>
                <w:sz w:val="18"/>
              </w:rPr>
              <w:t>Zero external pip packages (stdlib only for server core)</w:t>
            </w:r>
          </w:p>
        </w:tc>
      </w:tr>
      <w:tr>
        <w:tc>
          <w:tcPr>
            <w:tcW w:type="dxa" w:w="2160"/>
          </w:tcPr>
          <w:p>
            <w:r/>
            <w:r>
              <w:rPr>
                <w:rFonts w:ascii="Calibri" w:hAnsi="Calibri"/>
                <w:color w:val="333333"/>
                <w:sz w:val="18"/>
              </w:rPr>
              <w:t>HTTP Server</w:t>
            </w:r>
          </w:p>
        </w:tc>
        <w:tc>
          <w:tcPr>
            <w:tcW w:type="dxa" w:w="6480"/>
          </w:tcPr>
          <w:p>
            <w:r/>
            <w:r>
              <w:rPr>
                <w:rFonts w:ascii="Calibri" w:hAnsi="Calibri"/>
                <w:color w:val="333333"/>
                <w:sz w:val="18"/>
              </w:rPr>
              <w:t>http.server (Python stdlib)</w:t>
            </w:r>
          </w:p>
        </w:tc>
      </w:tr>
      <w:tr>
        <w:tc>
          <w:tcPr>
            <w:tcW w:type="dxa" w:w="2160"/>
            <w:shd w:fill="EAF0F6" w:val="clear"/>
          </w:tcPr>
          <w:p>
            <w:r/>
            <w:r>
              <w:rPr>
                <w:rFonts w:ascii="Calibri" w:hAnsi="Calibri"/>
                <w:color w:val="333333"/>
                <w:sz w:val="18"/>
              </w:rPr>
              <w:t>Concurrency</w:t>
            </w:r>
          </w:p>
        </w:tc>
        <w:tc>
          <w:tcPr>
            <w:tcW w:type="dxa" w:w="6480"/>
            <w:shd w:fill="EAF0F6" w:val="clear"/>
          </w:tcPr>
          <w:p>
            <w:r/>
            <w:r>
              <w:rPr>
                <w:rFonts w:ascii="Calibri" w:hAnsi="Calibri"/>
                <w:color w:val="333333"/>
                <w:sz w:val="18"/>
              </w:rPr>
              <w:t>threading + concurrent.futures.ThreadPoolExecutor</w:t>
            </w:r>
          </w:p>
        </w:tc>
      </w:tr>
      <w:tr>
        <w:tc>
          <w:tcPr>
            <w:tcW w:type="dxa" w:w="2160"/>
          </w:tcPr>
          <w:p>
            <w:r/>
            <w:r>
              <w:rPr>
                <w:rFonts w:ascii="Calibri" w:hAnsi="Calibri"/>
                <w:color w:val="333333"/>
                <w:sz w:val="18"/>
              </w:rPr>
              <w:t>LLM Integration</w:t>
            </w:r>
          </w:p>
        </w:tc>
        <w:tc>
          <w:tcPr>
            <w:tcW w:type="dxa" w:w="6480"/>
          </w:tcPr>
          <w:p>
            <w:r/>
            <w:r>
              <w:rPr>
                <w:rFonts w:ascii="Calibri" w:hAnsi="Calibri"/>
                <w:color w:val="333333"/>
                <w:sz w:val="18"/>
              </w:rPr>
              <w:t>urllib.request to 12 provider REST APIs</w:t>
            </w:r>
          </w:p>
        </w:tc>
      </w:tr>
      <w:tr>
        <w:tc>
          <w:tcPr>
            <w:tcW w:type="dxa" w:w="2160"/>
            <w:shd w:fill="EAF0F6" w:val="clear"/>
          </w:tcPr>
          <w:p>
            <w:r/>
            <w:r>
              <w:rPr>
                <w:rFonts w:ascii="Calibri" w:hAnsi="Calibri"/>
                <w:color w:val="333333"/>
                <w:sz w:val="18"/>
              </w:rPr>
              <w:t>Caching</w:t>
            </w:r>
          </w:p>
        </w:tc>
        <w:tc>
          <w:tcPr>
            <w:tcW w:type="dxa" w:w="6480"/>
            <w:shd w:fill="EAF0F6" w:val="clear"/>
          </w:tcPr>
          <w:p>
            <w:r/>
            <w:r>
              <w:rPr>
                <w:rFonts w:ascii="Calibri" w:hAnsi="Calibri"/>
                <w:color w:val="333333"/>
                <w:sz w:val="18"/>
              </w:rPr>
              <w:t>3-tier: in-memory dict, disk JSON, Supabase Postgres</w:t>
            </w:r>
          </w:p>
        </w:tc>
      </w:tr>
      <w:tr>
        <w:tc>
          <w:tcPr>
            <w:tcW w:type="dxa" w:w="2160"/>
          </w:tcPr>
          <w:p>
            <w:r/>
            <w:r>
              <w:rPr>
                <w:rFonts w:ascii="Calibri" w:hAnsi="Calibri"/>
                <w:color w:val="333333"/>
                <w:sz w:val="18"/>
              </w:rPr>
              <w:t>Logging</w:t>
            </w:r>
          </w:p>
        </w:tc>
        <w:tc>
          <w:tcPr>
            <w:tcW w:type="dxa" w:w="6480"/>
          </w:tcPr>
          <w:p>
            <w:r/>
            <w:r>
              <w:rPr>
                <w:rFonts w:ascii="Calibri" w:hAnsi="Calibri"/>
                <w:color w:val="333333"/>
                <w:sz w:val="18"/>
              </w:rPr>
              <w:t>Python logging + Grafana Cloud Loki (JSON structured)</w:t>
            </w:r>
          </w:p>
        </w:tc>
      </w:tr>
      <w:tr>
        <w:tc>
          <w:tcPr>
            <w:tcW w:type="dxa" w:w="2160"/>
            <w:shd w:fill="EAF0F6" w:val="clear"/>
          </w:tcPr>
          <w:p>
            <w:r/>
            <w:r>
              <w:rPr>
                <w:rFonts w:ascii="Calibri" w:hAnsi="Calibri"/>
                <w:color w:val="333333"/>
                <w:sz w:val="18"/>
              </w:rPr>
              <w:t>Alerting</w:t>
            </w:r>
          </w:p>
        </w:tc>
        <w:tc>
          <w:tcPr>
            <w:tcW w:type="dxa" w:w="6480"/>
            <w:shd w:fill="EAF0F6" w:val="clear"/>
          </w:tcPr>
          <w:p>
            <w:r/>
            <w:r>
              <w:rPr>
                <w:rFonts w:ascii="Calibri" w:hAnsi="Calibri"/>
                <w:color w:val="333333"/>
                <w:sz w:val="18"/>
              </w:rPr>
              <w:t>Resend email API + Slack webhooks</w:t>
            </w:r>
          </w:p>
        </w:tc>
      </w:tr>
      <w:tr>
        <w:tc>
          <w:tcPr>
            <w:tcW w:type="dxa" w:w="2160"/>
          </w:tcPr>
          <w:p>
            <w:r/>
            <w:r>
              <w:rPr>
                <w:rFonts w:ascii="Calibri" w:hAnsi="Calibri"/>
                <w:color w:val="333333"/>
                <w:sz w:val="18"/>
              </w:rPr>
              <w:t>Monitoring</w:t>
            </w:r>
          </w:p>
        </w:tc>
        <w:tc>
          <w:tcPr>
            <w:tcW w:type="dxa" w:w="6480"/>
          </w:tcPr>
          <w:p>
            <w:r/>
            <w:r>
              <w:rPr>
                <w:rFonts w:ascii="Calibri" w:hAnsi="Calibri"/>
                <w:color w:val="333333"/>
                <w:sz w:val="18"/>
              </w:rPr>
              <w:t>UptimeRobot (external) + custom health endpoints</w:t>
            </w:r>
          </w:p>
        </w:tc>
      </w:tr>
      <w:tr>
        <w:tc>
          <w:tcPr>
            <w:tcW w:type="dxa" w:w="2160"/>
            <w:shd w:fill="EAF0F6" w:val="clear"/>
          </w:tcPr>
          <w:p>
            <w:r/>
            <w:r>
              <w:rPr>
                <w:rFonts w:ascii="Calibri" w:hAnsi="Calibri"/>
                <w:color w:val="333333"/>
                <w:sz w:val="18"/>
              </w:rPr>
              <w:t>Deployment</w:t>
            </w:r>
          </w:p>
        </w:tc>
        <w:tc>
          <w:tcPr>
            <w:tcW w:type="dxa" w:w="6480"/>
            <w:shd w:fill="EAF0F6" w:val="clear"/>
          </w:tcPr>
          <w:p>
            <w:r/>
            <w:r>
              <w:rPr>
                <w:rFonts w:ascii="Calibri" w:hAnsi="Calibri"/>
                <w:color w:val="333333"/>
                <w:sz w:val="18"/>
              </w:rPr>
              <w:t>Render.com (Standard tier, persistent disk)</w:t>
            </w:r>
          </w:p>
        </w:tc>
      </w:tr>
      <w:tr>
        <w:tc>
          <w:tcPr>
            <w:tcW w:type="dxa" w:w="2160"/>
          </w:tcPr>
          <w:p>
            <w:r/>
            <w:r>
              <w:rPr>
                <w:rFonts w:ascii="Calibri" w:hAnsi="Calibri"/>
                <w:color w:val="333333"/>
                <w:sz w:val="18"/>
              </w:rPr>
              <w:t>Database</w:t>
            </w:r>
          </w:p>
        </w:tc>
        <w:tc>
          <w:tcPr>
            <w:tcW w:type="dxa" w:w="6480"/>
          </w:tcPr>
          <w:p>
            <w:r/>
            <w:r>
              <w:rPr>
                <w:rFonts w:ascii="Calibri" w:hAnsi="Calibri"/>
                <w:color w:val="333333"/>
                <w:sz w:val="18"/>
              </w:rPr>
              <w:t>Supabase (Postgres) for persistent L3 cache</w:t>
            </w:r>
          </w:p>
        </w:tc>
      </w:tr>
    </w:tbl>
    <w:p>
      <w:pPr>
        <w:pStyle w:val="Heading2"/>
      </w:pPr>
      <w:r>
        <w:rPr>
          <w:rFonts w:ascii="Calibri" w:hAnsi="Calibri"/>
          <w:color w:val="1A5C8E"/>
        </w:rPr>
        <w:t>Integration Ecosystem</w:t>
      </w:r>
    </w:p>
    <w:tbl>
      <w:tblPr>
        <w:tblStyle w:val="TableGrid"/>
        <w:tblW w:type="auto" w:w="0"/>
        <w:jc w:val="center"/>
        <w:tblLook w:firstColumn="1" w:firstRow="1" w:lastColumn="0" w:lastRow="0" w:noHBand="0" w:noVBand="1" w:val="04A0"/>
      </w:tblPr>
      <w:tblGrid>
        <w:gridCol w:w="4703"/>
        <w:gridCol w:w="4703"/>
      </w:tblGrid>
      <w:tr>
        <w:tc>
          <w:tcPr>
            <w:tcW w:type="dxa" w:w="2160"/>
            <w:shd w:fill="003D6B" w:val="clear"/>
          </w:tcPr>
          <w:p>
            <w:pPr>
              <w:jc w:val="left"/>
            </w:pPr>
            <w:r/>
            <w:r>
              <w:rPr>
                <w:rFonts w:ascii="Calibri" w:hAnsi="Calibri"/>
                <w:b/>
                <w:color w:val="FFFFFF"/>
                <w:sz w:val="19"/>
              </w:rPr>
              <w:t>Category</w:t>
            </w:r>
          </w:p>
        </w:tc>
        <w:tc>
          <w:tcPr>
            <w:tcW w:type="dxa" w:w="6480"/>
            <w:shd w:fill="003D6B" w:val="clear"/>
          </w:tcPr>
          <w:p>
            <w:pPr>
              <w:jc w:val="left"/>
            </w:pPr>
            <w:r/>
            <w:r>
              <w:rPr>
                <w:rFonts w:ascii="Calibri" w:hAnsi="Calibri"/>
                <w:b/>
                <w:color w:val="FFFFFF"/>
                <w:sz w:val="19"/>
              </w:rPr>
              <w:t>Integrations</w:t>
            </w:r>
          </w:p>
        </w:tc>
      </w:tr>
      <w:tr>
        <w:tc>
          <w:tcPr>
            <w:tcW w:type="dxa" w:w="2160"/>
          </w:tcPr>
          <w:p>
            <w:r/>
            <w:r>
              <w:rPr>
                <w:rFonts w:ascii="Calibri" w:hAnsi="Calibri"/>
                <w:color w:val="333333"/>
                <w:sz w:val="18"/>
              </w:rPr>
              <w:t>LLM Providers</w:t>
            </w:r>
          </w:p>
        </w:tc>
        <w:tc>
          <w:tcPr>
            <w:tcW w:type="dxa" w:w="6480"/>
          </w:tcPr>
          <w:p>
            <w:r/>
            <w:r>
              <w:rPr>
                <w:rFonts w:ascii="Calibri" w:hAnsi="Calibri"/>
                <w:color w:val="333333"/>
                <w:sz w:val="18"/>
              </w:rPr>
              <w:t>Gemini, Groq, Cerebras, Mistral, OpenRouter, xAI, SambaNova, NVIDIA NIM, Cloudflare, OpenAI, Anthropic</w:t>
            </w:r>
          </w:p>
        </w:tc>
      </w:tr>
      <w:tr>
        <w:tc>
          <w:tcPr>
            <w:tcW w:type="dxa" w:w="2160"/>
            <w:shd w:fill="EAF0F6" w:val="clear"/>
          </w:tcPr>
          <w:p>
            <w:r/>
            <w:r>
              <w:rPr>
                <w:rFonts w:ascii="Calibri" w:hAnsi="Calibri"/>
                <w:color w:val="333333"/>
                <w:sz w:val="18"/>
              </w:rPr>
              <w:t>Government Data</w:t>
            </w:r>
          </w:p>
        </w:tc>
        <w:tc>
          <w:tcPr>
            <w:tcW w:type="dxa" w:w="6480"/>
            <w:shd w:fill="EAF0F6" w:val="clear"/>
          </w:tcPr>
          <w:p>
            <w:r/>
            <w:r>
              <w:rPr>
                <w:rFonts w:ascii="Calibri" w:hAnsi="Calibri"/>
                <w:color w:val="333333"/>
                <w:sz w:val="18"/>
              </w:rPr>
              <w:t>BLS (OES, QCEW, JOLTS), Census ACS, FRED, O*NET, CareerOneStop, H-1B</w:t>
            </w:r>
          </w:p>
        </w:tc>
      </w:tr>
      <w:tr>
        <w:tc>
          <w:tcPr>
            <w:tcW w:type="dxa" w:w="2160"/>
          </w:tcPr>
          <w:p>
            <w:r/>
            <w:r>
              <w:rPr>
                <w:rFonts w:ascii="Calibri" w:hAnsi="Calibri"/>
                <w:color w:val="333333"/>
                <w:sz w:val="18"/>
              </w:rPr>
              <w:t>International Data</w:t>
            </w:r>
          </w:p>
        </w:tc>
        <w:tc>
          <w:tcPr>
            <w:tcW w:type="dxa" w:w="6480"/>
          </w:tcPr>
          <w:p>
            <w:r/>
            <w:r>
              <w:rPr>
                <w:rFonts w:ascii="Calibri" w:hAnsi="Calibri"/>
                <w:color w:val="333333"/>
                <w:sz w:val="18"/>
              </w:rPr>
              <w:t>World Bank, IMF, Eurostat, ILO, REST Countries, GeoNames, Teleport</w:t>
            </w:r>
          </w:p>
        </w:tc>
      </w:tr>
      <w:tr>
        <w:tc>
          <w:tcPr>
            <w:tcW w:type="dxa" w:w="2160"/>
            <w:shd w:fill="EAF0F6" w:val="clear"/>
          </w:tcPr>
          <w:p>
            <w:r/>
            <w:r>
              <w:rPr>
                <w:rFonts w:ascii="Calibri" w:hAnsi="Calibri"/>
                <w:color w:val="333333"/>
                <w:sz w:val="18"/>
              </w:rPr>
              <w:t>Ad Platforms</w:t>
            </w:r>
          </w:p>
        </w:tc>
        <w:tc>
          <w:tcPr>
            <w:tcW w:type="dxa" w:w="6480"/>
            <w:shd w:fill="EAF0F6" w:val="clear"/>
          </w:tcPr>
          <w:p>
            <w:r/>
            <w:r>
              <w:rPr>
                <w:rFonts w:ascii="Calibri" w:hAnsi="Calibri"/>
                <w:color w:val="333333"/>
                <w:sz w:val="18"/>
              </w:rPr>
              <w:t>Google Ads, Meta Marketing, LinkedIn Marketing, Bing Ads, TikTok Marketing</w:t>
            </w:r>
          </w:p>
        </w:tc>
      </w:tr>
      <w:tr>
        <w:tc>
          <w:tcPr>
            <w:tcW w:type="dxa" w:w="2160"/>
          </w:tcPr>
          <w:p>
            <w:r/>
            <w:r>
              <w:rPr>
                <w:rFonts w:ascii="Calibri" w:hAnsi="Calibri"/>
                <w:color w:val="333333"/>
                <w:sz w:val="18"/>
              </w:rPr>
              <w:t>Job Market</w:t>
            </w:r>
          </w:p>
        </w:tc>
        <w:tc>
          <w:tcPr>
            <w:tcW w:type="dxa" w:w="6480"/>
          </w:tcPr>
          <w:p>
            <w:r/>
            <w:r>
              <w:rPr>
                <w:rFonts w:ascii="Calibri" w:hAnsi="Calibri"/>
                <w:color w:val="333333"/>
                <w:sz w:val="18"/>
              </w:rPr>
              <w:t>Adzuna, Jooble, Indeed (via trends), DataUSA</w:t>
            </w:r>
          </w:p>
        </w:tc>
      </w:tr>
      <w:tr>
        <w:tc>
          <w:tcPr>
            <w:tcW w:type="dxa" w:w="2160"/>
            <w:shd w:fill="EAF0F6" w:val="clear"/>
          </w:tcPr>
          <w:p>
            <w:r/>
            <w:r>
              <w:rPr>
                <w:rFonts w:ascii="Calibri" w:hAnsi="Calibri"/>
                <w:color w:val="333333"/>
                <w:sz w:val="18"/>
              </w:rPr>
              <w:t>Company Intel</w:t>
            </w:r>
          </w:p>
        </w:tc>
        <w:tc>
          <w:tcPr>
            <w:tcW w:type="dxa" w:w="6480"/>
            <w:shd w:fill="EAF0F6" w:val="clear"/>
          </w:tcPr>
          <w:p>
            <w:r/>
            <w:r>
              <w:rPr>
                <w:rFonts w:ascii="Calibri" w:hAnsi="Calibri"/>
                <w:color w:val="333333"/>
                <w:sz w:val="18"/>
              </w:rPr>
              <w:t>Clearbit, Wikipedia, SEC EDGAR, Google Trends</w:t>
            </w:r>
          </w:p>
        </w:tc>
      </w:tr>
      <w:tr>
        <w:tc>
          <w:tcPr>
            <w:tcW w:type="dxa" w:w="2160"/>
          </w:tcPr>
          <w:p>
            <w:r/>
            <w:r>
              <w:rPr>
                <w:rFonts w:ascii="Calibri" w:hAnsi="Calibri"/>
                <w:color w:val="333333"/>
                <w:sz w:val="18"/>
              </w:rPr>
              <w:t>Observability</w:t>
            </w:r>
          </w:p>
        </w:tc>
        <w:tc>
          <w:tcPr>
            <w:tcW w:type="dxa" w:w="6480"/>
          </w:tcPr>
          <w:p>
            <w:r/>
            <w:r>
              <w:rPr>
                <w:rFonts w:ascii="Calibri" w:hAnsi="Calibri"/>
                <w:color w:val="333333"/>
                <w:sz w:val="18"/>
              </w:rPr>
              <w:t>Grafana Cloud Loki, UptimeRobot, Resend (email)</w:t>
            </w:r>
          </w:p>
        </w:tc>
      </w:tr>
      <w:tr>
        <w:tc>
          <w:tcPr>
            <w:tcW w:type="dxa" w:w="2160"/>
            <w:shd w:fill="EAF0F6" w:val="clear"/>
          </w:tcPr>
          <w:p>
            <w:r/>
            <w:r>
              <w:rPr>
                <w:rFonts w:ascii="Calibri" w:hAnsi="Calibri"/>
                <w:color w:val="333333"/>
                <w:sz w:val="18"/>
              </w:rPr>
              <w:t>Collaboration</w:t>
            </w:r>
          </w:p>
        </w:tc>
        <w:tc>
          <w:tcPr>
            <w:tcW w:type="dxa" w:w="6480"/>
            <w:shd w:fill="EAF0F6" w:val="clear"/>
          </w:tcPr>
          <w:p>
            <w:r/>
            <w:r>
              <w:rPr>
                <w:rFonts w:ascii="Calibri" w:hAnsi="Calibri"/>
                <w:color w:val="333333"/>
                <w:sz w:val="18"/>
              </w:rPr>
              <w:t>Slack (Bot + webhooks), Supabase (persistent cache)</w:t>
            </w:r>
          </w:p>
        </w:tc>
      </w:tr>
    </w:tbl>
    <w:p>
      <w:pPr>
        <w:pStyle w:val="Heading2"/>
      </w:pPr>
      <w:r>
        <w:rPr>
          <w:rFonts w:ascii="Calibri" w:hAnsi="Calibri"/>
          <w:color w:val="1A5C8E"/>
        </w:rPr>
        <w:t>Future Roadmap</w:t>
      </w:r>
    </w:p>
    <w:p>
      <w:pPr>
        <w:pStyle w:val="ListBullet"/>
      </w:pPr>
      <w:r>
        <w:rPr>
          <w:rFonts w:ascii="Calibri" w:hAnsi="Calibri"/>
          <w:b/>
          <w:color w:val="333333"/>
          <w:sz w:val="22"/>
        </w:rPr>
        <w:t>Conversational Plan Builder:</w:t>
      </w:r>
      <w:r>
        <w:rPr>
          <w:rFonts w:ascii="Calibri" w:hAnsi="Calibri"/>
          <w:color w:val="333333"/>
          <w:sz w:val="22"/>
        </w:rPr>
        <w:t xml:space="preserve"> Expand Nova to support multi-turn media plan creation directly through conversational interaction.</w:t>
      </w:r>
    </w:p>
    <w:p>
      <w:pPr>
        <w:pStyle w:val="ListBullet"/>
      </w:pPr>
      <w:r>
        <w:rPr>
          <w:rFonts w:ascii="Calibri" w:hAnsi="Calibri"/>
          <w:b/>
          <w:color w:val="333333"/>
          <w:sz w:val="22"/>
        </w:rPr>
        <w:t>Performance Analytics Dashboard:</w:t>
      </w:r>
      <w:r>
        <w:rPr>
          <w:rFonts w:ascii="Calibri" w:hAnsi="Calibri"/>
          <w:color w:val="333333"/>
          <w:sz w:val="22"/>
        </w:rPr>
        <w:t xml:space="preserve"> Build a real-time dashboard showing plan performance, budget pacing, and market condition changes.</w:t>
      </w:r>
    </w:p>
    <w:p>
      <w:pPr>
        <w:pStyle w:val="ListBullet"/>
      </w:pPr>
      <w:r>
        <w:rPr>
          <w:rFonts w:ascii="Calibri" w:hAnsi="Calibri"/>
          <w:b/>
          <w:color w:val="333333"/>
          <w:sz w:val="22"/>
        </w:rPr>
        <w:t>Closed-Loop Optimization:</w:t>
      </w:r>
      <w:r>
        <w:rPr>
          <w:rFonts w:ascii="Calibri" w:hAnsi="Calibri"/>
          <w:color w:val="333333"/>
          <w:sz w:val="22"/>
        </w:rPr>
        <w:t xml:space="preserve"> Integrate Joveo's real-time bidding data to feed actual campaign performance back into future plan recommendations.</w:t>
      </w:r>
    </w:p>
    <w:p>
      <w:pPr>
        <w:pStyle w:val="ListBullet"/>
      </w:pPr>
      <w:r>
        <w:rPr>
          <w:rFonts w:ascii="Calibri" w:hAnsi="Calibri"/>
          <w:b/>
          <w:color w:val="333333"/>
          <w:sz w:val="22"/>
        </w:rPr>
        <w:t>Automated A/B Testing Framework:</w:t>
      </w:r>
      <w:r>
        <w:rPr>
          <w:rFonts w:ascii="Calibri" w:hAnsi="Calibri"/>
          <w:color w:val="333333"/>
          <w:sz w:val="22"/>
        </w:rPr>
        <w:t xml:space="preserve"> Extend the evaluation framework with automated A/B testing of budget allocation strategies across historical campaigns.</w:t>
      </w:r>
    </w:p>
    <w:p>
      <w:pPr>
        <w:pStyle w:val="ListBullet"/>
      </w:pPr>
      <w:r>
        <w:rPr>
          <w:rFonts w:ascii="Calibri" w:hAnsi="Calibri"/>
          <w:b/>
          <w:color w:val="333333"/>
          <w:sz w:val="22"/>
        </w:rPr>
        <w:t>Teams Bot Integration:</w:t>
      </w:r>
      <w:r>
        <w:rPr>
          <w:rFonts w:ascii="Calibri" w:hAnsi="Calibri"/>
          <w:color w:val="333333"/>
          <w:sz w:val="22"/>
        </w:rPr>
        <w:t xml:space="preserve"> Add Microsoft Teams integration alongside the existing Slack bot for broader workplace coverage.</w:t>
      </w:r>
    </w:p>
    <w:p/>
    <w:p>
      <w:pPr>
        <w:jc w:val="center"/>
      </w:pPr>
      <w:r>
        <w:rPr>
          <w:color w:val="CCCCCC"/>
          <w:sz w:val="20"/>
        </w:rPr>
        <w:t>____________________________________________________________</w:t>
      </w:r>
    </w:p>
    <w:p>
      <w:pPr>
        <w:jc w:val="center"/>
      </w:pPr>
      <w:r>
        <w:rPr>
          <w:rFonts w:ascii="Calibri" w:hAnsi="Calibri"/>
          <w:i/>
          <w:color w:val="666666"/>
          <w:sz w:val="18"/>
        </w:rPr>
        <w:t>Confidential -- Joveo, Inc. | March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