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87AD" w14:textId="77777777" w:rsidR="00C274A5" w:rsidRDefault="00C274A5" w:rsidP="00C274A5"/>
    <w:p w14:paraId="1976ACF9" w14:textId="77777777" w:rsidR="00C274A5" w:rsidRPr="00C274A5" w:rsidRDefault="00C274A5" w:rsidP="00C274A5">
      <w:pPr>
        <w:rPr>
          <w:b/>
          <w:bCs/>
        </w:rPr>
      </w:pPr>
      <w:r w:rsidRPr="00C274A5">
        <w:rPr>
          <w:b/>
          <w:bCs/>
        </w:rPr>
        <w:t>Resource classes</w:t>
      </w:r>
    </w:p>
    <w:p w14:paraId="78D69DFA" w14:textId="6ECEE956" w:rsidR="00C274A5" w:rsidRDefault="00C274A5" w:rsidP="00C274A5">
      <w:r>
        <w:t>-</w:t>
      </w:r>
      <w:r>
        <w:t xml:space="preserve">Resource classes are pre-determined resource limits in Synapse SQL pool that govern compute resources and concurrency for query execution. </w:t>
      </w:r>
    </w:p>
    <w:p w14:paraId="5C7771A3" w14:textId="77777777" w:rsidR="00C274A5" w:rsidRDefault="00C274A5" w:rsidP="00C274A5"/>
    <w:p w14:paraId="6D4F50C1" w14:textId="12DA6FF2" w:rsidR="00C274A5" w:rsidRDefault="00C274A5" w:rsidP="00C274A5">
      <w:r>
        <w:t>-</w:t>
      </w:r>
      <w:r>
        <w:t>The resource class of the service administrator is fixed at smallrc and cannot be changed. The service administrator is the user created during the provisioning process.</w:t>
      </w:r>
    </w:p>
    <w:p w14:paraId="16D9F473" w14:textId="77777777" w:rsidR="00C274A5" w:rsidRDefault="00C274A5" w:rsidP="00C274A5"/>
    <w:p w14:paraId="50D6C6B1" w14:textId="61055960" w:rsidR="00C274A5" w:rsidRDefault="00C274A5" w:rsidP="00C274A5">
      <w:r>
        <w:t>-</w:t>
      </w:r>
      <w:r>
        <w:t>Resource classes are implemented by assigning users to database roles. When a user runs a query, the query runs with the user's resource class:</w:t>
      </w:r>
    </w:p>
    <w:p w14:paraId="5A915FAC" w14:textId="77777777" w:rsidR="00C274A5" w:rsidRDefault="00C274A5" w:rsidP="00C274A5"/>
    <w:p w14:paraId="05D4458F" w14:textId="77777777" w:rsidR="00C274A5" w:rsidRDefault="00C274A5" w:rsidP="00C274A5">
      <w:pPr>
        <w:pStyle w:val="ListParagraph"/>
        <w:numPr>
          <w:ilvl w:val="0"/>
          <w:numId w:val="1"/>
        </w:numPr>
      </w:pPr>
      <w:r>
        <w:t>To add role: EXEC sp_addrolemember 'largerc', 'loaduser';</w:t>
      </w:r>
    </w:p>
    <w:p w14:paraId="3B7D31C0" w14:textId="77777777" w:rsidR="00C274A5" w:rsidRDefault="00C274A5" w:rsidP="00C274A5"/>
    <w:p w14:paraId="4CEA726F" w14:textId="77777777" w:rsidR="00C274A5" w:rsidRDefault="00C274A5" w:rsidP="00C274A5">
      <w:pPr>
        <w:pStyle w:val="ListParagraph"/>
        <w:numPr>
          <w:ilvl w:val="0"/>
          <w:numId w:val="1"/>
        </w:numPr>
      </w:pPr>
      <w:r>
        <w:t>To drop role: EXEC sp_droprolemember 'largerc', 'loaduser';</w:t>
      </w:r>
    </w:p>
    <w:p w14:paraId="5934E470" w14:textId="77777777" w:rsidR="00C274A5" w:rsidRDefault="00C274A5" w:rsidP="00C274A5"/>
    <w:p w14:paraId="114CC25E" w14:textId="77777777" w:rsidR="00C274A5" w:rsidRDefault="00C274A5" w:rsidP="00C274A5">
      <w:r>
        <w:t>(Where largerc = resource class &amp; loaduser = user,</w:t>
      </w:r>
    </w:p>
    <w:p w14:paraId="48C955C2" w14:textId="77777777" w:rsidR="00C274A5" w:rsidRDefault="00C274A5" w:rsidP="00C274A5"/>
    <w:p w14:paraId="6EEBC37F" w14:textId="77777777" w:rsidR="00C274A5" w:rsidRDefault="00C274A5" w:rsidP="00C274A5">
      <w:r>
        <w:t xml:space="preserve">  sp_addrolemember &amp; sp_droprolemember are commands to add &amp; drop user to a resource class)</w:t>
      </w:r>
    </w:p>
    <w:p w14:paraId="65B7DF0A" w14:textId="77777777" w:rsidR="00C274A5" w:rsidRDefault="00C274A5" w:rsidP="00C274A5"/>
    <w:p w14:paraId="0EE85B7E" w14:textId="77777777" w:rsidR="00C274A5" w:rsidRPr="00C274A5" w:rsidRDefault="00C274A5" w:rsidP="00C274A5">
      <w:pPr>
        <w:rPr>
          <w:b/>
          <w:bCs/>
        </w:rPr>
      </w:pPr>
      <w:r w:rsidRPr="00C274A5">
        <w:rPr>
          <w:b/>
          <w:bCs/>
        </w:rPr>
        <w:t>Workload Management</w:t>
      </w:r>
    </w:p>
    <w:p w14:paraId="030AB962" w14:textId="77777777" w:rsidR="00C274A5" w:rsidRDefault="00C274A5" w:rsidP="00C274A5"/>
    <w:p w14:paraId="4D769874" w14:textId="1BDFC426" w:rsidR="00C274A5" w:rsidRDefault="00C274A5" w:rsidP="00C274A5">
      <w:r>
        <w:t>Creation</w:t>
      </w:r>
      <w:r>
        <w:t xml:space="preserve"> of Workload Management over dedicated sql pool.</w:t>
      </w:r>
    </w:p>
    <w:p w14:paraId="59C3684B" w14:textId="77777777" w:rsidR="00C274A5" w:rsidRDefault="00C274A5" w:rsidP="00C274A5"/>
    <w:p w14:paraId="5CB9DD4D" w14:textId="7274B2C1" w:rsidR="00C274A5" w:rsidRDefault="00C274A5" w:rsidP="00C274A5">
      <w:r>
        <w:t>Steps:</w:t>
      </w:r>
    </w:p>
    <w:p w14:paraId="616BB44E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Create Synapse Workspace.</w:t>
      </w:r>
    </w:p>
    <w:p w14:paraId="7BF0EC4C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Create Sql Dedicated Pool.</w:t>
      </w:r>
    </w:p>
    <w:p w14:paraId="64A62940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In master of dedicated pool Create login for new user.</w:t>
      </w:r>
    </w:p>
    <w:p w14:paraId="55897003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In master of dedicated pool grant permissions to the newly added user.</w:t>
      </w:r>
    </w:p>
    <w:p w14:paraId="149B1549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Open dedicated sql pool and under workload management create new workload group.</w:t>
      </w:r>
    </w:p>
    <w:p w14:paraId="1C8C3E1B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Add isolations/resource reservation to group.</w:t>
      </w:r>
    </w:p>
    <w:p w14:paraId="4B374835" w14:textId="77777777" w:rsidR="00C274A5" w:rsidRDefault="00C274A5" w:rsidP="00C274A5">
      <w:pPr>
        <w:pStyle w:val="ListParagraph"/>
        <w:numPr>
          <w:ilvl w:val="0"/>
          <w:numId w:val="2"/>
        </w:numPr>
      </w:pPr>
      <w:r>
        <w:t>Add classifiers to group.</w:t>
      </w:r>
    </w:p>
    <w:p w14:paraId="22D9EE26" w14:textId="77777777" w:rsidR="00C274A5" w:rsidRDefault="00C274A5" w:rsidP="00C274A5">
      <w:r>
        <w:t>Some ss of the same:</w:t>
      </w:r>
    </w:p>
    <w:p w14:paraId="1D91F9EE" w14:textId="77777777" w:rsidR="00C274A5" w:rsidRDefault="00C274A5" w:rsidP="00C274A5"/>
    <w:p w14:paraId="579A6279" w14:textId="708BAB80" w:rsidR="00C274A5" w:rsidRDefault="00C274A5" w:rsidP="00C274A5">
      <w:r>
        <w:t xml:space="preserve">(step 3&amp;4) </w:t>
      </w:r>
    </w:p>
    <w:p w14:paraId="393F49E2" w14:textId="6F9C9FBD" w:rsidR="00C274A5" w:rsidRDefault="00C274A5" w:rsidP="00C274A5">
      <w:r>
        <w:rPr>
          <w:noProof/>
        </w:rPr>
        <w:drawing>
          <wp:inline distT="0" distB="0" distL="0" distR="0" wp14:anchorId="400A5365" wp14:editId="408D7363">
            <wp:extent cx="4027178" cy="1400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306" cy="141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09B44" w14:textId="77777777" w:rsidR="00C274A5" w:rsidRDefault="00C274A5" w:rsidP="00C274A5"/>
    <w:p w14:paraId="70115B56" w14:textId="77777777" w:rsidR="00C274A5" w:rsidRDefault="00C274A5" w:rsidP="00C274A5">
      <w:r>
        <w:t>(step 5,6,7)</w:t>
      </w:r>
    </w:p>
    <w:p w14:paraId="64E9F810" w14:textId="77777777" w:rsidR="00C274A5" w:rsidRDefault="00C274A5" w:rsidP="00C274A5"/>
    <w:p w14:paraId="54258472" w14:textId="1ADAA29E" w:rsidR="00C274A5" w:rsidRDefault="00C274A5" w:rsidP="00C274A5">
      <w:pPr>
        <w:ind w:left="360"/>
        <w:rPr>
          <w:rFonts w:cs="Arial"/>
          <w:szCs w:val="20"/>
        </w:rPr>
      </w:pPr>
      <w:r>
        <w:rPr>
          <w:noProof/>
        </w:rPr>
        <w:drawing>
          <wp:inline distT="0" distB="0" distL="0" distR="0" wp14:anchorId="5C842252" wp14:editId="01E85B46">
            <wp:extent cx="4918135" cy="1263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046" cy="12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9CCB" w14:textId="77777777" w:rsidR="00135A20" w:rsidRDefault="00135A20" w:rsidP="00135A20">
      <w:r>
        <w:t>LENNO-2</w:t>
      </w:r>
    </w:p>
    <w:p w14:paraId="6D55CD3E" w14:textId="77777777" w:rsidR="00135A20" w:rsidRDefault="00135A20" w:rsidP="00135A20">
      <w:r>
        <w:t>Deploy to CA: 25-Feb onwards Deploy to other regions</w:t>
      </w:r>
    </w:p>
    <w:p w14:paraId="0FAFB7E4" w14:textId="77777777" w:rsidR="00135A20" w:rsidRDefault="00135A20" w:rsidP="00135A20">
      <w:r>
        <w:t>1. Customers can enable enhanced metadata feature as</w:t>
      </w:r>
    </w:p>
    <w:p w14:paraId="632E5CC0" w14:textId="77777777" w:rsidR="00135A20" w:rsidRDefault="00135A20" w:rsidP="00135A20">
      <w:r>
        <w:lastRenderedPageBreak/>
        <w:t xml:space="preserve">2. Enable support for derived tables types such as </w:t>
      </w:r>
      <w:proofErr w:type="spellStart"/>
      <w:r>
        <w:t>DirPer</w:t>
      </w:r>
      <w:proofErr w:type="spellEnd"/>
    </w:p>
    <w:p w14:paraId="04A91110" w14:textId="77777777" w:rsidR="00135A20" w:rsidRDefault="00135A20" w:rsidP="00135A20">
      <w:r>
        <w:t xml:space="preserve">3. Trigger auto-reinitialize when more than half the </w:t>
      </w:r>
      <w:proofErr w:type="spellStart"/>
      <w:r>
        <w:t>reco</w:t>
      </w:r>
      <w:proofErr w:type="spellEnd"/>
    </w:p>
    <w:p w14:paraId="65004816" w14:textId="77777777" w:rsidR="00135A20" w:rsidRDefault="00135A20" w:rsidP="00135A20">
      <w:r>
        <w:t>4. Metadata update performance improvements (</w:t>
      </w:r>
      <w:proofErr w:type="spellStart"/>
      <w:r>
        <w:t>Decou</w:t>
      </w:r>
      <w:proofErr w:type="spellEnd"/>
    </w:p>
    <w:p w14:paraId="56DA5373" w14:textId="77777777" w:rsidR="00135A20" w:rsidRPr="00866A2E" w:rsidRDefault="00135A20" w:rsidP="00135A20">
      <w:r>
        <w:t>5. Reliability improvements in the service (less and less e</w:t>
      </w:r>
    </w:p>
    <w:p w14:paraId="6EAB64F7" w14:textId="77777777" w:rsidR="00135A20" w:rsidRDefault="00135A20" w:rsidP="00135A20">
      <w:r>
        <w:t>LENNO-2</w:t>
      </w:r>
    </w:p>
    <w:p w14:paraId="404D4AF8" w14:textId="77777777" w:rsidR="00135A20" w:rsidRDefault="00135A20" w:rsidP="00135A20">
      <w:r>
        <w:t>Deploy to CA: 25-Feb onwards Deploy to other regions : 14</w:t>
      </w:r>
    </w:p>
    <w:p w14:paraId="7041F404" w14:textId="77777777" w:rsidR="00135A20" w:rsidRDefault="00135A20" w:rsidP="00135A20">
      <w:r>
        <w:t xml:space="preserve"> Customers can enable enhanced metadata feature as a</w:t>
      </w:r>
    </w:p>
    <w:p w14:paraId="2D3B3B2F" w14:textId="77777777" w:rsidR="00135A20" w:rsidRDefault="00135A20" w:rsidP="00135A20">
      <w:r>
        <w:t xml:space="preserve"> Enable support for derived tables types such as </w:t>
      </w:r>
      <w:proofErr w:type="spellStart"/>
      <w:r>
        <w:t>DirPerso</w:t>
      </w:r>
      <w:proofErr w:type="spellEnd"/>
    </w:p>
    <w:p w14:paraId="545A4C1F" w14:textId="77777777" w:rsidR="00135A20" w:rsidRDefault="00135A20" w:rsidP="00135A20">
      <w:r>
        <w:t xml:space="preserve"> Trigger auto-reinitialize when more than half the records</w:t>
      </w:r>
    </w:p>
    <w:p w14:paraId="27271722" w14:textId="77777777" w:rsidR="00135A20" w:rsidRDefault="00135A20" w:rsidP="00135A20">
      <w:r>
        <w:t xml:space="preserve"> Metadata update performance improvements (Decouple</w:t>
      </w:r>
    </w:p>
    <w:p w14:paraId="21AF2CF9" w14:textId="77777777" w:rsidR="00135A20" w:rsidRDefault="00135A20" w:rsidP="00135A20">
      <w:r>
        <w:t>2.</w:t>
      </w:r>
    </w:p>
    <w:p w14:paraId="585D1A15" w14:textId="77777777" w:rsidR="00135A20" w:rsidRDefault="00135A20" w:rsidP="00135A20">
      <w:r>
        <w:t>3.</w:t>
      </w:r>
    </w:p>
    <w:p w14:paraId="06BE785D" w14:textId="77777777" w:rsidR="00135A20" w:rsidRDefault="00135A20" w:rsidP="00135A20">
      <w:r>
        <w:t>4.</w:t>
      </w:r>
    </w:p>
    <w:p w14:paraId="541C4E5E" w14:textId="77777777" w:rsidR="00135A20" w:rsidRDefault="00135A20" w:rsidP="00135A20">
      <w:r>
        <w:t xml:space="preserve">5. Reliability improvements in the service (less and less </w:t>
      </w:r>
      <w:proofErr w:type="spellStart"/>
      <w:r>
        <w:t>erre</w:t>
      </w:r>
      <w:proofErr w:type="spellEnd"/>
    </w:p>
    <w:p w14:paraId="5E6741FD" w14:textId="0FED71BE" w:rsidR="00B26CEC" w:rsidRDefault="00135A20" w:rsidP="00135A20">
      <w:r>
        <w:t>1.</w:t>
      </w:r>
    </w:p>
    <w:p w14:paraId="23312CD7" w14:textId="3091EB07" w:rsidR="00BF1364" w:rsidRDefault="00BF1364" w:rsidP="00135A20"/>
    <w:p w14:paraId="3F7765FC" w14:textId="77777777" w:rsidR="00BF1364" w:rsidRDefault="00BF1364" w:rsidP="00BF1364">
      <w:r>
        <w:t>LENNO-2</w:t>
      </w:r>
    </w:p>
    <w:p w14:paraId="629042C5" w14:textId="77777777" w:rsidR="00BF1364" w:rsidRDefault="00BF1364" w:rsidP="00BF1364">
      <w:r>
        <w:t>Deploy to CA: 25-Feb onwards Deploy to other regions : 14</w:t>
      </w:r>
    </w:p>
    <w:p w14:paraId="535E71AE" w14:textId="77777777" w:rsidR="00BF1364" w:rsidRDefault="00BF1364" w:rsidP="00BF1364">
      <w:r>
        <w:t xml:space="preserve"> Customers can enable enhanced metadata feature as a</w:t>
      </w:r>
    </w:p>
    <w:p w14:paraId="693C128D" w14:textId="77777777" w:rsidR="00BF1364" w:rsidRDefault="00BF1364" w:rsidP="00BF1364">
      <w:r>
        <w:t xml:space="preserve"> Enable support for derived tables types such as </w:t>
      </w:r>
      <w:proofErr w:type="spellStart"/>
      <w:r>
        <w:t>DirPerso</w:t>
      </w:r>
      <w:proofErr w:type="spellEnd"/>
    </w:p>
    <w:p w14:paraId="40A08C1B" w14:textId="77777777" w:rsidR="00BF1364" w:rsidRDefault="00BF1364" w:rsidP="00BF1364">
      <w:r>
        <w:t xml:space="preserve"> Trigger auto-reinitialize when more than half the records</w:t>
      </w:r>
    </w:p>
    <w:p w14:paraId="6A2BBC53" w14:textId="77777777" w:rsidR="00BF1364" w:rsidRDefault="00BF1364" w:rsidP="00BF1364">
      <w:r>
        <w:t xml:space="preserve"> Metadata update performance improvements (Decouple</w:t>
      </w:r>
    </w:p>
    <w:p w14:paraId="2AE4B829" w14:textId="77777777" w:rsidR="00BF1364" w:rsidRDefault="00BF1364" w:rsidP="00BF1364">
      <w:r>
        <w:t>2.</w:t>
      </w:r>
    </w:p>
    <w:p w14:paraId="2379C7FA" w14:textId="77777777" w:rsidR="00BF1364" w:rsidRDefault="00BF1364" w:rsidP="00BF1364">
      <w:r>
        <w:t>3.</w:t>
      </w:r>
    </w:p>
    <w:p w14:paraId="11F97573" w14:textId="77777777" w:rsidR="00BF1364" w:rsidRDefault="00BF1364" w:rsidP="00BF1364">
      <w:r>
        <w:t>4.</w:t>
      </w:r>
    </w:p>
    <w:p w14:paraId="2A1B7606" w14:textId="77777777" w:rsidR="00BF1364" w:rsidRDefault="00BF1364" w:rsidP="00BF1364">
      <w:r>
        <w:t xml:space="preserve">5. Reliability improvements in the service (less and less </w:t>
      </w:r>
      <w:proofErr w:type="spellStart"/>
      <w:r>
        <w:t>erre</w:t>
      </w:r>
      <w:proofErr w:type="spellEnd"/>
    </w:p>
    <w:p w14:paraId="68F24AD9" w14:textId="7A8B9553" w:rsidR="00BF1364" w:rsidRPr="00866A2E" w:rsidRDefault="00BF1364" w:rsidP="00BF1364">
      <w:r>
        <w:t>1.</w:t>
      </w:r>
    </w:p>
    <w:sectPr w:rsidR="00BF1364" w:rsidRPr="00866A2E" w:rsidSect="009878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864" w:right="1440" w:bottom="1296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719A0" w14:textId="77777777" w:rsidR="0050704C" w:rsidRDefault="0050704C" w:rsidP="00A123D0">
      <w:r>
        <w:separator/>
      </w:r>
    </w:p>
  </w:endnote>
  <w:endnote w:type="continuationSeparator" w:id="0">
    <w:p w14:paraId="12168319" w14:textId="77777777" w:rsidR="0050704C" w:rsidRDefault="0050704C" w:rsidP="00A1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B9C20" w14:textId="77777777" w:rsidR="00A123D0" w:rsidRDefault="00A12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0FF44" w14:textId="77777777" w:rsidR="00A123D0" w:rsidRDefault="00A12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E2318" w14:textId="77777777" w:rsidR="00A123D0" w:rsidRDefault="00A12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9D98C" w14:textId="77777777" w:rsidR="0050704C" w:rsidRDefault="0050704C" w:rsidP="00A123D0">
      <w:r>
        <w:separator/>
      </w:r>
    </w:p>
  </w:footnote>
  <w:footnote w:type="continuationSeparator" w:id="0">
    <w:p w14:paraId="2BA0E78F" w14:textId="77777777" w:rsidR="0050704C" w:rsidRDefault="0050704C" w:rsidP="00A1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7824BE" w14:textId="77777777" w:rsidR="00A123D0" w:rsidRDefault="00A12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C2D0" w14:textId="77777777" w:rsidR="00A123D0" w:rsidRDefault="00A123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14D74" w14:textId="77777777" w:rsidR="00A123D0" w:rsidRDefault="00A12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2C7"/>
    <w:multiLevelType w:val="hybridMultilevel"/>
    <w:tmpl w:val="83D8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0686"/>
    <w:multiLevelType w:val="hybridMultilevel"/>
    <w:tmpl w:val="AA3E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A5"/>
    <w:rsid w:val="000B1604"/>
    <w:rsid w:val="000F137C"/>
    <w:rsid w:val="00135A20"/>
    <w:rsid w:val="00210745"/>
    <w:rsid w:val="0030429A"/>
    <w:rsid w:val="0038132B"/>
    <w:rsid w:val="00394F74"/>
    <w:rsid w:val="0050704C"/>
    <w:rsid w:val="00531BE0"/>
    <w:rsid w:val="00587D5F"/>
    <w:rsid w:val="00866A2E"/>
    <w:rsid w:val="00987840"/>
    <w:rsid w:val="009D4A85"/>
    <w:rsid w:val="00A123D0"/>
    <w:rsid w:val="00A210D1"/>
    <w:rsid w:val="00B26CEC"/>
    <w:rsid w:val="00BC6874"/>
    <w:rsid w:val="00BF1364"/>
    <w:rsid w:val="00C274A5"/>
    <w:rsid w:val="00D50213"/>
    <w:rsid w:val="00EA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298E"/>
  <w15:chartTrackingRefBased/>
  <w15:docId w15:val="{61B0A5FB-E460-42D7-A3AC-2741B38A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7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A2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A2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2E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A2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6A2E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6A2E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6A2E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66A2E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66A2E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087D"/>
    <w:pPr>
      <w:jc w:val="both"/>
    </w:pPr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6A2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6A2E"/>
    <w:rPr>
      <w:rFonts w:ascii="Arial" w:eastAsiaTheme="majorEastAsia" w:hAnsi="Arial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66A2E"/>
    <w:rPr>
      <w:rFonts w:ascii="Arial" w:eastAsiaTheme="majorEastAsia" w:hAnsi="Arial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66A2E"/>
    <w:rPr>
      <w:rFonts w:ascii="Arial" w:eastAsiaTheme="majorEastAsia" w:hAnsi="Arial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866A2E"/>
    <w:rPr>
      <w:rFonts w:ascii="Arial" w:eastAsiaTheme="majorEastAsia" w:hAnsi="Arial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66A2E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66A2E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A2E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A2E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E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A2E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66A2E"/>
    <w:rPr>
      <w:rFonts w:ascii="Arial" w:hAnsi="Arial"/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66A2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6A2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66A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6A2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6A2E"/>
    <w:rPr>
      <w:rFonts w:ascii="Arial" w:hAnsi="Arial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E"/>
    <w:rPr>
      <w:rFonts w:ascii="Arial" w:hAnsi="Arial"/>
      <w:b/>
      <w:bCs/>
      <w:i/>
      <w:iCs/>
      <w:color w:val="4F81BD" w:themeColor="accent1"/>
      <w:sz w:val="20"/>
    </w:rPr>
  </w:style>
  <w:style w:type="character" w:styleId="SubtleReference">
    <w:name w:val="Subtle Reference"/>
    <w:basedOn w:val="DefaultParagraphFont"/>
    <w:uiPriority w:val="31"/>
    <w:qFormat/>
    <w:rsid w:val="00866A2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6A2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6A2E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866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3D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A12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3D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2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82765.F3DFCBE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cid:image006.jpg@01D82765.F3DFCBE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7296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Crowe LLP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Shubham</dc:creator>
  <cp:keywords/>
  <dc:description/>
  <cp:lastModifiedBy>Singh, Shubham</cp:lastModifiedBy>
  <cp:revision>4</cp:revision>
  <dcterms:created xsi:type="dcterms:W3CDTF">2022-03-25T09:23:00Z</dcterms:created>
  <dcterms:modified xsi:type="dcterms:W3CDTF">2022-04-05T12:19:00Z</dcterms:modified>
</cp:coreProperties>
</file>