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Low-Volatility Equity Strategy</w:t>
      </w:r>
    </w:p>
    <w:p>
      <w:pPr>
        <w:jc w:val="center"/>
      </w:pPr>
      <w:r>
        <w:rPr>
          <w:color w:val="2E6DA4"/>
          <w:sz w:val="32"/>
        </w:rPr>
        <w:t>Knowledge Transfer Document</w:t>
      </w:r>
    </w:p>
    <w:p/>
    <w:p>
      <w:pPr>
        <w:jc w:val="center"/>
      </w:pPr>
      <w:r>
        <w:rPr>
          <w:sz w:val="22"/>
        </w:rPr>
        <w:t>NSE Top-50 Indian Equities  -  MASS Motif-Based Volatility Regime Signal</w:t>
        <w:br/>
      </w:r>
      <w:r>
        <w:rPr>
          <w:sz w:val="20"/>
        </w:rPr>
        <w:t>Prepared by: Shubham Shreshtha   |   July 2026</w:t>
      </w:r>
    </w:p>
    <w:p/>
    <w:p/>
    <w:p>
      <w:pPr>
        <w:shd w:val="clear" w:color="auto" w:fill="EBF5FB"/>
        <w:spacing w:before="80" w:after="80"/>
        <w:ind w:left="170" w:right="170"/>
      </w:pPr>
      <w:r>
        <w:rPr>
          <w:b/>
          <w:sz w:val="20"/>
        </w:rPr>
        <w:t xml:space="preserve">Purpose of this document:  </w:t>
      </w:r>
      <w:r>
        <w:rPr>
          <w:sz w:val="20"/>
        </w:rPr>
        <w:t>Written for the researcher, quant, or PM who continues this work after the author leaves the firm. It explains what was researched, what was found, what was tried and rejected, and exactly which files to open and in what order. Every claim in this document was checked directly against the actual notebook code and the actual generated output files (Excel/CSV). Anywhere something could not be verified from source, that is flagged explicitly rather than stated as fact.</w:t>
      </w:r>
    </w:p>
    <w:p>
      <w:r>
        <w:br w:type="page"/>
      </w:r>
    </w:p>
    <w:p>
      <w:pPr>
        <w:pStyle w:val="Heading1"/>
        <w:jc w:val="left"/>
      </w:pPr>
      <w:r>
        <w:rPr>
          <w:color w:val="1F3A5F"/>
        </w:rPr>
        <w:t>1. Executive Summary</w:t>
      </w:r>
    </w:p>
    <w:p>
      <w:r>
        <w:rPr>
          <w:b w:val="0"/>
          <w:sz w:val="20"/>
        </w:rPr>
        <w:t>This project builds a forward-looking volatility regime signal for NSE Top-50 Indian equities and uses it to construct a low-volatility equity portfolio. Instead of a parametric volatility model (GARCH, HAR), the signal is generated by MASS (Mueen's Algorithm for Similarity Search): the last 45 trading days of squared returns for a ticker are compared against all of market history, the 5 most similar historical "analogues" are found, and what happened to volatility and returns in the month after those analogues becomes the forecast for what happens next.</w:t>
      </w:r>
    </w:p>
    <w:p>
      <w:r>
        <w:rPr>
          <w:b w:val="0"/>
          <w:sz w:val="20"/>
        </w:rPr>
        <w:t>Three portfolio-construction strategies were built on top of the same signal and compared against four NSE benchmark indices (primary: SCSB_0003) over a January 2020 - February 2026 backtest: Fixed-10 (equal-weight and inverse-vol variants), Dynamic Adaptive selection, and Gap + Regime conditioned selection.</w:t>
      </w:r>
    </w:p>
    <w:p>
      <w:pPr>
        <w:shd w:val="clear" w:color="auto" w:fill="E9F7EF"/>
        <w:spacing w:before="80" w:after="80"/>
        <w:ind w:left="170" w:right="170"/>
      </w:pPr>
      <w:r>
        <w:rPr>
          <w:b/>
          <w:color w:val="197A3A"/>
          <w:sz w:val="20"/>
        </w:rPr>
        <w:t xml:space="preserve">Winner:  </w:t>
      </w:r>
      <w:r>
        <w:rPr>
          <w:sz w:val="20"/>
        </w:rPr>
        <w:t>Dynamic InvVol  -  17.24% CAGR, 0.95 Sharpe, 1.34 Sortino, -41.53% max drawdown, +873 bps CAGR alpha over SCSB_0003 (8.51% CAGR). This number is well-supported: it was independently confirmed in three separate places during verification  -  the research report, the executed output cells of strategy_comparison.ipynb, and the Performance_Metrics sheet of strategy_comparison.xlsx  -  all three agree exactly. The main things still worth scrutiny are NOT the headline number itself but its supporting assumptions: the Top-50 universe used across the whole 6-year backtest is derived from a single latest-date market-cap snapshot rather than a proper point-in-time reconstitution (Section 6.3), and the signal's ~0.11 correlation with realised volatility  -  often cited as evidence of "low but valid" signal quality  -  does not reproduce to one consistent number across notebooks (Section 6.3).</w:t>
      </w:r>
    </w:p>
    <w:p>
      <w:r>
        <w:br w:type="page"/>
      </w:r>
    </w:p>
    <w:p>
      <w:pPr>
        <w:pStyle w:val="Heading1"/>
        <w:jc w:val="left"/>
      </w:pPr>
      <w:r>
        <w:rPr>
          <w:color w:val="1F3A5F"/>
        </w:rPr>
        <w:t>2. Project Overview</w:t>
      </w:r>
    </w:p>
    <w:p>
      <w:pPr>
        <w:pStyle w:val="Heading2"/>
        <w:jc w:val="left"/>
      </w:pPr>
      <w:r>
        <w:rPr>
          <w:color w:val="2E6DA4"/>
        </w:rPr>
        <w:t>2.1 Objective</w:t>
      </w:r>
    </w:p>
    <w:p>
      <w:r>
        <w:rPr>
          <w:b w:val="0"/>
          <w:sz w:val="20"/>
        </w:rPr>
        <w:t>Build a low-volatility equity selection strategy for the NSE Top-50 universe that outperforms passive low-risk smallcase benchmarks (primarily SCSB_0003) on a risk-adjusted basis, using a non-parametric, pattern-matching volatility forecast rather than a fitted distributional model. The project also carries forward an earlier, currently-unresolved mandate: a Nifty/Gold tactical asset-allocation (AA) smallcase driven by the same kind of volatility regime signal.</w:t>
      </w:r>
    </w:p>
    <w:p>
      <w:pPr>
        <w:pStyle w:val="Heading2"/>
        <w:jc w:val="left"/>
      </w:pPr>
      <w:r>
        <w:rPr>
          <w:color w:val="2E6DA4"/>
        </w:rPr>
        <w:t>2.2 Scope &amp; Data Context</w:t>
      </w:r>
    </w:p>
    <w:p>
      <w:pPr>
        <w:pStyle w:val="ListBullet"/>
      </w:pPr>
      <w:r>
        <w:rPr>
          <w:sz w:val="20"/>
        </w:rPr>
        <w:t>Universe: NSE Top-50 Indian equities by market capitalisation (78 tickers appear in the signal cache across the full history; the exact Top-50 filter is derived from a market-cap snapshot as of Feb 2026 and applied across the whole backtest  -  see caveat in Section 6.3).</w:t>
      </w:r>
    </w:p>
    <w:p>
      <w:pPr>
        <w:pStyle w:val="ListBullet"/>
      </w:pPr>
      <w:r>
        <w:rPr>
          <w:sz w:val="20"/>
        </w:rPr>
        <w:t>Signal history: motif matching draws on daily price history back to 1995/2004 depending on the notebook/pipeline; signal cache and portfolio backtests cover Jan 2020 - Feb 2026 (~6 years, 304 monthly rebalance dates in the full signal cache, 91 within the exported/backtested window).</w:t>
      </w:r>
    </w:p>
    <w:p>
      <w:pPr>
        <w:pStyle w:val="ListBullet"/>
      </w:pPr>
      <w:r>
        <w:rPr>
          <w:sz w:val="20"/>
        </w:rPr>
        <w:t>Key data files: data/Universe/INDTradingDays.xlsx (daily closes), data/Universe/TradingDays.xlsx (trading calendar), data/RSI/Final/NSEI/W_allRebal.xlsx (weekly rebalance dates), ticker_signals_cache.xlsx (pre-computed signal, 13,563 rows).</w:t>
      </w:r>
    </w:p>
    <w:p>
      <w:pPr>
        <w:pStyle w:val="ListBullet"/>
      </w:pPr>
      <w:r>
        <w:rPr>
          <w:sz w:val="20"/>
        </w:rPr>
        <w:t>Evaluation horizon: signal forecasts 1-month-forward volatility/returns; portfolios rebalance monthly.</w:t>
      </w:r>
    </w:p>
    <w:p>
      <w:pPr>
        <w:pStyle w:val="ListBullet"/>
      </w:pPr>
      <w:r>
        <w:rPr>
          <w:sz w:val="20"/>
        </w:rPr>
        <w:t>No formal train/test split  -  this is a backtest over the full available history, validated by comparing pipeline output against smoothed_signal.xlsx (a small, single-ticker reference), not by a held-out sample or unit tests.</w:t>
      </w:r>
    </w:p>
    <w:p>
      <w:pPr>
        <w:pStyle w:val="Heading2"/>
        <w:jc w:val="left"/>
      </w:pPr>
      <w:r>
        <w:rPr>
          <w:color w:val="2E6DA4"/>
        </w:rPr>
        <w:t>2.3 Repository Structure</w:t>
      </w:r>
    </w:p>
    <w:tbl>
      <w:tblPr>
        <w:tblStyle w:val="TableGrid"/>
        <w:tblW w:type="auto" w:w="0"/>
        <w:tblLook w:firstColumn="1" w:firstRow="1" w:lastColumn="0" w:lastRow="0" w:noHBand="0" w:noVBand="1" w:val="04A0"/>
      </w:tblPr>
      <w:tblGrid>
        <w:gridCol w:w="4703"/>
        <w:gridCol w:w="4703"/>
      </w:tblGrid>
      <w:tr>
        <w:tc>
          <w:tcPr>
            <w:tcW w:type="dxa" w:w="3118"/>
            <w:shd w:val="clear" w:color="auto" w:fill="1F3A5F"/>
            <w:vAlign w:val="center"/>
          </w:tcPr>
          <w:p>
            <w:pPr>
              <w:jc w:val="center"/>
            </w:pPr>
            <w:r>
              <w:rPr>
                <w:b/>
                <w:color w:val="FFFFFF"/>
                <w:sz w:val="18"/>
              </w:rPr>
              <w:t>Folder / File</w:t>
            </w:r>
          </w:p>
        </w:tc>
        <w:tc>
          <w:tcPr>
            <w:tcW w:type="dxa" w:w="6236"/>
            <w:shd w:val="clear" w:color="auto" w:fill="1F3A5F"/>
            <w:vAlign w:val="center"/>
          </w:tcPr>
          <w:p>
            <w:pPr>
              <w:jc w:val="center"/>
            </w:pPr>
            <w:r>
              <w:rPr>
                <w:b/>
                <w:color w:val="FFFFFF"/>
                <w:sz w:val="18"/>
              </w:rPr>
              <w:t>Contents</w:t>
            </w:r>
          </w:p>
        </w:tc>
      </w:tr>
      <w:tr>
        <w:tc>
          <w:tcPr>
            <w:tcW w:type="dxa" w:w="3118"/>
            <w:shd w:val="clear" w:color="auto" w:fill="F7FAFD"/>
          </w:tcPr>
          <w:p>
            <w:r>
              <w:rPr>
                <w:sz w:val="18"/>
              </w:rPr>
              <w:t>data/</w:t>
            </w:r>
          </w:p>
        </w:tc>
        <w:tc>
          <w:tcPr>
            <w:tcW w:type="dxa" w:w="6236"/>
            <w:shd w:val="clear" w:color="auto" w:fill="F7FAFD"/>
          </w:tcPr>
          <w:p>
            <w:r>
              <w:rPr>
                <w:sz w:val="18"/>
              </w:rPr>
              <w:t>Input Excel data  -  trading calendar, NSE daily closes, weekly rebalance dates.</w:t>
            </w:r>
          </w:p>
        </w:tc>
      </w:tr>
      <w:tr>
        <w:tc>
          <w:tcPr>
            <w:tcW w:type="dxa" w:w="3118"/>
            <w:shd w:val="clear" w:color="auto" w:fill="FFFFFF"/>
          </w:tcPr>
          <w:p>
            <w:r>
              <w:rPr>
                <w:sz w:val="18"/>
              </w:rPr>
              <w:t>Python_Scripts/</w:t>
            </w:r>
          </w:p>
        </w:tc>
        <w:tc>
          <w:tcPr>
            <w:tcW w:type="dxa" w:w="6236"/>
            <w:shd w:val="clear" w:color="auto" w:fill="FFFFFF"/>
          </w:tcPr>
          <w:p>
            <w:r>
              <w:rPr>
                <w:sz w:val="18"/>
              </w:rPr>
              <w:t>Shared core library (MASS algorithm, backtesting engine, GARCH/GMM/ARMA research modules, DB connections) used by both notebooks and the production pipeline.</w:t>
            </w:r>
          </w:p>
        </w:tc>
      </w:tr>
      <w:tr>
        <w:tc>
          <w:tcPr>
            <w:tcW w:type="dxa" w:w="3118"/>
            <w:shd w:val="clear" w:color="auto" w:fill="F7FAFD"/>
          </w:tcPr>
          <w:p>
            <w:r>
              <w:rPr>
                <w:sz w:val="18"/>
              </w:rPr>
              <w:t>files/</w:t>
            </w:r>
          </w:p>
        </w:tc>
        <w:tc>
          <w:tcPr>
            <w:tcW w:type="dxa" w:w="6236"/>
            <w:shd w:val="clear" w:color="auto" w:fill="F7FAFD"/>
          </w:tcPr>
          <w:p>
            <w:r>
              <w:rPr>
                <w:sz w:val="18"/>
              </w:rPr>
              <w:t>Production pipeline  -  a modular refactor of the notebook signal-generation logic. Entry point: files/main.py. Config: files/config.py.</w:t>
            </w:r>
          </w:p>
        </w:tc>
      </w:tr>
      <w:tr>
        <w:tc>
          <w:tcPr>
            <w:tcW w:type="dxa" w:w="3118"/>
            <w:shd w:val="clear" w:color="auto" w:fill="FFFFFF"/>
          </w:tcPr>
          <w:p>
            <w:r>
              <w:rPr>
                <w:sz w:val="18"/>
              </w:rPr>
              <w:t>*.ipynb (root, 15+ files)</w:t>
            </w:r>
          </w:p>
        </w:tc>
        <w:tc>
          <w:tcPr>
            <w:tcW w:type="dxa" w:w="6236"/>
            <w:shd w:val="clear" w:color="auto" w:fill="FFFFFF"/>
          </w:tcPr>
          <w:p>
            <w:r>
              <w:rPr>
                <w:sz w:val="18"/>
              </w:rPr>
              <w:t>Research notebooks  -  exploratory, some superseded. See Section 7 for tiering.</w:t>
            </w:r>
          </w:p>
        </w:tc>
      </w:tr>
      <w:tr>
        <w:tc>
          <w:tcPr>
            <w:tcW w:type="dxa" w:w="3118"/>
            <w:shd w:val="clear" w:color="auto" w:fill="F7FAFD"/>
          </w:tcPr>
          <w:p>
            <w:r>
              <w:rPr>
                <w:sz w:val="18"/>
              </w:rPr>
              <w:t>requirements.txt / .venv/</w:t>
            </w:r>
          </w:p>
        </w:tc>
        <w:tc>
          <w:tcPr>
            <w:tcW w:type="dxa" w:w="6236"/>
            <w:shd w:val="clear" w:color="auto" w:fill="F7FAFD"/>
          </w:tcPr>
          <w:p>
            <w:r>
              <w:rPr>
                <w:sz w:val="18"/>
              </w:rPr>
              <w:t>Python dependencies and virtual environment.</w:t>
            </w:r>
          </w:p>
        </w:tc>
      </w:tr>
      <w:tr>
        <w:tc>
          <w:tcPr>
            <w:tcW w:type="dxa" w:w="3118"/>
            <w:shd w:val="clear" w:color="auto" w:fill="FFFFFF"/>
          </w:tcPr>
          <w:p>
            <w:r>
              <w:rPr>
                <w:sz w:val="18"/>
              </w:rPr>
              <w:t>KT_LowVol_Strategy.docx (this doc) / Low_Vol_Strategy_Research_Report.docx</w:t>
            </w:r>
          </w:p>
        </w:tc>
        <w:tc>
          <w:tcPr>
            <w:tcW w:type="dxa" w:w="6236"/>
            <w:shd w:val="clear" w:color="auto" w:fill="FFFFFF"/>
          </w:tcPr>
          <w:p>
            <w:r>
              <w:rPr>
                <w:sz w:val="18"/>
              </w:rPr>
              <w:t>Formal written reports  -  KT document (this file) and the management-facing performance report.</w:t>
            </w:r>
          </w:p>
        </w:tc>
      </w:tr>
      <w:tr>
        <w:tc>
          <w:tcPr>
            <w:tcW w:type="dxa" w:w="3118"/>
            <w:shd w:val="clear" w:color="auto" w:fill="F7FAFD"/>
          </w:tcPr>
          <w:p>
            <w:r>
              <w:rPr>
                <w:sz w:val="18"/>
              </w:rPr>
              <w:t>Volatility Research for AA smallcases.docx</w:t>
            </w:r>
          </w:p>
        </w:tc>
        <w:tc>
          <w:tcPr>
            <w:tcW w:type="dxa" w:w="6236"/>
            <w:shd w:val="clear" w:color="auto" w:fill="F7FAFD"/>
          </w:tcPr>
          <w:p>
            <w:r>
              <w:rPr>
                <w:sz w:val="18"/>
              </w:rPr>
              <w:t>Phase-1 research brief: HAR-RS description, Motif+PSMC, manager's notes, macro-variable to-do list.</w:t>
            </w:r>
          </w:p>
        </w:tc>
      </w:tr>
      <w:tr>
        <w:tc>
          <w:tcPr>
            <w:tcW w:type="dxa" w:w="3118"/>
            <w:shd w:val="clear" w:color="auto" w:fill="FFFFFF"/>
          </w:tcPr>
          <w:p>
            <w:r>
              <w:rPr>
                <w:sz w:val="18"/>
              </w:rPr>
              <w:t>ticker_signals_cache.xlsx, strategy_comparison.xlsx, and other root-level .xlsx/.csv files</w:t>
            </w:r>
          </w:p>
        </w:tc>
        <w:tc>
          <w:tcPr>
            <w:tcW w:type="dxa" w:w="6236"/>
            <w:shd w:val="clear" w:color="auto" w:fill="FFFFFF"/>
          </w:tcPr>
          <w:p>
            <w:r>
              <w:rPr>
                <w:sz w:val="18"/>
              </w:rPr>
              <w:t>Generated output artifacts  -  signal cache and full backtest results (see Section 6).</w:t>
            </w:r>
          </w:p>
        </w:tc>
      </w:tr>
    </w:tbl>
    <w:p/>
    <w:p>
      <w:r>
        <w:br w:type="page"/>
      </w:r>
    </w:p>
    <w:p>
      <w:pPr>
        <w:pStyle w:val="Heading1"/>
        <w:jc w:val="left"/>
      </w:pPr>
      <w:r>
        <w:rPr>
          <w:color w:val="1F3A5F"/>
        </w:rPr>
        <w:t>3. Core Concepts Glossary</w:t>
      </w:r>
    </w:p>
    <w:p>
      <w:r>
        <w:rPr>
          <w:b w:val="0"/>
          <w:sz w:val="20"/>
        </w:rPr>
        <w:t>Quick reference for anyone unfamiliar with the terminology used throughout the research.</w:t>
      </w:r>
    </w:p>
    <w:p/>
    <w:tbl>
      <w:tblPr>
        <w:tblStyle w:val="TableGrid"/>
        <w:tblW w:type="auto" w:w="0"/>
        <w:tblLook w:firstColumn="1" w:firstRow="1" w:lastColumn="0" w:lastRow="0" w:noHBand="0" w:noVBand="1" w:val="04A0"/>
      </w:tblPr>
      <w:tblGrid>
        <w:gridCol w:w="4703"/>
        <w:gridCol w:w="4703"/>
      </w:tblGrid>
      <w:tr>
        <w:tc>
          <w:tcPr>
            <w:tcW w:type="dxa" w:w="2551"/>
            <w:shd w:val="clear" w:color="auto" w:fill="1F3A5F"/>
            <w:vAlign w:val="center"/>
          </w:tcPr>
          <w:p>
            <w:pPr>
              <w:jc w:val="center"/>
            </w:pPr>
            <w:r>
              <w:rPr>
                <w:b/>
                <w:color w:val="FFFFFF"/>
                <w:sz w:val="18"/>
              </w:rPr>
              <w:t>Term</w:t>
            </w:r>
          </w:p>
        </w:tc>
        <w:tc>
          <w:tcPr>
            <w:tcW w:type="dxa" w:w="6803"/>
            <w:shd w:val="clear" w:color="auto" w:fill="1F3A5F"/>
            <w:vAlign w:val="center"/>
          </w:tcPr>
          <w:p>
            <w:pPr>
              <w:jc w:val="center"/>
            </w:pPr>
            <w:r>
              <w:rPr>
                <w:b/>
                <w:color w:val="FFFFFF"/>
                <w:sz w:val="18"/>
              </w:rPr>
              <w:t>Definition</w:t>
            </w:r>
          </w:p>
        </w:tc>
      </w:tr>
      <w:tr>
        <w:tc>
          <w:tcPr>
            <w:tcW w:type="dxa" w:w="2551"/>
            <w:shd w:val="clear" w:color="auto" w:fill="F7FAFD"/>
          </w:tcPr>
          <w:p>
            <w:r>
              <w:rPr>
                <w:sz w:val="18"/>
              </w:rPr>
              <w:t>MASS</w:t>
            </w:r>
          </w:p>
        </w:tc>
        <w:tc>
          <w:tcPr>
            <w:tcW w:type="dxa" w:w="6803"/>
            <w:shd w:val="clear" w:color="auto" w:fill="F7FAFD"/>
          </w:tcPr>
          <w:p>
            <w:r>
              <w:rPr>
                <w:sz w:val="18"/>
              </w:rPr>
              <w:t>Mueen's Algorithm for Similarity Search  -  computes a z-normalised Euclidean distance profile between a query subsequence and every window of a longer target series. Implemented in Python_Scripts/mass.py via a rolling-correlation/np.convolve approach (not FFT-based, not DTW, despite some prior descriptions saying otherwise).</w:t>
            </w:r>
          </w:p>
        </w:tc>
      </w:tr>
      <w:tr>
        <w:tc>
          <w:tcPr>
            <w:tcW w:type="dxa" w:w="2551"/>
            <w:shd w:val="clear" w:color="auto" w:fill="FFFFFF"/>
          </w:tcPr>
          <w:p>
            <w:r>
              <w:rPr>
                <w:sz w:val="18"/>
              </w:rPr>
              <w:t>Motif / analogue</w:t>
            </w:r>
          </w:p>
        </w:tc>
        <w:tc>
          <w:tcPr>
            <w:tcW w:type="dxa" w:w="6803"/>
            <w:shd w:val="clear" w:color="auto" w:fill="FFFFFF"/>
          </w:tcPr>
          <w:p>
            <w:r>
              <w:rPr>
                <w:sz w:val="18"/>
              </w:rPr>
              <w:t>A historical 45-trading-day window whose squared-return pattern most closely matches the current 45-day window, per MASS distance.</w:t>
            </w:r>
          </w:p>
        </w:tc>
      </w:tr>
      <w:tr>
        <w:tc>
          <w:tcPr>
            <w:tcW w:type="dxa" w:w="2551"/>
            <w:shd w:val="clear" w:color="auto" w:fill="F7FAFD"/>
          </w:tcPr>
          <w:p>
            <w:r>
              <w:rPr>
                <w:sz w:val="18"/>
              </w:rPr>
              <w:t>Vol_Regime_Smooth</w:t>
            </w:r>
          </w:p>
        </w:tc>
        <w:tc>
          <w:tcPr>
            <w:tcW w:type="dxa" w:w="6803"/>
            <w:shd w:val="clear" w:color="auto" w:fill="F7FAFD"/>
          </w:tcPr>
          <w:p>
            <w:r>
              <w:rPr>
                <w:sz w:val="18"/>
              </w:rPr>
              <w:t>The final production signal  -  EWM-smoothed (alpha=0.15), [0,1]-bounded, monthly, volatility regime indicator. 0 = calm, 1 = stressed. All portfolio construction uses this column.</w:t>
            </w:r>
          </w:p>
        </w:tc>
      </w:tr>
      <w:tr>
        <w:tc>
          <w:tcPr>
            <w:tcW w:type="dxa" w:w="2551"/>
            <w:shd w:val="clear" w:color="auto" w:fill="FFFFFF"/>
          </w:tcPr>
          <w:p>
            <w:r>
              <w:rPr>
                <w:sz w:val="18"/>
              </w:rPr>
              <w:t>IDW (Inverse-Distance Weighting)</w:t>
            </w:r>
          </w:p>
        </w:tc>
        <w:tc>
          <w:tcPr>
            <w:tcW w:type="dxa" w:w="6803"/>
            <w:shd w:val="clear" w:color="auto" w:fill="FFFFFF"/>
          </w:tcPr>
          <w:p>
            <w:r>
              <w:rPr>
                <w:sz w:val="18"/>
              </w:rPr>
              <w:t>weight_k = (1/distance_k) / sum(1/distance_j)  -  combines the 5 nearest analogues, weighting closer ones more heavily.</w:t>
            </w:r>
          </w:p>
        </w:tc>
      </w:tr>
      <w:tr>
        <w:tc>
          <w:tcPr>
            <w:tcW w:type="dxa" w:w="2551"/>
            <w:shd w:val="clear" w:color="auto" w:fill="F7FAFD"/>
          </w:tcPr>
          <w:p>
            <w:r>
              <w:rPr>
                <w:sz w:val="18"/>
              </w:rPr>
              <w:t>NW (Nadaraya-Watson) forecast</w:t>
            </w:r>
          </w:p>
        </w:tc>
        <w:tc>
          <w:tcPr>
            <w:tcW w:type="dxa" w:w="6803"/>
            <w:shd w:val="clear" w:color="auto" w:fill="F7FAFD"/>
          </w:tcPr>
          <w:p>
            <w:r>
              <w:rPr>
                <w:sz w:val="18"/>
              </w:rPr>
              <w:t>Alternative kernel-weighted aggregation of analogues, tested against IDW as part of the Motif+PSMC work; both perform similarly in order of magnitude (see Section 6.3 for the exact-number caveat).</w:t>
            </w:r>
          </w:p>
        </w:tc>
      </w:tr>
      <w:tr>
        <w:tc>
          <w:tcPr>
            <w:tcW w:type="dxa" w:w="2551"/>
            <w:shd w:val="clear" w:color="auto" w:fill="FFFFFF"/>
          </w:tcPr>
          <w:p>
            <w:r>
              <w:rPr>
                <w:sz w:val="18"/>
              </w:rPr>
              <w:t>Exponential calibration (Stage 7)</w:t>
            </w:r>
          </w:p>
        </w:tc>
        <w:tc>
          <w:tcPr>
            <w:tcW w:type="dxa" w:w="6803"/>
            <w:shd w:val="clear" w:color="auto" w:fill="FFFFFF"/>
          </w:tcPr>
          <w:p>
            <w:r>
              <w:rPr>
                <w:sz w:val="18"/>
              </w:rPr>
              <w:t>The single most important, least obvious pipeline step. The median OBSERVED volatility per PREDICTED-volatility bucket empirically fits y = a*exp(b*x). The pipeline refits a, b on a rolling window and applies the curve to correct systematic under-prediction of high-vol regimes. Confirmed implemented in files/vol_aggregator.py::_rolling_exp_calibration.</w:t>
            </w:r>
          </w:p>
        </w:tc>
      </w:tr>
      <w:tr>
        <w:tc>
          <w:tcPr>
            <w:tcW w:type="dxa" w:w="2551"/>
            <w:shd w:val="clear" w:color="auto" w:fill="F7FAFD"/>
          </w:tcPr>
          <w:p>
            <w:r>
              <w:rPr>
                <w:sz w:val="18"/>
              </w:rPr>
              <w:t>Look-ahead bias avoidance</w:t>
            </w:r>
          </w:p>
        </w:tc>
        <w:tc>
          <w:tcPr>
            <w:tcW w:type="dxa" w:w="6803"/>
            <w:shd w:val="clear" w:color="auto" w:fill="F7FAFD"/>
          </w:tcPr>
          <w:p>
            <w:r>
              <w:rPr>
                <w:sz w:val="18"/>
              </w:rPr>
              <w:t>The quantile-bucketing step (QuantileTransformer) and the exponential calibration step are both fit on strictly past data only (rolling windows), never on the full sample.</w:t>
            </w:r>
          </w:p>
        </w:tc>
      </w:tr>
      <w:tr>
        <w:tc>
          <w:tcPr>
            <w:tcW w:type="dxa" w:w="2551"/>
            <w:shd w:val="clear" w:color="auto" w:fill="FFFFFF"/>
          </w:tcPr>
          <w:p>
            <w:r>
              <w:rPr>
                <w:sz w:val="18"/>
              </w:rPr>
              <w:t>CAGR / Sharpe / Sortino / Calmar / Max DD</w:t>
            </w:r>
          </w:p>
        </w:tc>
        <w:tc>
          <w:tcPr>
            <w:tcW w:type="dxa" w:w="6803"/>
            <w:shd w:val="clear" w:color="auto" w:fill="FFFFFF"/>
          </w:tcPr>
          <w:p>
            <w:r>
              <w:rPr>
                <w:sz w:val="18"/>
              </w:rPr>
              <w:t>Standard risk-adjusted performance metrics. All Sharpe/Sortino figures in this project assume a 0% risk-free rate. Calmar = CAGR / |Max DD|.</w:t>
            </w:r>
          </w:p>
        </w:tc>
      </w:tr>
      <w:tr>
        <w:tc>
          <w:tcPr>
            <w:tcW w:type="dxa" w:w="2551"/>
            <w:shd w:val="clear" w:color="auto" w:fill="F7FAFD"/>
          </w:tcPr>
          <w:p>
            <w:r>
              <w:rPr>
                <w:sz w:val="18"/>
              </w:rPr>
              <w:t>bps</w:t>
            </w:r>
          </w:p>
        </w:tc>
        <w:tc>
          <w:tcPr>
            <w:tcW w:type="dxa" w:w="6803"/>
            <w:shd w:val="clear" w:color="auto" w:fill="F7FAFD"/>
          </w:tcPr>
          <w:p>
            <w:r>
              <w:rPr>
                <w:sz w:val="18"/>
              </w:rPr>
              <w:t>Basis points; 100 bps = 1 percentage point. Used for alpha (CAGR difference vs. benchmark).</w:t>
            </w:r>
          </w:p>
        </w:tc>
      </w:tr>
      <w:tr>
        <w:tc>
          <w:tcPr>
            <w:tcW w:type="dxa" w:w="2551"/>
            <w:shd w:val="clear" w:color="auto" w:fill="FFFFFF"/>
          </w:tcPr>
          <w:p>
            <w:r>
              <w:rPr>
                <w:sz w:val="18"/>
              </w:rPr>
              <w:t>Fixed-10 / Dynamic Adaptive / Gap+Regime</w:t>
            </w:r>
          </w:p>
        </w:tc>
        <w:tc>
          <w:tcPr>
            <w:tcW w:type="dxa" w:w="6803"/>
            <w:shd w:val="clear" w:color="auto" w:fill="FFFFFF"/>
          </w:tcPr>
          <w:p>
            <w:r>
              <w:rPr>
                <w:sz w:val="18"/>
              </w:rPr>
              <w:t>The three portfolio-construction strategies compared  -  see Section 5.</w:t>
            </w:r>
          </w:p>
        </w:tc>
      </w:tr>
    </w:tbl>
    <w:p/>
    <w:p>
      <w:r>
        <w:br w:type="page"/>
      </w:r>
    </w:p>
    <w:p>
      <w:pPr>
        <w:pStyle w:val="Heading1"/>
        <w:jc w:val="left"/>
      </w:pPr>
      <w:r>
        <w:rPr>
          <w:color w:val="1F3A5F"/>
        </w:rPr>
        <w:t>4. Data Pipeline &amp; Methodology</w:t>
      </w:r>
    </w:p>
    <w:p>
      <w:r>
        <w:rPr>
          <w:b w:val="0"/>
          <w:sz w:val="20"/>
        </w:rPr>
        <w:t>The production signal-generation logic lives in files/vol_aggregator.py (VolAggregator class), driven by the motif search in Python_Scripts/mass.py (Match class). The overarching design principle, confirmed by reading the code, is strictly causal: every calibration/normalisation step is fit on a rolling, past-only window, never on the full sample.</w:t>
      </w:r>
    </w:p>
    <w:p>
      <w:pPr>
        <w:pStyle w:val="Heading2"/>
        <w:jc w:val="left"/>
      </w:pPr>
      <w:r>
        <w:rPr>
          <w:color w:val="2E6DA4"/>
        </w:rPr>
        <w:t>4.1 Step-by-Step Pipeline (8 Stages)</w:t>
      </w:r>
    </w:p>
    <w:p>
      <w:pPr>
        <w:spacing w:before="60"/>
      </w:pPr>
      <w:r>
        <w:rPr>
          <w:b/>
          <w:color w:val="2E6DA4"/>
          <w:sz w:val="20"/>
        </w:rPr>
        <w:t>Stage 1 - Data Ingestion</w:t>
        <w:br/>
      </w:r>
      <w:r>
        <w:rPr>
          <w:sz w:val="19"/>
        </w:rPr>
        <w:t>Daily NSE closing prices, currently loaded from Excel only (confirmed no PostgreSQL/SQL code path exists in files/data_loader.py). Aligned to the official trading calendar.</w:t>
      </w:r>
    </w:p>
    <w:p>
      <w:pPr>
        <w:spacing w:before="60"/>
      </w:pPr>
      <w:r>
        <w:rPr>
          <w:b/>
          <w:color w:val="2E6DA4"/>
          <w:sz w:val="20"/>
        </w:rPr>
        <w:t>Stage 2 - Squared Returns</w:t>
        <w:br/>
      </w:r>
      <w:r>
        <w:rPr>
          <w:sz w:val="19"/>
        </w:rPr>
        <w:t>Daily log-returns squared -&gt; non-negative variance proxy. This is the series MASS searches over.</w:t>
      </w:r>
    </w:p>
    <w:p>
      <w:pPr>
        <w:spacing w:before="60"/>
      </w:pPr>
      <w:r>
        <w:rPr>
          <w:b/>
          <w:color w:val="2E6DA4"/>
          <w:sz w:val="20"/>
        </w:rPr>
        <w:t>Stage 3 - MASS Motif Matching</w:t>
        <w:br/>
      </w:r>
      <w:r>
        <w:rPr>
          <w:sz w:val="19"/>
        </w:rPr>
        <w:t>Python_Scripts/mass.py::Match(window=45, threshold=0.50). Note: mass.py itself has no built-in "top_k" parameter  -  the top-5 analogue selection is applied by the caller (files/motif_engine.py, via reg.head(cfg.motif_top_k)).</w:t>
      </w:r>
    </w:p>
    <w:p>
      <w:pPr>
        <w:spacing w:before="60"/>
      </w:pPr>
      <w:r>
        <w:rPr>
          <w:b/>
          <w:color w:val="2E6DA4"/>
          <w:sz w:val="20"/>
        </w:rPr>
        <w:t>Stage 4 - Forward Statistics</w:t>
        <w:br/>
      </w:r>
      <w:r>
        <w:rPr>
          <w:sz w:val="19"/>
        </w:rPr>
        <w:t>files/motif_engine.py  -  for each of the 5 analogues: 1-month forward Vol, MeanRet, RealizedVol, Skew, Kurt.</w:t>
      </w:r>
    </w:p>
    <w:p>
      <w:pPr>
        <w:spacing w:before="60"/>
      </w:pPr>
      <w:r>
        <w:rPr>
          <w:b/>
          <w:color w:val="2E6DA4"/>
          <w:sz w:val="20"/>
        </w:rPr>
        <w:t>Stage 5 - IDW Aggregation</w:t>
        <w:br/>
      </w:r>
      <w:r>
        <w:rPr>
          <w:sz w:val="19"/>
        </w:rPr>
        <w:t>files/vol_aggregator.py::_weighted_aggregation  -  weight_k = (1/distance_k) / sum(1/distance_j).</w:t>
      </w:r>
    </w:p>
    <w:p>
      <w:pPr>
        <w:spacing w:before="60"/>
      </w:pPr>
      <w:r>
        <w:rPr>
          <w:b/>
          <w:color w:val="2E6DA4"/>
          <w:sz w:val="20"/>
        </w:rPr>
        <w:t>Stage 6 - Winsorise + Bucket</w:t>
        <w:br/>
      </w:r>
      <w:r>
        <w:rPr>
          <w:sz w:val="19"/>
        </w:rPr>
        <w:t>_winsorize_series (scipy winsorize) then _quantile_bucketing (QuantileTransformer, fit strictly on past-only rolling window) -&gt; VolBucket in [0,100].</w:t>
      </w:r>
    </w:p>
    <w:p>
      <w:pPr>
        <w:spacing w:before="60"/>
      </w:pPr>
      <w:r>
        <w:rPr>
          <w:b/>
          <w:color w:val="2E6DA4"/>
          <w:sz w:val="20"/>
        </w:rPr>
        <w:t>Stage 7 - Exponential Calibration</w:t>
        <w:br/>
      </w:r>
      <w:r>
        <w:rPr>
          <w:sz w:val="19"/>
        </w:rPr>
        <w:t>_rolling_exp_calibration / _exp_func = a*exp(b*x), scipy curve_fit, rolling 156-week refit -&gt; Calibrated_VolBucket. Documented with its discovery process in Monthly_signal_analysis.ipynb.</w:t>
      </w:r>
    </w:p>
    <w:p>
      <w:pPr>
        <w:spacing w:before="60"/>
      </w:pPr>
      <w:r>
        <w:rPr>
          <w:b/>
          <w:color w:val="2E6DA4"/>
          <w:sz w:val="20"/>
        </w:rPr>
        <w:t>Stage 8 - Normalise + Smooth</w:t>
        <w:br/>
      </w:r>
      <w:r>
        <w:rPr>
          <w:sz w:val="19"/>
        </w:rPr>
        <w:t>_rolling_minmax_scale (156-week window, min_periods=52) -&gt; CalibVol_Scaled in [0,1]. Two outputs: Vol_Regime_Monthly (4-week rolling mean) and Vol_Regime_Smooth (EWM alpha=0.15)  -  the latter is used by every strategy.</w:t>
      </w:r>
    </w:p>
    <w:p>
      <w:pPr>
        <w:pStyle w:val="Heading2"/>
        <w:jc w:val="left"/>
      </w:pPr>
      <w:r>
        <w:rPr>
          <w:color w:val="2E6DA4"/>
        </w:rPr>
        <w:t>4.2 Key Shared Functions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F3A5F"/>
            <w:vAlign w:val="center"/>
          </w:tcPr>
          <w:p>
            <w:pPr>
              <w:jc w:val="center"/>
            </w:pPr>
            <w:r>
              <w:rPr>
                <w:b/>
                <w:color w:val="FFFFFF"/>
                <w:sz w:val="18"/>
              </w:rPr>
              <w:t>Function / Class</w:t>
            </w:r>
          </w:p>
        </w:tc>
        <w:tc>
          <w:tcPr>
            <w:tcW w:type="dxa" w:w="2154"/>
            <w:shd w:val="clear" w:color="auto" w:fill="1F3A5F"/>
            <w:vAlign w:val="center"/>
          </w:tcPr>
          <w:p>
            <w:pPr>
              <w:jc w:val="center"/>
            </w:pPr>
            <w:r>
              <w:rPr>
                <w:b/>
                <w:color w:val="FFFFFF"/>
                <w:sz w:val="18"/>
              </w:rPr>
              <w:t>File</w:t>
            </w:r>
          </w:p>
        </w:tc>
        <w:tc>
          <w:tcPr>
            <w:tcW w:type="dxa" w:w="4365"/>
            <w:shd w:val="clear" w:color="auto" w:fill="1F3A5F"/>
            <w:vAlign w:val="center"/>
          </w:tcPr>
          <w:p>
            <w:pPr>
              <w:jc w:val="center"/>
            </w:pPr>
            <w:r>
              <w:rPr>
                <w:b/>
                <w:color w:val="FFFFFF"/>
                <w:sz w:val="18"/>
              </w:rPr>
              <w:t>What it does</w:t>
            </w:r>
          </w:p>
        </w:tc>
      </w:tr>
      <w:tr>
        <w:tc>
          <w:tcPr>
            <w:tcW w:type="dxa" w:w="2835"/>
            <w:shd w:val="clear" w:color="auto" w:fill="F7FAFD"/>
          </w:tcPr>
          <w:p>
            <w:r>
              <w:rPr>
                <w:sz w:val="18"/>
              </w:rPr>
              <w:t>Match</w:t>
            </w:r>
          </w:p>
        </w:tc>
        <w:tc>
          <w:tcPr>
            <w:tcW w:type="dxa" w:w="2154"/>
            <w:shd w:val="clear" w:color="auto" w:fill="F7FAFD"/>
          </w:tcPr>
          <w:p>
            <w:r>
              <w:rPr>
                <w:sz w:val="18"/>
              </w:rPr>
              <w:t>Python_Scripts/mass.py</w:t>
            </w:r>
          </w:p>
        </w:tc>
        <w:tc>
          <w:tcPr>
            <w:tcW w:type="dxa" w:w="4365"/>
            <w:shd w:val="clear" w:color="auto" w:fill="F7FAFD"/>
          </w:tcPr>
          <w:p>
            <w:r>
              <w:rPr>
                <w:sz w:val="18"/>
              </w:rPr>
              <w:t>Wraps MASS to find historical analogues for a given query date; window/threshold configurable.</w:t>
            </w:r>
          </w:p>
        </w:tc>
      </w:tr>
      <w:tr>
        <w:tc>
          <w:tcPr>
            <w:tcW w:type="dxa" w:w="2835"/>
            <w:shd w:val="clear" w:color="auto" w:fill="FFFFFF"/>
          </w:tcPr>
          <w:p>
            <w:r>
              <w:rPr>
                <w:sz w:val="18"/>
              </w:rPr>
              <w:t>VolAggregator</w:t>
            </w:r>
          </w:p>
        </w:tc>
        <w:tc>
          <w:tcPr>
            <w:tcW w:type="dxa" w:w="2154"/>
            <w:shd w:val="clear" w:color="auto" w:fill="FFFFFF"/>
          </w:tcPr>
          <w:p>
            <w:r>
              <w:rPr>
                <w:sz w:val="18"/>
              </w:rPr>
              <w:t>files/vol_aggregator.py</w:t>
            </w:r>
          </w:p>
        </w:tc>
        <w:tc>
          <w:tcPr>
            <w:tcW w:type="dxa" w:w="4365"/>
            <w:shd w:val="clear" w:color="auto" w:fill="FFFFFF"/>
          </w:tcPr>
          <w:p>
            <w:r>
              <w:rPr>
                <w:sz w:val="18"/>
              </w:rPr>
              <w:t>The full 8-stage pipeline described above.</w:t>
            </w:r>
          </w:p>
        </w:tc>
      </w:tr>
      <w:tr>
        <w:tc>
          <w:tcPr>
            <w:tcW w:type="dxa" w:w="2835"/>
            <w:shd w:val="clear" w:color="auto" w:fill="F7FAFD"/>
          </w:tcPr>
          <w:p>
            <w:r>
              <w:rPr>
                <w:sz w:val="18"/>
              </w:rPr>
              <w:t>MotifEngine</w:t>
            </w:r>
          </w:p>
        </w:tc>
        <w:tc>
          <w:tcPr>
            <w:tcW w:type="dxa" w:w="2154"/>
            <w:shd w:val="clear" w:color="auto" w:fill="F7FAFD"/>
          </w:tcPr>
          <w:p>
            <w:r>
              <w:rPr>
                <w:sz w:val="18"/>
              </w:rPr>
              <w:t>files/motif_engine.py</w:t>
            </w:r>
          </w:p>
        </w:tc>
        <w:tc>
          <w:tcPr>
            <w:tcW w:type="dxa" w:w="4365"/>
            <w:shd w:val="clear" w:color="auto" w:fill="F7FAFD"/>
          </w:tcPr>
          <w:p>
            <w:r>
              <w:rPr>
                <w:sz w:val="18"/>
              </w:rPr>
              <w:t>Batch motif matching across rebalance dates + forward-stat computation.</w:t>
            </w:r>
          </w:p>
        </w:tc>
      </w:tr>
      <w:tr>
        <w:tc>
          <w:tcPr>
            <w:tcW w:type="dxa" w:w="2835"/>
            <w:shd w:val="clear" w:color="auto" w:fill="FFFFFF"/>
          </w:tcPr>
          <w:p>
            <w:r>
              <w:rPr>
                <w:sz w:val="18"/>
              </w:rPr>
              <w:t>ExcelInputReader / Merger</w:t>
            </w:r>
          </w:p>
        </w:tc>
        <w:tc>
          <w:tcPr>
            <w:tcW w:type="dxa" w:w="2154"/>
            <w:shd w:val="clear" w:color="auto" w:fill="FFFFFF"/>
          </w:tcPr>
          <w:p>
            <w:r>
              <w:rPr>
                <w:sz w:val="18"/>
              </w:rPr>
              <w:t>Python_Scripts/QuantBacktester.py</w:t>
            </w:r>
          </w:p>
        </w:tc>
        <w:tc>
          <w:tcPr>
            <w:tcW w:type="dxa" w:w="4365"/>
            <w:shd w:val="clear" w:color="auto" w:fill="FFFFFF"/>
          </w:tcPr>
          <w:p>
            <w:r>
              <w:rPr>
                <w:sz w:val="18"/>
              </w:rPr>
              <w:t>Excel data I/O and price-series merging/alignment to trading calendar.</w:t>
            </w:r>
          </w:p>
        </w:tc>
      </w:tr>
      <w:tr>
        <w:tc>
          <w:tcPr>
            <w:tcW w:type="dxa" w:w="2835"/>
            <w:shd w:val="clear" w:color="auto" w:fill="F7FAFD"/>
          </w:tcPr>
          <w:p>
            <w:r>
              <w:rPr>
                <w:sz w:val="18"/>
              </w:rPr>
              <w:t>IndexCalculator / IndexAnalytics</w:t>
            </w:r>
          </w:p>
        </w:tc>
        <w:tc>
          <w:tcPr>
            <w:tcW w:type="dxa" w:w="2154"/>
            <w:shd w:val="clear" w:color="auto" w:fill="F7FAFD"/>
          </w:tcPr>
          <w:p>
            <w:r>
              <w:rPr>
                <w:sz w:val="18"/>
              </w:rPr>
              <w:t>Python_Scripts/QuantBacktester.py</w:t>
            </w:r>
          </w:p>
        </w:tc>
        <w:tc>
          <w:tcPr>
            <w:tcW w:type="dxa" w:w="4365"/>
            <w:shd w:val="clear" w:color="auto" w:fill="F7FAFD"/>
          </w:tcPr>
          <w:p>
            <w:r>
              <w:rPr>
                <w:sz w:val="18"/>
              </w:rPr>
              <w:t>Builds index values, rebalancing, and transaction costs; computes CAGR, Sharpe, Sortino, XIRR.</w:t>
            </w:r>
          </w:p>
        </w:tc>
      </w:tr>
      <w:tr>
        <w:tc>
          <w:tcPr>
            <w:tcW w:type="dxa" w:w="2835"/>
            <w:shd w:val="clear" w:color="auto" w:fill="FFFFFF"/>
          </w:tcPr>
          <w:p>
            <w:r>
              <w:rPr>
                <w:sz w:val="18"/>
              </w:rPr>
              <w:t>DbConnections</w:t>
            </w:r>
          </w:p>
        </w:tc>
        <w:tc>
          <w:tcPr>
            <w:tcW w:type="dxa" w:w="2154"/>
            <w:shd w:val="clear" w:color="auto" w:fill="FFFFFF"/>
          </w:tcPr>
          <w:p>
            <w:r>
              <w:rPr>
                <w:sz w:val="18"/>
              </w:rPr>
              <w:t>Python_Scripts/db_connections.py</w:t>
            </w:r>
          </w:p>
        </w:tc>
        <w:tc>
          <w:tcPr>
            <w:tcW w:type="dxa" w:w="4365"/>
            <w:shd w:val="clear" w:color="auto" w:fill="FFFFFF"/>
          </w:tcPr>
          <w:p>
            <w:r>
              <w:rPr>
                <w:sz w:val="18"/>
              </w:rPr>
              <w:t>PostgreSQL + MongoDB singleton access. Confirmed built and functional standalone, but NOT called anywhere in files/ (grep-verified zero references).</w:t>
            </w:r>
          </w:p>
        </w:tc>
      </w:tr>
    </w:tbl>
    <w:p/>
    <w:p>
      <w:r>
        <w:br w:type="page"/>
      </w:r>
    </w:p>
    <w:p>
      <w:pPr>
        <w:pStyle w:val="Heading1"/>
        <w:jc w:val="left"/>
      </w:pPr>
      <w:r>
        <w:rPr>
          <w:color w:val="1F3A5F"/>
        </w:rPr>
        <w:t>5. Approaches Implemented</w:t>
      </w:r>
    </w:p>
    <w:p>
      <w:r>
        <w:rPr>
          <w:b w:val="0"/>
          <w:sz w:val="20"/>
        </w:rPr>
        <w:t>Three portfolio-construction strategies were built on top of the same Vol_Regime_Smooth signal and universe, compared against four NSE benchmark indices via the same backtest engine (QuantBacktester). Two earlier volatility-modelling approaches (GARCH/FIGARCH, HAR-RS) and one hybrid experiment (Motif+PSMC) preceded the production pipeline; their status is reported honestly below, including one that could not be verified against any current notebook.</w:t>
      </w:r>
    </w:p>
    <w:p/>
    <w:p>
      <w:pPr>
        <w:shd w:val="clear" w:color="auto" w:fill="EBF5FB"/>
        <w:spacing w:before="160"/>
        <w:ind w:left="170"/>
      </w:pPr>
      <w:r>
        <w:rPr>
          <w:b/>
          <w:color w:val="1F3A5F"/>
          <w:sz w:val="22"/>
        </w:rPr>
        <w:t>GARCH(1,1) / FIGARCH</w:t>
      </w:r>
    </w:p>
    <w:p>
      <w:pPr>
        <w:spacing w:before="20"/>
        <w:ind w:left="340"/>
      </w:pPr>
      <w:r>
        <w:rPr>
          <w:b/>
          <w:sz w:val="19"/>
        </w:rPr>
        <w:t xml:space="preserve">Description: </w:t>
      </w:r>
      <w:r>
        <w:rPr>
          <w:sz w:val="19"/>
        </w:rPr>
        <w:t>Parametric volatility forecasting models applied to Nifty, explored in Phase 1.</w:t>
      </w:r>
    </w:p>
    <w:p>
      <w:pPr>
        <w:spacing w:before="20"/>
        <w:ind w:left="340"/>
      </w:pPr>
      <w:r>
        <w:rPr>
          <w:b/>
          <w:sz w:val="19"/>
        </w:rPr>
        <w:t xml:space="preserve">Key finding: </w:t>
      </w:r>
      <w:r>
        <w:rPr>
          <w:sz w:val="19"/>
        </w:rPr>
        <w:t>Superseded by the MASS non-parametric approach.</w:t>
      </w:r>
    </w:p>
    <w:p>
      <w:pPr>
        <w:spacing w:before="20"/>
        <w:ind w:left="340"/>
      </w:pPr>
      <w:r>
        <w:rPr>
          <w:b/>
          <w:sz w:val="19"/>
        </w:rPr>
        <w:t xml:space="preserve">Primary file: </w:t>
      </w:r>
      <w:r>
        <w:rPr>
          <w:sz w:val="19"/>
        </w:rPr>
        <w:t>garch_implementation.ipynb, FIGARCH_implementation.ipynb, FIGARCH_model.ipynb (implementation code confirmed present and functional in Python_Scripts/garch.py, garch_upgraded.py  -  but not part of the active signal pipeline).</w:t>
      </w:r>
    </w:p>
    <w:p/>
    <w:p>
      <w:pPr>
        <w:shd w:val="clear" w:color="auto" w:fill="FDEDEC"/>
        <w:spacing w:before="160"/>
        <w:ind w:left="170"/>
      </w:pPr>
      <w:r>
        <w:rPr>
          <w:b/>
          <w:color w:val="C0392B"/>
          <w:sz w:val="22"/>
        </w:rPr>
        <w:t>HAR-RS (Heterogeneous Autoregressive Realised Semivariance)</w:t>
      </w:r>
    </w:p>
    <w:p>
      <w:pPr>
        <w:spacing w:before="20"/>
        <w:ind w:left="340"/>
      </w:pPr>
      <w:r>
        <w:rPr>
          <w:b/>
          <w:sz w:val="19"/>
        </w:rPr>
        <w:t xml:space="preserve">Description: </w:t>
      </w:r>
      <w:r>
        <w:rPr>
          <w:sz w:val="19"/>
        </w:rPr>
        <w:t>Weekly realised-semivariance forecast with lagged RS/ATR features, intended to drive Nifty/Gold AA switching.</w:t>
      </w:r>
    </w:p>
    <w:p>
      <w:pPr>
        <w:spacing w:before="20"/>
        <w:ind w:left="340"/>
      </w:pPr>
      <w:r>
        <w:rPr>
          <w:b/>
          <w:sz w:val="19"/>
        </w:rPr>
        <w:t xml:space="preserve">Key finding: </w:t>
      </w:r>
      <w:r>
        <w:rPr>
          <w:sz w:val="19"/>
        </w:rPr>
        <w:t>Per the Phase-1 research doc: weak out-of-sample R^2 at weekly frequency, too much turnover for an AA product.</w:t>
      </w:r>
    </w:p>
    <w:p>
      <w:pPr>
        <w:spacing w:before="20"/>
        <w:ind w:left="340"/>
      </w:pPr>
      <w:r>
        <w:rPr>
          <w:b/>
          <w:sz w:val="19"/>
        </w:rPr>
        <w:t xml:space="preserve">Primary file: </w:t>
      </w:r>
      <w:r>
        <w:rPr>
          <w:sz w:val="19"/>
        </w:rPr>
        <w:t>NOT VERIFIED IN CURRENT REPO  -  no notebook implementing this model could be located during this review. It is described only in prose/formula form in "Volatility Research for AA smallcases.docx." Treat any HAR-RS-specific number as unverifiable against current source until the implementing notebook is located or the doc's claim is otherwise reconciled.</w:t>
      </w:r>
    </w:p>
    <w:p/>
    <w:p>
      <w:pPr>
        <w:shd w:val="clear" w:color="auto" w:fill="F4ECF7"/>
        <w:spacing w:before="160"/>
        <w:ind w:left="170"/>
      </w:pPr>
      <w:r>
        <w:rPr>
          <w:b/>
          <w:color w:val="8E44AD"/>
          <w:sz w:val="22"/>
        </w:rPr>
        <w:t>Motif + PSMC (IDW / Nadaraya-Watson aggregation)</w:t>
      </w:r>
    </w:p>
    <w:p>
      <w:pPr>
        <w:spacing w:before="20"/>
        <w:ind w:left="340"/>
      </w:pPr>
      <w:r>
        <w:rPr>
          <w:b/>
          <w:sz w:val="19"/>
        </w:rPr>
        <w:t xml:space="preserve">Description: </w:t>
      </w:r>
      <w:r>
        <w:rPr>
          <w:sz w:val="19"/>
        </w:rPr>
        <w:t>MASS motif matching combined with two candidate forward-stat aggregation schemes: inverse-distance weighting (IDW) vs. a Nadaraya-Watson (NW) kernel, in the spirit of the Path-Shadowing Monte Carlo (PSMC) literature.</w:t>
      </w:r>
    </w:p>
    <w:p>
      <w:pPr>
        <w:spacing w:before="20"/>
        <w:ind w:left="340"/>
      </w:pPr>
      <w:r>
        <w:rPr>
          <w:b/>
          <w:sz w:val="19"/>
        </w:rPr>
        <w:t xml:space="preserve">Key finding: </w:t>
      </w:r>
      <w:r>
        <w:rPr>
          <w:sz w:val="19"/>
        </w:rPr>
        <w:t>Both aggregation schemes confirmed implemented (robust_nw_forecast and IDW weighted_avg both present in the notebook). The oft-cited ~0.11 correlation-with-realised-vol figure could not be located in this notebook's own outputs  -  see Section 6.3 for the cross-notebook inconsistency in this statistic.</w:t>
      </w:r>
    </w:p>
    <w:p>
      <w:pPr>
        <w:spacing w:before="20"/>
        <w:ind w:left="340"/>
      </w:pPr>
      <w:r>
        <w:rPr>
          <w:b/>
          <w:sz w:val="19"/>
        </w:rPr>
        <w:t xml:space="preserve">Primary file: </w:t>
      </w:r>
      <w:r>
        <w:rPr>
          <w:sz w:val="19"/>
        </w:rPr>
        <w:t>Motif+PSMC.ipynb</w:t>
      </w:r>
    </w:p>
    <w:p/>
    <w:p>
      <w:pPr>
        <w:shd w:val="clear" w:color="auto" w:fill="EBF5FB"/>
        <w:spacing w:before="160"/>
        <w:ind w:left="170"/>
      </w:pPr>
      <w:r>
        <w:rPr>
          <w:b/>
          <w:color w:val="1F3A5F"/>
          <w:sz w:val="22"/>
        </w:rPr>
        <w:t>Fixed-10 (baseline)</w:t>
      </w:r>
    </w:p>
    <w:p>
      <w:pPr>
        <w:spacing w:before="20"/>
        <w:ind w:left="340"/>
      </w:pPr>
      <w:r>
        <w:rPr>
          <w:b/>
          <w:sz w:val="19"/>
        </w:rPr>
        <w:t xml:space="preserve">Description: </w:t>
      </w:r>
      <w:r>
        <w:rPr>
          <w:sz w:val="19"/>
        </w:rPr>
        <w:t>Rank all eligible tickers by Vol_Regime_Smooth ascending; take the 10 calmest; equal-weight or inverse-vol-weight.</w:t>
      </w:r>
    </w:p>
    <w:p>
      <w:pPr>
        <w:spacing w:before="20"/>
        <w:ind w:left="340"/>
      </w:pPr>
      <w:r>
        <w:rPr>
          <w:b/>
          <w:sz w:val="19"/>
        </w:rPr>
        <w:t xml:space="preserve">Key finding: </w:t>
      </w:r>
      <w:r>
        <w:rPr>
          <w:sz w:val="19"/>
        </w:rPr>
        <w:t>Confirmed 13.30% CAGR (equal-weight) / 15.56% CAGR (inverse-vol)  -  inverse-vol weighting adds +226 bps at zero added complexity.</w:t>
      </w:r>
    </w:p>
    <w:p>
      <w:pPr>
        <w:spacing w:before="20"/>
        <w:ind w:left="340"/>
      </w:pPr>
      <w:r>
        <w:rPr>
          <w:b/>
          <w:sz w:val="19"/>
        </w:rPr>
        <w:t xml:space="preserve">Primary file: </w:t>
      </w:r>
      <w:r>
        <w:rPr>
          <w:sz w:val="19"/>
        </w:rPr>
        <w:t>strategy_comparison.ipynb (comparison); selection logic reused from earlier calibration notebooks.</w:t>
      </w:r>
    </w:p>
    <w:p/>
    <w:p>
      <w:pPr>
        <w:shd w:val="clear" w:color="auto" w:fill="D5F5E3"/>
        <w:spacing w:before="160"/>
        <w:ind w:left="170"/>
      </w:pPr>
      <w:r>
        <w:rPr>
          <w:b/>
          <w:color w:val="1A7A3A"/>
          <w:sz w:val="22"/>
        </w:rPr>
        <w:t>Dynamic Adaptive Selection (Winner)</w:t>
      </w:r>
    </w:p>
    <w:p>
      <w:pPr>
        <w:spacing w:before="20"/>
        <w:ind w:left="340"/>
      </w:pPr>
      <w:r>
        <w:rPr>
          <w:b/>
          <w:sz w:val="19"/>
        </w:rPr>
        <w:t xml:space="preserve">Description: </w:t>
      </w:r>
      <w:r>
        <w:rPr>
          <w:sz w:val="19"/>
        </w:rPr>
        <w:t>Percentile filter (&lt;=20th pct) + absolute cutoff (&lt;=0.45) + ceiling of 10 stocks, explicitly NO forced minimum floor  -  confirmed via an explicit code docstring stating "hold however many pass (0 = stay flat that month)." Inverse-vol weighted.</w:t>
      </w:r>
    </w:p>
    <w:p>
      <w:pPr>
        <w:spacing w:before="20"/>
        <w:ind w:left="340"/>
      </w:pPr>
      <w:r>
        <w:rPr>
          <w:b/>
          <w:sz w:val="19"/>
        </w:rPr>
        <w:t xml:space="preserve">Key finding: </w:t>
      </w:r>
      <w:r>
        <w:rPr>
          <w:sz w:val="19"/>
        </w:rPr>
        <w:t>Confirmed 17.24% CAGR, 0.95 Sharpe, 1.34 Sortino  -  best overall. Removing the floor is the single largest driver of outperformance, concentrated in stressed regimes.</w:t>
      </w:r>
    </w:p>
    <w:p>
      <w:pPr>
        <w:spacing w:before="20"/>
        <w:ind w:left="340"/>
      </w:pPr>
      <w:r>
        <w:rPr>
          <w:b/>
          <w:sz w:val="19"/>
        </w:rPr>
        <w:t xml:space="preserve">Primary file: </w:t>
      </w:r>
      <w:r>
        <w:rPr>
          <w:sz w:val="19"/>
        </w:rPr>
        <w:t>dynamic_low_vol_selection.ipynb (SIGNAL_CUTOFF_PCT=20, SIGNAL_CUTOFF_ABS=0.45, MAX_STOCKS=10 all confirmed by direct code inspection).</w:t>
      </w:r>
    </w:p>
    <w:p/>
    <w:p>
      <w:pPr>
        <w:shd w:val="clear" w:color="auto" w:fill="FDEDEC"/>
        <w:spacing w:before="160"/>
        <w:ind w:left="170"/>
      </w:pPr>
      <w:r>
        <w:rPr>
          <w:b/>
          <w:color w:val="C0392B"/>
          <w:sz w:val="22"/>
        </w:rPr>
        <w:t>Gap + Regime Conditioned Selection (Rejected as final choice)</w:t>
      </w:r>
    </w:p>
    <w:p>
      <w:pPr>
        <w:spacing w:before="20"/>
        <w:ind w:left="340"/>
      </w:pPr>
      <w:r>
        <w:rPr>
          <w:b/>
          <w:sz w:val="19"/>
        </w:rPr>
        <w:t xml:space="preserve">Description: </w:t>
      </w:r>
      <w:r>
        <w:rPr>
          <w:sz w:val="19"/>
        </w:rPr>
        <w:t>NSEI 63-day rolling volatility classifies calm (&lt;12%)/normal/stressed (&gt;20%) market regimes; regime-specific gap-detection multiplier (1.5/1.8/2.5) and min/max stock bounds (5-10/7-15/10-25) find the natural "elbow" in the sorted signal distribution.</w:t>
      </w:r>
    </w:p>
    <w:p>
      <w:pPr>
        <w:spacing w:before="20"/>
        <w:ind w:left="340"/>
      </w:pPr>
      <w:r>
        <w:rPr>
          <w:b/>
          <w:sz w:val="19"/>
        </w:rPr>
        <w:t xml:space="preserve">Key finding: </w:t>
      </w:r>
      <w:r>
        <w:rPr>
          <w:sz w:val="19"/>
        </w:rPr>
        <w:t>Confirmed 13.44% CAGR  -  barely above the 1-parameter Fixed-10 baseline (13.30%) and well below the 3-parameter Dynamic strategy (17.24%). 9 free parameters did not translate into proportional alpha. Note: this notebook's own output does not itself show the comparison to "Dynamic"  -  that comparison only exists in strategy_comparison.ipynb.</w:t>
      </w:r>
    </w:p>
    <w:p>
      <w:pPr>
        <w:spacing w:before="20"/>
        <w:ind w:left="340"/>
      </w:pPr>
      <w:r>
        <w:rPr>
          <w:b/>
          <w:sz w:val="19"/>
        </w:rPr>
        <w:t xml:space="preserve">Primary file: </w:t>
      </w:r>
      <w:r>
        <w:rPr>
          <w:sz w:val="19"/>
        </w:rPr>
        <w:t>gap_regime_vol_selection.ipynb</w:t>
      </w:r>
    </w:p>
    <w:p/>
    <w:p>
      <w:r>
        <w:br w:type="page"/>
      </w:r>
    </w:p>
    <w:p>
      <w:pPr>
        <w:pStyle w:val="Heading1"/>
        <w:jc w:val="left"/>
      </w:pPr>
      <w:r>
        <w:rPr>
          <w:color w:val="1F3A5F"/>
        </w:rPr>
        <w:t>6. Key Results</w:t>
      </w:r>
    </w:p>
    <w:p>
      <w:pPr>
        <w:pStyle w:val="Heading2"/>
        <w:jc w:val="left"/>
      </w:pPr>
      <w:r>
        <w:rPr>
          <w:color w:val="2E6DA4"/>
        </w:rPr>
        <w:t>6.1 Comparison Summary</w:t>
      </w:r>
    </w:p>
    <w:p>
      <w:r>
        <w:rPr>
          <w:b w:val="0"/>
          <w:sz w:val="18"/>
        </w:rPr>
        <w:t>Figures below are pulled directly from strategy_comparison.xlsx, sheet Performance_Metrics, and were independently cross-checked against strategy_comparison.ipynb's executed output cells and the research report  -  all three sources agree exactly.</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2835"/>
            <w:shd w:val="clear" w:color="auto" w:fill="1F3A5F"/>
            <w:vAlign w:val="center"/>
          </w:tcPr>
          <w:p>
            <w:pPr>
              <w:jc w:val="center"/>
            </w:pPr>
            <w:r>
              <w:rPr>
                <w:b/>
                <w:color w:val="FFFFFF"/>
                <w:sz w:val="18"/>
              </w:rPr>
              <w:t>Strategy / Benchmark</w:t>
            </w:r>
          </w:p>
        </w:tc>
        <w:tc>
          <w:tcPr>
            <w:tcW w:type="dxa" w:w="1304"/>
            <w:shd w:val="clear" w:color="auto" w:fill="1F3A5F"/>
            <w:vAlign w:val="center"/>
          </w:tcPr>
          <w:p>
            <w:pPr>
              <w:jc w:val="center"/>
            </w:pPr>
            <w:r>
              <w:rPr>
                <w:b/>
                <w:color w:val="FFFFFF"/>
                <w:sz w:val="18"/>
              </w:rPr>
              <w:t>CAGR</w:t>
            </w:r>
          </w:p>
        </w:tc>
        <w:tc>
          <w:tcPr>
            <w:tcW w:type="dxa" w:w="1304"/>
            <w:shd w:val="clear" w:color="auto" w:fill="1F3A5F"/>
            <w:vAlign w:val="center"/>
          </w:tcPr>
          <w:p>
            <w:pPr>
              <w:jc w:val="center"/>
            </w:pPr>
            <w:r>
              <w:rPr>
                <w:b/>
                <w:color w:val="FFFFFF"/>
                <w:sz w:val="18"/>
              </w:rPr>
              <w:t>Ann. Vol</w:t>
            </w:r>
          </w:p>
        </w:tc>
        <w:tc>
          <w:tcPr>
            <w:tcW w:type="dxa" w:w="1191"/>
            <w:shd w:val="clear" w:color="auto" w:fill="1F3A5F"/>
            <w:vAlign w:val="center"/>
          </w:tcPr>
          <w:p>
            <w:pPr>
              <w:jc w:val="center"/>
            </w:pPr>
            <w:r>
              <w:rPr>
                <w:b/>
                <w:color w:val="FFFFFF"/>
                <w:sz w:val="18"/>
              </w:rPr>
              <w:t>Sharpe</w:t>
            </w:r>
          </w:p>
        </w:tc>
        <w:tc>
          <w:tcPr>
            <w:tcW w:type="dxa" w:w="1191"/>
            <w:shd w:val="clear" w:color="auto" w:fill="1F3A5F"/>
            <w:vAlign w:val="center"/>
          </w:tcPr>
          <w:p>
            <w:pPr>
              <w:jc w:val="center"/>
            </w:pPr>
            <w:r>
              <w:rPr>
                <w:b/>
                <w:color w:val="FFFFFF"/>
                <w:sz w:val="18"/>
              </w:rPr>
              <w:t>Sortino</w:t>
            </w:r>
          </w:p>
        </w:tc>
        <w:tc>
          <w:tcPr>
            <w:tcW w:type="dxa" w:w="1191"/>
            <w:shd w:val="clear" w:color="auto" w:fill="1F3A5F"/>
            <w:vAlign w:val="center"/>
          </w:tcPr>
          <w:p>
            <w:pPr>
              <w:jc w:val="center"/>
            </w:pPr>
            <w:r>
              <w:rPr>
                <w:b/>
                <w:color w:val="FFFFFF"/>
                <w:sz w:val="18"/>
              </w:rPr>
              <w:t>Max DD</w:t>
            </w:r>
          </w:p>
        </w:tc>
        <w:tc>
          <w:tcPr>
            <w:tcW w:type="dxa" w:w="964"/>
            <w:shd w:val="clear" w:color="auto" w:fill="1F3A5F"/>
            <w:vAlign w:val="center"/>
          </w:tcPr>
          <w:p>
            <w:pPr>
              <w:jc w:val="center"/>
            </w:pPr>
            <w:r>
              <w:rPr>
                <w:b/>
                <w:color w:val="FFFFFF"/>
                <w:sz w:val="18"/>
              </w:rPr>
              <w:t>Calmar</w:t>
            </w:r>
          </w:p>
        </w:tc>
      </w:tr>
      <w:tr>
        <w:tc>
          <w:tcPr>
            <w:tcW w:type="dxa" w:w="2835"/>
            <w:shd w:val="clear" w:color="auto" w:fill="F7FAFD"/>
          </w:tcPr>
          <w:p>
            <w:r>
              <w:rPr>
                <w:sz w:val="18"/>
              </w:rPr>
              <w:t>Dynamic_InvVol (best)</w:t>
            </w:r>
          </w:p>
        </w:tc>
        <w:tc>
          <w:tcPr>
            <w:tcW w:type="dxa" w:w="1304"/>
            <w:shd w:val="clear" w:color="auto" w:fill="F7FAFD"/>
          </w:tcPr>
          <w:p>
            <w:r>
              <w:rPr>
                <w:sz w:val="18"/>
              </w:rPr>
              <w:t>17.24%</w:t>
            </w:r>
          </w:p>
        </w:tc>
        <w:tc>
          <w:tcPr>
            <w:tcW w:type="dxa" w:w="1304"/>
            <w:shd w:val="clear" w:color="auto" w:fill="F7FAFD"/>
          </w:tcPr>
          <w:p>
            <w:r>
              <w:rPr>
                <w:sz w:val="18"/>
              </w:rPr>
              <w:t>18.68%</w:t>
            </w:r>
          </w:p>
        </w:tc>
        <w:tc>
          <w:tcPr>
            <w:tcW w:type="dxa" w:w="1191"/>
            <w:shd w:val="clear" w:color="auto" w:fill="F7FAFD"/>
          </w:tcPr>
          <w:p>
            <w:r>
              <w:rPr>
                <w:sz w:val="18"/>
              </w:rPr>
              <w:t>0.95</w:t>
            </w:r>
          </w:p>
        </w:tc>
        <w:tc>
          <w:tcPr>
            <w:tcW w:type="dxa" w:w="1191"/>
            <w:shd w:val="clear" w:color="auto" w:fill="F7FAFD"/>
          </w:tcPr>
          <w:p>
            <w:r>
              <w:rPr>
                <w:sz w:val="18"/>
              </w:rPr>
              <w:t>1.34</w:t>
            </w:r>
          </w:p>
        </w:tc>
        <w:tc>
          <w:tcPr>
            <w:tcW w:type="dxa" w:w="1191"/>
            <w:shd w:val="clear" w:color="auto" w:fill="F7FAFD"/>
          </w:tcPr>
          <w:p>
            <w:r>
              <w:rPr>
                <w:sz w:val="18"/>
              </w:rPr>
              <w:t>-41.53%</w:t>
            </w:r>
          </w:p>
        </w:tc>
        <w:tc>
          <w:tcPr>
            <w:tcW w:type="dxa" w:w="964"/>
            <w:shd w:val="clear" w:color="auto" w:fill="F7FAFD"/>
          </w:tcPr>
          <w:p>
            <w:r>
              <w:rPr>
                <w:sz w:val="18"/>
              </w:rPr>
              <w:t>0.42</w:t>
            </w:r>
          </w:p>
        </w:tc>
      </w:tr>
      <w:tr>
        <w:tc>
          <w:tcPr>
            <w:tcW w:type="dxa" w:w="2835"/>
            <w:shd w:val="clear" w:color="auto" w:fill="FFFFFF"/>
          </w:tcPr>
          <w:p>
            <w:r>
              <w:rPr>
                <w:sz w:val="18"/>
              </w:rPr>
              <w:t>Fixed10_InvVol</w:t>
            </w:r>
          </w:p>
        </w:tc>
        <w:tc>
          <w:tcPr>
            <w:tcW w:type="dxa" w:w="1304"/>
            <w:shd w:val="clear" w:color="auto" w:fill="FFFFFF"/>
          </w:tcPr>
          <w:p>
            <w:r>
              <w:rPr>
                <w:sz w:val="18"/>
              </w:rPr>
              <w:t>15.56%</w:t>
            </w:r>
          </w:p>
        </w:tc>
        <w:tc>
          <w:tcPr>
            <w:tcW w:type="dxa" w:w="1304"/>
            <w:shd w:val="clear" w:color="auto" w:fill="FFFFFF"/>
          </w:tcPr>
          <w:p>
            <w:r>
              <w:rPr>
                <w:sz w:val="18"/>
              </w:rPr>
              <w:t>16.42%</w:t>
            </w:r>
          </w:p>
        </w:tc>
        <w:tc>
          <w:tcPr>
            <w:tcW w:type="dxa" w:w="1191"/>
            <w:shd w:val="clear" w:color="auto" w:fill="FFFFFF"/>
          </w:tcPr>
          <w:p>
            <w:r>
              <w:rPr>
                <w:sz w:val="18"/>
              </w:rPr>
              <w:t>0.97</w:t>
            </w:r>
          </w:p>
        </w:tc>
        <w:tc>
          <w:tcPr>
            <w:tcW w:type="dxa" w:w="1191"/>
            <w:shd w:val="clear" w:color="auto" w:fill="FFFFFF"/>
          </w:tcPr>
          <w:p>
            <w:r>
              <w:rPr>
                <w:sz w:val="18"/>
              </w:rPr>
              <w:t>1.30</w:t>
            </w:r>
          </w:p>
        </w:tc>
        <w:tc>
          <w:tcPr>
            <w:tcW w:type="dxa" w:w="1191"/>
            <w:shd w:val="clear" w:color="auto" w:fill="FFFFFF"/>
          </w:tcPr>
          <w:p>
            <w:r>
              <w:rPr>
                <w:sz w:val="18"/>
              </w:rPr>
              <w:t>-41.23%</w:t>
            </w:r>
          </w:p>
        </w:tc>
        <w:tc>
          <w:tcPr>
            <w:tcW w:type="dxa" w:w="964"/>
            <w:shd w:val="clear" w:color="auto" w:fill="FFFFFF"/>
          </w:tcPr>
          <w:p>
            <w:r>
              <w:rPr>
                <w:sz w:val="18"/>
              </w:rPr>
              <w:t>0.38</w:t>
            </w:r>
          </w:p>
        </w:tc>
      </w:tr>
      <w:tr>
        <w:tc>
          <w:tcPr>
            <w:tcW w:type="dxa" w:w="2835"/>
            <w:shd w:val="clear" w:color="auto" w:fill="F7FAFD"/>
          </w:tcPr>
          <w:p>
            <w:r>
              <w:rPr>
                <w:sz w:val="18"/>
              </w:rPr>
              <w:t>Gap_Regime</w:t>
            </w:r>
          </w:p>
        </w:tc>
        <w:tc>
          <w:tcPr>
            <w:tcW w:type="dxa" w:w="1304"/>
            <w:shd w:val="clear" w:color="auto" w:fill="F7FAFD"/>
          </w:tcPr>
          <w:p>
            <w:r>
              <w:rPr>
                <w:sz w:val="18"/>
              </w:rPr>
              <w:t>13.44%</w:t>
            </w:r>
          </w:p>
        </w:tc>
        <w:tc>
          <w:tcPr>
            <w:tcW w:type="dxa" w:w="1304"/>
            <w:shd w:val="clear" w:color="auto" w:fill="F7FAFD"/>
          </w:tcPr>
          <w:p>
            <w:r>
              <w:rPr>
                <w:sz w:val="18"/>
              </w:rPr>
              <w:t>16.57%</w:t>
            </w:r>
          </w:p>
        </w:tc>
        <w:tc>
          <w:tcPr>
            <w:tcW w:type="dxa" w:w="1191"/>
            <w:shd w:val="clear" w:color="auto" w:fill="F7FAFD"/>
          </w:tcPr>
          <w:p>
            <w:r>
              <w:rPr>
                <w:sz w:val="18"/>
              </w:rPr>
              <w:t>0.85</w:t>
            </w:r>
          </w:p>
        </w:tc>
        <w:tc>
          <w:tcPr>
            <w:tcW w:type="dxa" w:w="1191"/>
            <w:shd w:val="clear" w:color="auto" w:fill="F7FAFD"/>
          </w:tcPr>
          <w:p>
            <w:r>
              <w:rPr>
                <w:sz w:val="18"/>
              </w:rPr>
              <w:t>1.14</w:t>
            </w:r>
          </w:p>
        </w:tc>
        <w:tc>
          <w:tcPr>
            <w:tcW w:type="dxa" w:w="1191"/>
            <w:shd w:val="clear" w:color="auto" w:fill="F7FAFD"/>
          </w:tcPr>
          <w:p>
            <w:r>
              <w:rPr>
                <w:sz w:val="18"/>
              </w:rPr>
              <w:t>-40.88%</w:t>
            </w:r>
          </w:p>
        </w:tc>
        <w:tc>
          <w:tcPr>
            <w:tcW w:type="dxa" w:w="964"/>
            <w:shd w:val="clear" w:color="auto" w:fill="F7FAFD"/>
          </w:tcPr>
          <w:p>
            <w:r>
              <w:rPr>
                <w:sz w:val="18"/>
              </w:rPr>
              <w:t>0.33</w:t>
            </w:r>
          </w:p>
        </w:tc>
      </w:tr>
      <w:tr>
        <w:tc>
          <w:tcPr>
            <w:tcW w:type="dxa" w:w="2835"/>
            <w:shd w:val="clear" w:color="auto" w:fill="FFFFFF"/>
          </w:tcPr>
          <w:p>
            <w:r>
              <w:rPr>
                <w:sz w:val="18"/>
              </w:rPr>
              <w:t>Fixed10_EqW</w:t>
            </w:r>
          </w:p>
        </w:tc>
        <w:tc>
          <w:tcPr>
            <w:tcW w:type="dxa" w:w="1304"/>
            <w:shd w:val="clear" w:color="auto" w:fill="FFFFFF"/>
          </w:tcPr>
          <w:p>
            <w:r>
              <w:rPr>
                <w:sz w:val="18"/>
              </w:rPr>
              <w:t>13.30%</w:t>
            </w:r>
          </w:p>
        </w:tc>
        <w:tc>
          <w:tcPr>
            <w:tcW w:type="dxa" w:w="1304"/>
            <w:shd w:val="clear" w:color="auto" w:fill="FFFFFF"/>
          </w:tcPr>
          <w:p>
            <w:r>
              <w:rPr>
                <w:sz w:val="18"/>
              </w:rPr>
              <w:t>15.94%</w:t>
            </w:r>
          </w:p>
        </w:tc>
        <w:tc>
          <w:tcPr>
            <w:tcW w:type="dxa" w:w="1191"/>
            <w:shd w:val="clear" w:color="auto" w:fill="FFFFFF"/>
          </w:tcPr>
          <w:p>
            <w:r>
              <w:rPr>
                <w:sz w:val="18"/>
              </w:rPr>
              <w:t>0.87</w:t>
            </w:r>
          </w:p>
        </w:tc>
        <w:tc>
          <w:tcPr>
            <w:tcW w:type="dxa" w:w="1191"/>
            <w:shd w:val="clear" w:color="auto" w:fill="FFFFFF"/>
          </w:tcPr>
          <w:p>
            <w:r>
              <w:rPr>
                <w:sz w:val="18"/>
              </w:rPr>
              <w:t>1.17</w:t>
            </w:r>
          </w:p>
        </w:tc>
        <w:tc>
          <w:tcPr>
            <w:tcW w:type="dxa" w:w="1191"/>
            <w:shd w:val="clear" w:color="auto" w:fill="FFFFFF"/>
          </w:tcPr>
          <w:p>
            <w:r>
              <w:rPr>
                <w:sz w:val="18"/>
              </w:rPr>
              <w:t>-39.98%</w:t>
            </w:r>
          </w:p>
        </w:tc>
        <w:tc>
          <w:tcPr>
            <w:tcW w:type="dxa" w:w="964"/>
            <w:shd w:val="clear" w:color="auto" w:fill="FFFFFF"/>
          </w:tcPr>
          <w:p>
            <w:r>
              <w:rPr>
                <w:sz w:val="18"/>
              </w:rPr>
              <w:t>0.33</w:t>
            </w:r>
          </w:p>
        </w:tc>
      </w:tr>
      <w:tr>
        <w:tc>
          <w:tcPr>
            <w:tcW w:type="dxa" w:w="2835"/>
            <w:shd w:val="clear" w:color="auto" w:fill="F7FAFD"/>
          </w:tcPr>
          <w:p>
            <w:r>
              <w:rPr>
                <w:sz w:val="18"/>
              </w:rPr>
              <w:t>SCET_0005</w:t>
            </w:r>
          </w:p>
        </w:tc>
        <w:tc>
          <w:tcPr>
            <w:tcW w:type="dxa" w:w="1304"/>
            <w:shd w:val="clear" w:color="auto" w:fill="F7FAFD"/>
          </w:tcPr>
          <w:p>
            <w:r>
              <w:rPr>
                <w:sz w:val="18"/>
              </w:rPr>
              <w:t>12.03%</w:t>
            </w:r>
          </w:p>
        </w:tc>
        <w:tc>
          <w:tcPr>
            <w:tcW w:type="dxa" w:w="1304"/>
            <w:shd w:val="clear" w:color="auto" w:fill="F7FAFD"/>
          </w:tcPr>
          <w:p>
            <w:r>
              <w:rPr>
                <w:sz w:val="18"/>
              </w:rPr>
              <w:t>10.17%</w:t>
            </w:r>
          </w:p>
        </w:tc>
        <w:tc>
          <w:tcPr>
            <w:tcW w:type="dxa" w:w="1191"/>
            <w:shd w:val="clear" w:color="auto" w:fill="F7FAFD"/>
          </w:tcPr>
          <w:p>
            <w:r>
              <w:rPr>
                <w:sz w:val="18"/>
              </w:rPr>
              <w:t>1.17</w:t>
            </w:r>
          </w:p>
        </w:tc>
        <w:tc>
          <w:tcPr>
            <w:tcW w:type="dxa" w:w="1191"/>
            <w:shd w:val="clear" w:color="auto" w:fill="F7FAFD"/>
          </w:tcPr>
          <w:p>
            <w:r>
              <w:rPr>
                <w:sz w:val="18"/>
              </w:rPr>
              <w:t>1.65</w:t>
            </w:r>
          </w:p>
        </w:tc>
        <w:tc>
          <w:tcPr>
            <w:tcW w:type="dxa" w:w="1191"/>
            <w:shd w:val="clear" w:color="auto" w:fill="F7FAFD"/>
          </w:tcPr>
          <w:p>
            <w:r>
              <w:rPr>
                <w:sz w:val="18"/>
              </w:rPr>
              <w:t>-25.53%</w:t>
            </w:r>
          </w:p>
        </w:tc>
        <w:tc>
          <w:tcPr>
            <w:tcW w:type="dxa" w:w="964"/>
            <w:shd w:val="clear" w:color="auto" w:fill="F7FAFD"/>
          </w:tcPr>
          <w:p>
            <w:r>
              <w:rPr>
                <w:sz w:val="18"/>
              </w:rPr>
              <w:t>0.47</w:t>
            </w:r>
          </w:p>
        </w:tc>
      </w:tr>
      <w:tr>
        <w:tc>
          <w:tcPr>
            <w:tcW w:type="dxa" w:w="2835"/>
            <w:shd w:val="clear" w:color="auto" w:fill="FFFFFF"/>
          </w:tcPr>
          <w:p>
            <w:r>
              <w:rPr>
                <w:sz w:val="18"/>
              </w:rPr>
              <w:t>SCMO_0003</w:t>
            </w:r>
          </w:p>
        </w:tc>
        <w:tc>
          <w:tcPr>
            <w:tcW w:type="dxa" w:w="1304"/>
            <w:shd w:val="clear" w:color="auto" w:fill="FFFFFF"/>
          </w:tcPr>
          <w:p>
            <w:r>
              <w:rPr>
                <w:sz w:val="18"/>
              </w:rPr>
              <w:t>12.77%</w:t>
            </w:r>
          </w:p>
        </w:tc>
        <w:tc>
          <w:tcPr>
            <w:tcW w:type="dxa" w:w="1304"/>
            <w:shd w:val="clear" w:color="auto" w:fill="FFFFFF"/>
          </w:tcPr>
          <w:p>
            <w:r>
              <w:rPr>
                <w:sz w:val="18"/>
              </w:rPr>
              <w:t>20.75%</w:t>
            </w:r>
          </w:p>
        </w:tc>
        <w:tc>
          <w:tcPr>
            <w:tcW w:type="dxa" w:w="1191"/>
            <w:shd w:val="clear" w:color="auto" w:fill="FFFFFF"/>
          </w:tcPr>
          <w:p>
            <w:r>
              <w:rPr>
                <w:sz w:val="18"/>
              </w:rPr>
              <w:t>0.69</w:t>
            </w:r>
          </w:p>
        </w:tc>
        <w:tc>
          <w:tcPr>
            <w:tcW w:type="dxa" w:w="1191"/>
            <w:shd w:val="clear" w:color="auto" w:fill="FFFFFF"/>
          </w:tcPr>
          <w:p>
            <w:r>
              <w:rPr>
                <w:sz w:val="18"/>
              </w:rPr>
              <w:t>0.93</w:t>
            </w:r>
          </w:p>
        </w:tc>
        <w:tc>
          <w:tcPr>
            <w:tcW w:type="dxa" w:w="1191"/>
            <w:shd w:val="clear" w:color="auto" w:fill="FFFFFF"/>
          </w:tcPr>
          <w:p>
            <w:r>
              <w:rPr>
                <w:sz w:val="18"/>
              </w:rPr>
              <w:t>-42.52%</w:t>
            </w:r>
          </w:p>
        </w:tc>
        <w:tc>
          <w:tcPr>
            <w:tcW w:type="dxa" w:w="964"/>
            <w:shd w:val="clear" w:color="auto" w:fill="FFFFFF"/>
          </w:tcPr>
          <w:p>
            <w:r>
              <w:rPr>
                <w:sz w:val="18"/>
              </w:rPr>
              <w:t>0.30</w:t>
            </w:r>
          </w:p>
        </w:tc>
      </w:tr>
      <w:tr>
        <w:tc>
          <w:tcPr>
            <w:tcW w:type="dxa" w:w="2835"/>
            <w:shd w:val="clear" w:color="auto" w:fill="F7FAFD"/>
          </w:tcPr>
          <w:p>
            <w:r>
              <w:rPr>
                <w:sz w:val="18"/>
              </w:rPr>
              <w:t>SCET_0013</w:t>
            </w:r>
          </w:p>
        </w:tc>
        <w:tc>
          <w:tcPr>
            <w:tcW w:type="dxa" w:w="1304"/>
            <w:shd w:val="clear" w:color="auto" w:fill="F7FAFD"/>
          </w:tcPr>
          <w:p>
            <w:r>
              <w:rPr>
                <w:sz w:val="18"/>
              </w:rPr>
              <w:t>8.97%</w:t>
            </w:r>
          </w:p>
        </w:tc>
        <w:tc>
          <w:tcPr>
            <w:tcW w:type="dxa" w:w="1304"/>
            <w:shd w:val="clear" w:color="auto" w:fill="F7FAFD"/>
          </w:tcPr>
          <w:p>
            <w:r>
              <w:rPr>
                <w:sz w:val="18"/>
              </w:rPr>
              <w:t>7.92%</w:t>
            </w:r>
          </w:p>
        </w:tc>
        <w:tc>
          <w:tcPr>
            <w:tcW w:type="dxa" w:w="1191"/>
            <w:shd w:val="clear" w:color="auto" w:fill="F7FAFD"/>
          </w:tcPr>
          <w:p>
            <w:r>
              <w:rPr>
                <w:sz w:val="18"/>
              </w:rPr>
              <w:t>1.13</w:t>
            </w:r>
          </w:p>
        </w:tc>
        <w:tc>
          <w:tcPr>
            <w:tcW w:type="dxa" w:w="1191"/>
            <w:shd w:val="clear" w:color="auto" w:fill="F7FAFD"/>
          </w:tcPr>
          <w:p>
            <w:r>
              <w:rPr>
                <w:sz w:val="18"/>
              </w:rPr>
              <w:t>1.54</w:t>
            </w:r>
          </w:p>
        </w:tc>
        <w:tc>
          <w:tcPr>
            <w:tcW w:type="dxa" w:w="1191"/>
            <w:shd w:val="clear" w:color="auto" w:fill="F7FAFD"/>
          </w:tcPr>
          <w:p>
            <w:r>
              <w:rPr>
                <w:sz w:val="18"/>
              </w:rPr>
              <w:t>-21.47%</w:t>
            </w:r>
          </w:p>
        </w:tc>
        <w:tc>
          <w:tcPr>
            <w:tcW w:type="dxa" w:w="964"/>
            <w:shd w:val="clear" w:color="auto" w:fill="F7FAFD"/>
          </w:tcPr>
          <w:p>
            <w:r>
              <w:rPr>
                <w:sz w:val="18"/>
              </w:rPr>
              <w:t>0.42</w:t>
            </w:r>
          </w:p>
        </w:tc>
      </w:tr>
      <w:tr>
        <w:tc>
          <w:tcPr>
            <w:tcW w:type="dxa" w:w="2835"/>
            <w:shd w:val="clear" w:color="auto" w:fill="FFFFFF"/>
          </w:tcPr>
          <w:p>
            <w:r>
              <w:rPr>
                <w:sz w:val="18"/>
              </w:rPr>
              <w:t>SCSB_0003 (primary benchmark)</w:t>
            </w:r>
          </w:p>
        </w:tc>
        <w:tc>
          <w:tcPr>
            <w:tcW w:type="dxa" w:w="1304"/>
            <w:shd w:val="clear" w:color="auto" w:fill="FFFFFF"/>
          </w:tcPr>
          <w:p>
            <w:r>
              <w:rPr>
                <w:sz w:val="18"/>
              </w:rPr>
              <w:t>8.51%</w:t>
            </w:r>
          </w:p>
        </w:tc>
        <w:tc>
          <w:tcPr>
            <w:tcW w:type="dxa" w:w="1304"/>
            <w:shd w:val="clear" w:color="auto" w:fill="FFFFFF"/>
          </w:tcPr>
          <w:p>
            <w:r>
              <w:rPr>
                <w:sz w:val="18"/>
              </w:rPr>
              <w:t>11.20%</w:t>
            </w:r>
          </w:p>
        </w:tc>
        <w:tc>
          <w:tcPr>
            <w:tcW w:type="dxa" w:w="1191"/>
            <w:shd w:val="clear" w:color="auto" w:fill="FFFFFF"/>
          </w:tcPr>
          <w:p>
            <w:r>
              <w:rPr>
                <w:sz w:val="18"/>
              </w:rPr>
              <w:t>0.79</w:t>
            </w:r>
          </w:p>
        </w:tc>
        <w:tc>
          <w:tcPr>
            <w:tcW w:type="dxa" w:w="1191"/>
            <w:shd w:val="clear" w:color="auto" w:fill="FFFFFF"/>
          </w:tcPr>
          <w:p>
            <w:r>
              <w:rPr>
                <w:sz w:val="18"/>
              </w:rPr>
              <w:t>1.12</w:t>
            </w:r>
          </w:p>
        </w:tc>
        <w:tc>
          <w:tcPr>
            <w:tcW w:type="dxa" w:w="1191"/>
            <w:shd w:val="clear" w:color="auto" w:fill="FFFFFF"/>
          </w:tcPr>
          <w:p>
            <w:r>
              <w:rPr>
                <w:sz w:val="18"/>
              </w:rPr>
              <w:t>-22.40%</w:t>
            </w:r>
          </w:p>
        </w:tc>
        <w:tc>
          <w:tcPr>
            <w:tcW w:type="dxa" w:w="964"/>
            <w:shd w:val="clear" w:color="auto" w:fill="FFFFFF"/>
          </w:tcPr>
          <w:p>
            <w:r>
              <w:rPr>
                <w:sz w:val="18"/>
              </w:rPr>
              <w:t>0.38</w:t>
            </w:r>
          </w:p>
        </w:tc>
      </w:tr>
    </w:tbl>
    <w:p/>
    <w:p>
      <w:pPr>
        <w:shd w:val="clear" w:color="auto" w:fill="FEF9E7"/>
        <w:spacing w:before="80" w:after="80"/>
        <w:ind w:left="170" w:right="170"/>
      </w:pPr>
      <w:r>
        <w:rPr>
          <w:b/>
          <w:sz w:val="20"/>
        </w:rPr>
        <w:t xml:space="preserve">Note:  </w:t>
      </w:r>
      <w:r>
        <w:rPr>
          <w:sz w:val="20"/>
        </w:rPr>
        <w:t>Actual strategy names in the output file are underscored (Dynamic_InvVol, Gap_Regime)  -  not "Dynamic" or "Gap" alone as some shorthand elsewhere in the project uses. All Sharpe/Sortino figures assume a 0% risk-free rate; no transaction costs are deducted in these headline figures.</w:t>
      </w:r>
    </w:p>
    <w:p>
      <w:pPr>
        <w:pStyle w:val="Heading2"/>
        <w:jc w:val="left"/>
      </w:pPr>
      <w:r>
        <w:rPr>
          <w:color w:val="2E6DA4"/>
        </w:rPr>
        <w:t>6.2 Regime &amp; Year-by-Year Detail</w:t>
      </w:r>
    </w:p>
    <w:p>
      <w:r>
        <w:rPr>
          <w:b w:val="0"/>
          <w:sz w:val="20"/>
        </w:rPr>
        <w:t>Dynamic InvVol's largest edge over SCSB_0003 comes in stressed regimes (report-sourced: 29.5% vs 13.9% CAGR, +1,560 bps) because the no-floor design lets it concentrate into 1-3 names when the market is turbulent. 2021 is the dominant single-year alpha driver (Dynamic +81.47% vs SCSB_0003 +18.96%, post-COVID recovery). 2023 is the only year SCSB_0003 edged ahead (+27.43% vs Dynamic +25.06%)  -  a broad small-cap rally favoured the benchmark's wider universe. This regime/year breakdown was sourced from the research report and not independently re-derived from a raw regime-tagged output file during this review.</w:t>
      </w:r>
    </w:p>
    <w:p>
      <w:pPr>
        <w:pStyle w:val="Heading2"/>
        <w:jc w:val="left"/>
      </w:pPr>
      <w:r>
        <w:rPr>
          <w:color w:val="2E6DA4"/>
        </w:rPr>
        <w:t>6.3 Statistical Validation &amp; Limitations</w:t>
      </w:r>
    </w:p>
    <w:p>
      <w:pPr>
        <w:pStyle w:val="ListBullet"/>
      </w:pPr>
      <w:r>
        <w:rPr>
          <w:sz w:val="20"/>
        </w:rPr>
        <w:t>The signal's correlation with realised volatility is intentionally low by design (it targets cross-sectional ranking, not absolute-level prediction)  -  but the EXACT number varies across sources: Monthly_signal_analysis.ipynb outputs 0.1522 (IDW) / 0.1119 (NW); the Phase-1 research doc quotes 0.1143 / 0.1031; a near-duplicate motif notebook shows values from -0.39 to +0.66 depending on ticker/window. Treat "~0.11" as an order-of-magnitude characterisation, not a single reproducible statistic.</w:t>
      </w:r>
    </w:p>
    <w:p>
      <w:pPr>
        <w:pStyle w:val="ListBullet"/>
      </w:pPr>
      <w:r>
        <w:rPr>
          <w:sz w:val="20"/>
        </w:rPr>
        <w:t>The NSE Top-50 universe used across the entire 6-year backtest is derived from mcap_based_universe_202602251340.csv, a full historical market-cap table (526,104 rows, ~3,000 tickers per date, 2005-2026) rather than a pre-filtered Top-50 snapshot. Whatever Top-50 cut is used is applied retroactively using a Feb-2026 vantage point  -  i.e. today's biggest 50 companies are assumed to have also been the biggest 50 in 2020. This forward-looking-bias risk is also noted in the research report.</w:t>
      </w:r>
    </w:p>
    <w:p>
      <w:pPr>
        <w:pStyle w:val="ListBullet"/>
      </w:pPr>
      <w:r>
        <w:rPr>
          <w:sz w:val="20"/>
        </w:rPr>
        <w:t>All strategies carry roughly -40% to -42% max drawdown vs. SCSB_0003's -22.4%, reflecting concentration in a large-cap subset vs. the benchmark's broader small-cap exposure. Dynamic InvVol's Calmar (0.42) still exceeds SCSB_0003's (0.38).</w:t>
      </w:r>
    </w:p>
    <w:p>
      <w:pPr>
        <w:pStyle w:val="ListBullet"/>
      </w:pPr>
      <w:r>
        <w:rPr>
          <w:sz w:val="20"/>
        </w:rPr>
        <w:t>No automated test suite exists. Pipeline correctness is validated only by comparing output against smoothed_signal.xlsx  -  a 69-row, single-ticker snapshot, an ad hoc check rather than unit tests.</w:t>
      </w:r>
    </w:p>
    <w:p>
      <w:r>
        <w:br w:type="page"/>
      </w:r>
    </w:p>
    <w:p>
      <w:pPr>
        <w:pStyle w:val="Heading1"/>
        <w:jc w:val="left"/>
      </w:pPr>
      <w:r>
        <w:rPr>
          <w:color w:val="1F3A5F"/>
        </w:rPr>
        <w:t>7. File Reading Guide</w:t>
      </w:r>
    </w:p>
    <w:p>
      <w:r>
        <w:rPr>
          <w:b w:val="0"/>
          <w:sz w:val="20"/>
        </w:rPr>
        <w:t>There are 15+ research notebooks. Most are exploratory or superseded  -  you do not need to open all of them. This tiering reflects what each notebook was directly confirmed to contain by reading its actual code and outputs.</w:t>
      </w:r>
    </w:p>
    <w:p/>
    <w:p>
      <w:pPr>
        <w:shd w:val="clear" w:color="auto" w:fill="1F3A5F"/>
        <w:spacing w:before="120"/>
      </w:pPr>
      <w:r>
        <w:rPr>
          <w:b/>
          <w:color w:val="FFFFFF"/>
          <w:sz w:val="22"/>
        </w:rPr>
        <w:t xml:space="preserve">  TIER 1 - Must Read (start here, in this order)</w:t>
      </w:r>
    </w:p>
    <w:p>
      <w:pPr>
        <w:spacing w:before="120"/>
        <w:ind w:left="227"/>
      </w:pPr>
      <w:r>
        <w:rPr>
          <w:b/>
          <w:color w:val="2E6DA4"/>
          <w:sz w:val="20"/>
        </w:rPr>
        <w:t>Monthly_signal_analysis.ipynb</w:t>
        <w:br/>
      </w:r>
      <w:r>
        <w:rPr>
          <w:b/>
          <w:sz w:val="18"/>
        </w:rPr>
        <w:t>The signal calibration notebook  -  read before touching Stage 7</w:t>
        <w:br/>
      </w:r>
      <w:r>
        <w:rPr>
          <w:sz w:val="18"/>
        </w:rPr>
        <w:t>Confirmed to contain: bucket analysis of predicted vs. observed vol; the exp_func = a*exp(b*x) calibration discovery via scipy curve_fit; a rolling/expanding calibration fit. Does NOT itself reference "Vol_Regime_Smooth" by name  -  that name is only assembled downstream in files/vol_aggregator.py.</w:t>
      </w:r>
    </w:p>
    <w:p>
      <w:pPr>
        <w:spacing w:before="120"/>
        <w:ind w:left="227"/>
      </w:pPr>
      <w:r>
        <w:rPr>
          <w:b/>
          <w:color w:val="2E6DA4"/>
          <w:sz w:val="20"/>
        </w:rPr>
        <w:t>strategy_comparison.ipynb</w:t>
        <w:br/>
      </w:r>
      <w:r>
        <w:rPr>
          <w:b/>
          <w:sz w:val="18"/>
        </w:rPr>
        <w:t>The comparison notebook the headline result traces back to</w:t>
        <w:br/>
      </w:r>
      <w:r>
        <w:rPr>
          <w:sz w:val="18"/>
        </w:rPr>
        <w:t>Confirmed exact match to strategy_comparison.xlsx and the research report's performance table (Section 6). This is the single most load-bearing notebook in the whole project.</w:t>
      </w:r>
    </w:p>
    <w:p>
      <w:pPr>
        <w:spacing w:before="120"/>
        <w:ind w:left="227"/>
      </w:pPr>
      <w:r>
        <w:rPr>
          <w:b/>
          <w:color w:val="2E6DA4"/>
          <w:sz w:val="20"/>
        </w:rPr>
        <w:t>dynamic_low_vol_selection.ipynb</w:t>
        <w:br/>
      </w:r>
      <w:r>
        <w:rPr>
          <w:b/>
          <w:sz w:val="18"/>
        </w:rPr>
        <w:t>Implementation of the winning strategy</w:t>
        <w:br/>
      </w:r>
      <w:r>
        <w:rPr>
          <w:sz w:val="18"/>
        </w:rPr>
        <w:t>Confirmed exact filter logic (SIGNAL_CUTOFF_PCT=20, SIGNAL_CUTOFF_ABS=0.45, MAX_STOCKS=10, no floor), inverse-vol weighting, and the 7.6-stocks/month statistic.</w:t>
      </w:r>
    </w:p>
    <w:p>
      <w:pPr>
        <w:spacing w:before="120"/>
        <w:ind w:left="227"/>
      </w:pPr>
      <w:r>
        <w:rPr>
          <w:b/>
          <w:color w:val="2E6DA4"/>
          <w:sz w:val="20"/>
        </w:rPr>
        <w:t>Weekly_rebal_motifs.ipynb</w:t>
        <w:br/>
      </w:r>
      <w:r>
        <w:rPr>
          <w:b/>
          <w:sz w:val="18"/>
        </w:rPr>
        <w:t>The original MASS motif-matching notebook, algorithm-level detail</w:t>
        <w:br/>
      </w:r>
      <w:r>
        <w:rPr>
          <w:sz w:val="18"/>
        </w:rPr>
        <w:t>Confirmed step-by-step: mk.Match(rvDf, rebalDate, windowSize=45, threshold=0.50), top-5 analogue extraction, forward-1M stats. Read this to modify the signal at the algorithm level.</w:t>
      </w:r>
    </w:p>
    <w:p/>
    <w:p>
      <w:pPr>
        <w:shd w:val="clear" w:color="auto" w:fill="2E6DA4"/>
        <w:spacing w:before="120"/>
      </w:pPr>
      <w:r>
        <w:rPr>
          <w:b/>
          <w:color w:val="FFFFFF"/>
          <w:sz w:val="22"/>
        </w:rPr>
        <w:t xml:space="preserve">  TIER 2 - Read If Extending the Work</w:t>
      </w:r>
    </w:p>
    <w:p>
      <w:pPr>
        <w:spacing w:before="120"/>
        <w:ind w:left="227"/>
      </w:pPr>
      <w:r>
        <w:rPr>
          <w:b/>
          <w:color w:val="2E6DA4"/>
          <w:sz w:val="20"/>
        </w:rPr>
        <w:t>gap_regime_vol_selection.ipynb</w:t>
        <w:br/>
      </w:r>
      <w:r>
        <w:rPr>
          <w:b/>
          <w:sz w:val="18"/>
        </w:rPr>
        <w:t>Rejected regime-conditioned strategy</w:t>
        <w:br/>
      </w:r>
      <w:r>
        <w:rPr>
          <w:sz w:val="18"/>
        </w:rPr>
        <w:t>Confirmed regime thresholds and gap-multiplier logic. Read to understand why added complexity did not beat the simpler Dynamic strategy (comparison itself only visible in strategy_comparison.ipynb).</w:t>
      </w:r>
    </w:p>
    <w:p>
      <w:pPr>
        <w:spacing w:before="120"/>
        <w:ind w:left="227"/>
      </w:pPr>
      <w:r>
        <w:rPr>
          <w:b/>
          <w:color w:val="2E6DA4"/>
          <w:sz w:val="20"/>
        </w:rPr>
        <w:t>Motif+PSMC.ipynb</w:t>
        <w:br/>
      </w:r>
      <w:r>
        <w:rPr>
          <w:b/>
          <w:sz w:val="18"/>
        </w:rPr>
        <w:t>IDW vs. Nadaraya-Watson aggregation experiment</w:t>
        <w:br/>
      </w:r>
      <w:r>
        <w:rPr>
          <w:sz w:val="18"/>
        </w:rPr>
        <w:t>Confirmed both aggregation functions exist here. Treat any specific correlation number cited from this notebook with the caveat in Section 6.3.</w:t>
      </w:r>
    </w:p>
    <w:p>
      <w:pPr>
        <w:spacing w:before="120"/>
        <w:ind w:left="227"/>
      </w:pPr>
      <w:r>
        <w:rPr>
          <w:b/>
          <w:color w:val="2E6DA4"/>
          <w:sz w:val="20"/>
        </w:rPr>
        <w:t>Backtest_1.ipynb</w:t>
        <w:br/>
      </w:r>
      <w:r>
        <w:rPr>
          <w:b/>
          <w:sz w:val="18"/>
        </w:rPr>
        <w:t>Early Nifty/Gold AA backtest mechanics</w:t>
        <w:br/>
      </w:r>
      <w:r>
        <w:rPr>
          <w:sz w:val="18"/>
        </w:rPr>
        <w:t>Confirmed: uses QuantBacktester.IndexCalculator, consumes a pre-computed signal from smoothed_signal.xlsx. NOT confirmed: any in-notebook HAR-RS model code. Useful for AA backtest mechanics, not for the HAR-RS story.</w:t>
      </w:r>
    </w:p>
    <w:p/>
    <w:p>
      <w:pPr>
        <w:shd w:val="clear" w:color="auto" w:fill="7F8C8D"/>
        <w:spacing w:before="120"/>
      </w:pPr>
      <w:r>
        <w:rPr>
          <w:b/>
          <w:color w:val="FFFFFF"/>
          <w:sz w:val="22"/>
        </w:rPr>
        <w:t xml:space="preserve">  TIER 3 - Skip (superseded)</w:t>
      </w:r>
    </w:p>
    <w:p>
      <w:r>
        <w:rPr>
          <w:b w:val="0"/>
          <w:sz w:val="18"/>
        </w:rPr>
        <w:t>These notebooks are exploratory or superseded scratch work. Safe to skip.</w:t>
      </w:r>
    </w:p>
    <w:p/>
    <w:tbl>
      <w:tblPr>
        <w:tblStyle w:val="TableGrid"/>
        <w:tblW w:type="auto" w:w="0"/>
        <w:tblLook w:firstColumn="1" w:firstRow="1" w:lastColumn="0" w:lastRow="0" w:noHBand="0" w:noVBand="1" w:val="04A0"/>
      </w:tblPr>
      <w:tblGrid>
        <w:gridCol w:w="4703"/>
        <w:gridCol w:w="4703"/>
      </w:tblGrid>
      <w:tr>
        <w:tc>
          <w:tcPr>
            <w:tcW w:type="dxa" w:w="3685"/>
            <w:shd w:val="clear" w:color="auto" w:fill="1F3A5F"/>
            <w:vAlign w:val="center"/>
          </w:tcPr>
          <w:p>
            <w:pPr>
              <w:jc w:val="center"/>
            </w:pPr>
            <w:r>
              <w:rPr>
                <w:b/>
                <w:color w:val="FFFFFF"/>
                <w:sz w:val="18"/>
              </w:rPr>
              <w:t>File</w:t>
            </w:r>
          </w:p>
        </w:tc>
        <w:tc>
          <w:tcPr>
            <w:tcW w:type="dxa" w:w="5669"/>
            <w:shd w:val="clear" w:color="auto" w:fill="1F3A5F"/>
            <w:vAlign w:val="center"/>
          </w:tcPr>
          <w:p>
            <w:pPr>
              <w:jc w:val="center"/>
            </w:pPr>
            <w:r>
              <w:rPr>
                <w:b/>
                <w:color w:val="FFFFFF"/>
                <w:sz w:val="18"/>
              </w:rPr>
              <w:t>Why you can skip it</w:t>
            </w:r>
          </w:p>
        </w:tc>
      </w:tr>
      <w:tr>
        <w:tc>
          <w:tcPr>
            <w:tcW w:type="dxa" w:w="3685"/>
            <w:shd w:val="clear" w:color="auto" w:fill="F7FAFD"/>
          </w:tcPr>
          <w:p>
            <w:r>
              <w:rPr>
                <w:sz w:val="18"/>
              </w:rPr>
              <w:t>top50mcap_analysis.ipynb</w:t>
            </w:r>
          </w:p>
        </w:tc>
        <w:tc>
          <w:tcPr>
            <w:tcW w:type="dxa" w:w="5669"/>
            <w:shd w:val="clear" w:color="auto" w:fill="F7FAFD"/>
          </w:tcPr>
          <w:p>
            <w:r>
              <w:rPr>
                <w:sz w:val="18"/>
              </w:rPr>
              <w:t>A calibration-script copy plus an EqW-vs-InvVol test, superseded by strategy_comparison.ipynb. Does not contain a Fixed-10/Dynamic/Gap-Regime comparison. The "7.6 stocks/month" and "28.9% turnover" stats live in dynamic_low_vol_selection.ipynb and strategy_comparison.ipynb respectively.</w:t>
            </w:r>
          </w:p>
        </w:tc>
      </w:tr>
      <w:tr>
        <w:tc>
          <w:tcPr>
            <w:tcW w:type="dxa" w:w="3685"/>
            <w:shd w:val="clear" w:color="auto" w:fill="FFFFFF"/>
          </w:tcPr>
          <w:p>
            <w:r>
              <w:rPr>
                <w:sz w:val="18"/>
              </w:rPr>
              <w:t>Monthly_rebal.ipynb</w:t>
            </w:r>
          </w:p>
        </w:tc>
        <w:tc>
          <w:tcPr>
            <w:tcW w:type="dxa" w:w="5669"/>
            <w:shd w:val="clear" w:color="auto" w:fill="FFFFFF"/>
          </w:tcPr>
          <w:p>
            <w:r>
              <w:rPr>
                <w:sz w:val="18"/>
              </w:rPr>
              <w:t>Structurally duplicates Weekly_rebal_motifs.ipynb's motif pipeline; does not combine the three strategies into a unified backtest.</w:t>
            </w:r>
          </w:p>
        </w:tc>
      </w:tr>
      <w:tr>
        <w:tc>
          <w:tcPr>
            <w:tcW w:type="dxa" w:w="3685"/>
            <w:shd w:val="clear" w:color="auto" w:fill="F7FAFD"/>
          </w:tcPr>
          <w:p>
            <w:r>
              <w:rPr>
                <w:sz w:val="18"/>
              </w:rPr>
              <w:t>extended_analysis.ipynb</w:t>
            </w:r>
          </w:p>
        </w:tc>
        <w:tc>
          <w:tcPr>
            <w:tcW w:type="dxa" w:w="5669"/>
            <w:shd w:val="clear" w:color="auto" w:fill="F7FAFD"/>
          </w:tcPr>
          <w:p>
            <w:r>
              <w:rPr>
                <w:sz w:val="18"/>
              </w:rPr>
              <w:t>A near-duplicate of the motif pipeline, not macro/FX/fixed-income work. The real macro-variable to-do list lives only in "Volatility Research for AA smallcases.docx" and was never started in code.</w:t>
            </w:r>
          </w:p>
        </w:tc>
      </w:tr>
      <w:tr>
        <w:tc>
          <w:tcPr>
            <w:tcW w:type="dxa" w:w="3685"/>
            <w:shd w:val="clear" w:color="auto" w:fill="FFFFFF"/>
          </w:tcPr>
          <w:p>
            <w:r>
              <w:rPr>
                <w:sz w:val="18"/>
              </w:rPr>
              <w:t>FIGARCH_implementation.ipynb / FIGARCH_model.ipynb / garch_implementation.ipynb / LM.ipynb / "model playground.ipynb"</w:t>
            </w:r>
          </w:p>
        </w:tc>
        <w:tc>
          <w:tcPr>
            <w:tcW w:type="dxa" w:w="5669"/>
            <w:shd w:val="clear" w:color="auto" w:fill="FFFFFF"/>
          </w:tcPr>
          <w:p>
            <w:r>
              <w:rPr>
                <w:sz w:val="18"/>
              </w:rPr>
              <w:t>Early/duplicated Phase-1 GARCH/FIGARCH scratch work, superseded by the MASS approach.</w:t>
            </w:r>
          </w:p>
        </w:tc>
      </w:tr>
    </w:tbl>
    <w:p/>
    <w:p>
      <w:r>
        <w:br w:type="page"/>
      </w:r>
    </w:p>
    <w:p>
      <w:pPr>
        <w:pStyle w:val="Heading1"/>
        <w:jc w:val="left"/>
      </w:pPr>
      <w:r>
        <w:rPr>
          <w:color w:val="1F3A5F"/>
        </w:rPr>
        <w:t>8. Environment Setup &amp; How to Run</w:t>
      </w:r>
    </w:p>
    <w:p>
      <w:pPr>
        <w:pStyle w:val="Heading2"/>
        <w:jc w:val="left"/>
      </w:pPr>
      <w:r>
        <w:rPr>
          <w:color w:val="2E6DA4"/>
        </w:rPr>
        <w:t>8.1 Prerequisites</w:t>
      </w:r>
    </w:p>
    <w:p>
      <w:pPr>
        <w:pStyle w:val="ListBullet"/>
      </w:pPr>
      <w:r>
        <w:rPr>
          <w:sz w:val="20"/>
        </w:rPr>
        <w:t>Python virtual environment pre-configured at .venv/ (Windows: .venv\Scripts\activate).</w:t>
      </w:r>
    </w:p>
    <w:p>
      <w:pPr>
        <w:pStyle w:val="ListBullet"/>
      </w:pPr>
      <w:r>
        <w:rPr>
          <w:sz w:val="20"/>
        </w:rPr>
        <w:t>eikon (Refinitiv) requires a running Eikon/Workspace desktop app for live data  -  not needed for Excel-only / offline use, which is the current default mode.</w:t>
      </w:r>
    </w:p>
    <w:p>
      <w:pPr>
        <w:pStyle w:val="ListBullet"/>
      </w:pPr>
      <w:r>
        <w:rPr>
          <w:sz w:val="20"/>
        </w:rPr>
        <w:t>All absolute paths in files/config.py currently point to D:\Linear Model\...  -  update if the project is moved.</w:t>
      </w:r>
    </w:p>
    <w:p>
      <w:pPr>
        <w:pStyle w:val="Heading2"/>
        <w:jc w:val="left"/>
      </w:pPr>
      <w:r>
        <w:rPr>
          <w:color w:val="2E6DA4"/>
        </w:rPr>
        <w:t>8.2 Setup Steps</w:t>
      </w:r>
    </w:p>
    <w:p>
      <w:pPr>
        <w:pStyle w:val="ListNumber"/>
      </w:pPr>
      <w:r>
        <w:rPr>
          <w:sz w:val="20"/>
        </w:rPr>
        <w:t>Activate the virtual environment: .venv\Scripts\activate</w:t>
      </w:r>
    </w:p>
    <w:p>
      <w:pPr>
        <w:pStyle w:val="ListNumber"/>
      </w:pPr>
      <w:r>
        <w:rPr>
          <w:sz w:val="20"/>
        </w:rPr>
        <w:t>Install dependencies if needed: pip install -r requirements.txt</w:t>
      </w:r>
    </w:p>
    <w:p>
      <w:pPr>
        <w:pStyle w:val="ListNumber"/>
      </w:pPr>
      <w:r>
        <w:rPr>
          <w:sz w:val="20"/>
        </w:rPr>
        <w:t>Create local-only database configs if pursuing the PostgreSQL integration task (not currently used by files/): db_config.yaml, central_config_all.yaml  -  format documented in Python_Scripts/db_connections.py</w:t>
      </w:r>
    </w:p>
    <w:p>
      <w:pPr>
        <w:pStyle w:val="ListNumber"/>
      </w:pPr>
      <w:r>
        <w:rPr>
          <w:sz w:val="20"/>
        </w:rPr>
        <w:t>Verify input data exists: data/Universe/INDTradingDays.xlsx, data/Universe/TradingDays.xlsx, data/RSI/Final/NSEI/W_allRebal.xlsx</w:t>
      </w:r>
    </w:p>
    <w:p>
      <w:pPr>
        <w:pStyle w:val="ListNumber"/>
      </w:pPr>
      <w:r>
        <w:rPr>
          <w:sz w:val="20"/>
        </w:rPr>
        <w:t>Run the production pipeline: cd files &amp;&amp; python main.py</w:t>
      </w:r>
    </w:p>
    <w:p>
      <w:pPr>
        <w:pStyle w:val="ListNumber"/>
      </w:pPr>
      <w:r>
        <w:rPr>
          <w:sz w:val="20"/>
        </w:rPr>
        <w:t>Read notebooks in the Tier 1 order from Section 7 to understand the research behind the pipeline.</w:t>
      </w:r>
    </w:p>
    <w:p>
      <w:pPr>
        <w:pStyle w:val="Heading2"/>
        <w:jc w:val="left"/>
      </w:pPr>
      <w:r>
        <w:rPr>
          <w:color w:val="2E6DA4"/>
        </w:rPr>
        <w:t>8.3 Data Files Required</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F3A5F"/>
            <w:vAlign w:val="center"/>
          </w:tcPr>
          <w:p>
            <w:pPr>
              <w:jc w:val="center"/>
            </w:pPr>
            <w:r>
              <w:rPr>
                <w:b/>
                <w:color w:val="FFFFFF"/>
                <w:sz w:val="18"/>
              </w:rPr>
              <w:t>File</w:t>
            </w:r>
          </w:p>
        </w:tc>
        <w:tc>
          <w:tcPr>
            <w:tcW w:type="dxa" w:w="1417"/>
            <w:shd w:val="clear" w:color="auto" w:fill="1F3A5F"/>
            <w:vAlign w:val="center"/>
          </w:tcPr>
          <w:p>
            <w:pPr>
              <w:jc w:val="center"/>
            </w:pPr>
            <w:r>
              <w:rPr>
                <w:b/>
                <w:color w:val="FFFFFF"/>
                <w:sz w:val="18"/>
              </w:rPr>
              <w:t>Location</w:t>
            </w:r>
          </w:p>
        </w:tc>
        <w:tc>
          <w:tcPr>
            <w:tcW w:type="dxa" w:w="4819"/>
            <w:shd w:val="clear" w:color="auto" w:fill="1F3A5F"/>
            <w:vAlign w:val="center"/>
          </w:tcPr>
          <w:p>
            <w:pPr>
              <w:jc w:val="center"/>
            </w:pPr>
            <w:r>
              <w:rPr>
                <w:b/>
                <w:color w:val="FFFFFF"/>
                <w:sz w:val="18"/>
              </w:rPr>
              <w:t>Used for</w:t>
            </w:r>
          </w:p>
        </w:tc>
      </w:tr>
      <w:tr>
        <w:tc>
          <w:tcPr>
            <w:tcW w:type="dxa" w:w="3118"/>
            <w:shd w:val="clear" w:color="auto" w:fill="F7FAFD"/>
          </w:tcPr>
          <w:p>
            <w:r>
              <w:rPr>
                <w:sz w:val="18"/>
              </w:rPr>
              <w:t>INDTradingDays.xlsx</w:t>
            </w:r>
          </w:p>
        </w:tc>
        <w:tc>
          <w:tcPr>
            <w:tcW w:type="dxa" w:w="1417"/>
            <w:shd w:val="clear" w:color="auto" w:fill="F7FAFD"/>
          </w:tcPr>
          <w:p>
            <w:r>
              <w:rPr>
                <w:sz w:val="18"/>
              </w:rPr>
              <w:t>data/Universe/</w:t>
            </w:r>
          </w:p>
        </w:tc>
        <w:tc>
          <w:tcPr>
            <w:tcW w:type="dxa" w:w="4819"/>
            <w:shd w:val="clear" w:color="auto" w:fill="F7FAFD"/>
          </w:tcPr>
          <w:p>
            <w:r>
              <w:rPr>
                <w:sz w:val="18"/>
              </w:rPr>
              <w:t>NSE daily closes, sheet "Close"</w:t>
            </w:r>
          </w:p>
        </w:tc>
      </w:tr>
      <w:tr>
        <w:tc>
          <w:tcPr>
            <w:tcW w:type="dxa" w:w="3118"/>
            <w:shd w:val="clear" w:color="auto" w:fill="FFFFFF"/>
          </w:tcPr>
          <w:p>
            <w:r>
              <w:rPr>
                <w:sz w:val="18"/>
              </w:rPr>
              <w:t>TradingDays.xlsx</w:t>
            </w:r>
          </w:p>
        </w:tc>
        <w:tc>
          <w:tcPr>
            <w:tcW w:type="dxa" w:w="1417"/>
            <w:shd w:val="clear" w:color="auto" w:fill="FFFFFF"/>
          </w:tcPr>
          <w:p>
            <w:r>
              <w:rPr>
                <w:sz w:val="18"/>
              </w:rPr>
              <w:t>data/Universe/</w:t>
            </w:r>
          </w:p>
        </w:tc>
        <w:tc>
          <w:tcPr>
            <w:tcW w:type="dxa" w:w="4819"/>
            <w:shd w:val="clear" w:color="auto" w:fill="FFFFFF"/>
          </w:tcPr>
          <w:p>
            <w:r>
              <w:rPr>
                <w:sz w:val="18"/>
              </w:rPr>
              <w:t>Official NSE trading calendar</w:t>
            </w:r>
          </w:p>
        </w:tc>
      </w:tr>
      <w:tr>
        <w:tc>
          <w:tcPr>
            <w:tcW w:type="dxa" w:w="3118"/>
            <w:shd w:val="clear" w:color="auto" w:fill="F7FAFD"/>
          </w:tcPr>
          <w:p>
            <w:r>
              <w:rPr>
                <w:sz w:val="18"/>
              </w:rPr>
              <w:t>W_allRebal.xlsx</w:t>
            </w:r>
          </w:p>
        </w:tc>
        <w:tc>
          <w:tcPr>
            <w:tcW w:type="dxa" w:w="1417"/>
            <w:shd w:val="clear" w:color="auto" w:fill="F7FAFD"/>
          </w:tcPr>
          <w:p>
            <w:r>
              <w:rPr>
                <w:sz w:val="18"/>
              </w:rPr>
              <w:t>data/RSI/Final/NSEI/</w:t>
            </w:r>
          </w:p>
        </w:tc>
        <w:tc>
          <w:tcPr>
            <w:tcW w:type="dxa" w:w="4819"/>
            <w:shd w:val="clear" w:color="auto" w:fill="F7FAFD"/>
          </w:tcPr>
          <w:p>
            <w:r>
              <w:rPr>
                <w:sz w:val="18"/>
              </w:rPr>
              <w:t>Weekly rebalancing dates</w:t>
            </w:r>
          </w:p>
        </w:tc>
      </w:tr>
      <w:tr>
        <w:tc>
          <w:tcPr>
            <w:tcW w:type="dxa" w:w="3118"/>
            <w:shd w:val="clear" w:color="auto" w:fill="FFFFFF"/>
          </w:tcPr>
          <w:p>
            <w:r>
              <w:rPr>
                <w:sz w:val="18"/>
              </w:rPr>
              <w:t>ticker_signals_cache.xlsx</w:t>
            </w:r>
          </w:p>
        </w:tc>
        <w:tc>
          <w:tcPr>
            <w:tcW w:type="dxa" w:w="1417"/>
            <w:shd w:val="clear" w:color="auto" w:fill="FFFFFF"/>
          </w:tcPr>
          <w:p>
            <w:r>
              <w:rPr>
                <w:sz w:val="18"/>
              </w:rPr>
              <w:t>project root</w:t>
            </w:r>
          </w:p>
        </w:tc>
        <w:tc>
          <w:tcPr>
            <w:tcW w:type="dxa" w:w="4819"/>
            <w:shd w:val="clear" w:color="auto" w:fill="FFFFFF"/>
          </w:tcPr>
          <w:p>
            <w:r>
              <w:rPr>
                <w:sz w:val="18"/>
              </w:rPr>
              <w:t>Pre-computed signal cache  -  13,563 rows, 78 tickers, 304 dates (verified directly)</w:t>
            </w:r>
          </w:p>
        </w:tc>
      </w:tr>
    </w:tbl>
    <w:p/>
    <w:p>
      <w:pPr>
        <w:shd w:val="clear" w:color="auto" w:fill="FEF9E7"/>
        <w:spacing w:before="80" w:after="80"/>
        <w:ind w:left="170" w:right="170"/>
      </w:pPr>
      <w:r>
        <w:rPr>
          <w:b/>
          <w:sz w:val="20"/>
        </w:rPr>
        <w:t xml:space="preserve">Data refresh:  </w:t>
      </w:r>
      <w:r>
        <w:rPr>
          <w:sz w:val="20"/>
        </w:rPr>
        <w:t>files/data_loader.py is confirmed to read Excel exclusively  -  there is no PostgreSQL/SQL code path anywhere in it, despite Python_Scripts/db_connections.py (DbConnections, PostgreSQL + MongoDB) existing as a standalone, working module. Wiring live data in requires editing data_loader.py yourself; it is not a config flag away. Configuration for tickers/dates/motif params is centralised in files/config.py (PipelineConfig dataclass).</w:t>
      </w:r>
    </w:p>
    <w:p>
      <w:r>
        <w:br w:type="page"/>
      </w:r>
    </w:p>
    <w:p>
      <w:pPr>
        <w:pStyle w:val="Heading1"/>
        <w:jc w:val="left"/>
      </w:pPr>
      <w:r>
        <w:rPr>
          <w:color w:val="1F3A5F"/>
        </w:rPr>
        <w:t>9. Pending Work &amp; Future Directions</w:t>
      </w:r>
    </w:p>
    <w:p>
      <w:pPr>
        <w:pStyle w:val="Heading2"/>
        <w:jc w:val="left"/>
      </w:pPr>
      <w:r>
        <w:rPr>
          <w:color w:val="2E6DA4"/>
        </w:rPr>
        <w:t>9.1 High Priority (incomplete / at-risk work)</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1F3A5F"/>
            <w:vAlign w:val="center"/>
          </w:tcPr>
          <w:p>
            <w:pPr>
              <w:jc w:val="center"/>
            </w:pPr>
            <w:r>
              <w:rPr>
                <w:b/>
                <w:color w:val="FFFFFF"/>
                <w:sz w:val="18"/>
              </w:rPr>
              <w:t>Task</w:t>
            </w:r>
          </w:p>
        </w:tc>
        <w:tc>
          <w:tcPr>
            <w:tcW w:type="dxa" w:w="3118"/>
            <w:shd w:val="clear" w:color="auto" w:fill="1F3A5F"/>
            <w:vAlign w:val="center"/>
          </w:tcPr>
          <w:p>
            <w:pPr>
              <w:jc w:val="center"/>
            </w:pPr>
            <w:r>
              <w:rPr>
                <w:b/>
                <w:color w:val="FFFFFF"/>
                <w:sz w:val="18"/>
              </w:rPr>
              <w:t>Status</w:t>
            </w:r>
          </w:p>
        </w:tc>
        <w:tc>
          <w:tcPr>
            <w:tcW w:type="dxa" w:w="3118"/>
            <w:shd w:val="clear" w:color="auto" w:fill="1F3A5F"/>
            <w:vAlign w:val="center"/>
          </w:tcPr>
          <w:p>
            <w:pPr>
              <w:jc w:val="center"/>
            </w:pPr>
            <w:r>
              <w:rPr>
                <w:b/>
                <w:color w:val="FFFFFF"/>
                <w:sz w:val="18"/>
              </w:rPr>
              <w:t>Where to look</w:t>
            </w:r>
          </w:p>
        </w:tc>
      </w:tr>
      <w:tr>
        <w:tc>
          <w:tcPr>
            <w:tcW w:type="dxa" w:w="3118"/>
            <w:shd w:val="clear" w:color="auto" w:fill="F7FAFD"/>
          </w:tcPr>
          <w:p>
            <w:r>
              <w:rPr>
                <w:sz w:val="18"/>
              </w:rPr>
              <w:t>Point-in-time universe reconstitution</w:t>
            </w:r>
          </w:p>
        </w:tc>
        <w:tc>
          <w:tcPr>
            <w:tcW w:type="dxa" w:w="3118"/>
            <w:shd w:val="clear" w:color="auto" w:fill="F7FAFD"/>
          </w:tcPr>
          <w:p>
            <w:r>
              <w:rPr>
                <w:sz w:val="18"/>
              </w:rPr>
              <w:t>Not started  -  confirmed the universe file is a single-date market-cap table applied retroactively, not a proper monthly-reconstituted universe. Biggest unresolved risk to backtest validity.</w:t>
            </w:r>
          </w:p>
        </w:tc>
        <w:tc>
          <w:tcPr>
            <w:tcW w:type="dxa" w:w="3118"/>
            <w:shd w:val="clear" w:color="auto" w:fill="F7FAFD"/>
          </w:tcPr>
          <w:p>
            <w:r>
              <w:rPr>
                <w:sz w:val="18"/>
              </w:rPr>
              <w:t>mcap_based_universe_202602251340.csv</w:t>
            </w:r>
          </w:p>
        </w:tc>
      </w:tr>
      <w:tr>
        <w:tc>
          <w:tcPr>
            <w:tcW w:type="dxa" w:w="3118"/>
            <w:shd w:val="clear" w:color="auto" w:fill="FFFFFF"/>
          </w:tcPr>
          <w:p>
            <w:r>
              <w:rPr>
                <w:sz w:val="18"/>
              </w:rPr>
              <w:t>Wire PostgreSQL into the pipeline</w:t>
            </w:r>
          </w:p>
        </w:tc>
        <w:tc>
          <w:tcPr>
            <w:tcW w:type="dxa" w:w="3118"/>
            <w:shd w:val="clear" w:color="auto" w:fill="FFFFFF"/>
          </w:tcPr>
          <w:p>
            <w:r>
              <w:rPr>
                <w:sz w:val="18"/>
              </w:rPr>
              <w:t>Not started  -  confirmed zero references to db_connections / postgres / sqlalchemy anywhere in files/.</w:t>
            </w:r>
          </w:p>
        </w:tc>
        <w:tc>
          <w:tcPr>
            <w:tcW w:type="dxa" w:w="3118"/>
            <w:shd w:val="clear" w:color="auto" w:fill="FFFFFF"/>
          </w:tcPr>
          <w:p>
            <w:r>
              <w:rPr>
                <w:sz w:val="18"/>
              </w:rPr>
              <w:t>Python_Scripts/db_connections.py -&gt; files/data_loader.py</w:t>
            </w:r>
          </w:p>
        </w:tc>
      </w:tr>
      <w:tr>
        <w:tc>
          <w:tcPr>
            <w:tcW w:type="dxa" w:w="3118"/>
            <w:shd w:val="clear" w:color="auto" w:fill="F7FAFD"/>
          </w:tcPr>
          <w:p>
            <w:r>
              <w:rPr>
                <w:sz w:val="18"/>
              </w:rPr>
              <w:t>Reconcile the HAR-RS claim</w:t>
            </w:r>
          </w:p>
        </w:tc>
        <w:tc>
          <w:tcPr>
            <w:tcW w:type="dxa" w:w="3118"/>
            <w:shd w:val="clear" w:color="auto" w:fill="F7FAFD"/>
          </w:tcPr>
          <w:p>
            <w:r>
              <w:rPr>
                <w:sz w:val="18"/>
              </w:rPr>
              <w:t>Unresolved  -  no notebook found implementing it; described only in the Phase-1 Word doc. Confirm whether it exists elsewhere before assuming it is "somewhere in the repo."</w:t>
            </w:r>
          </w:p>
        </w:tc>
        <w:tc>
          <w:tcPr>
            <w:tcW w:type="dxa" w:w="3118"/>
            <w:shd w:val="clear" w:color="auto" w:fill="F7FAFD"/>
          </w:tcPr>
          <w:p>
            <w:r>
              <w:rPr>
                <w:sz w:val="18"/>
              </w:rPr>
              <w:t>Volatility Research for AA smallcases.docx</w:t>
            </w:r>
          </w:p>
        </w:tc>
      </w:tr>
      <w:tr>
        <w:tc>
          <w:tcPr>
            <w:tcW w:type="dxa" w:w="3118"/>
            <w:shd w:val="clear" w:color="auto" w:fill="FFFFFF"/>
          </w:tcPr>
          <w:p>
            <w:r>
              <w:rPr>
                <w:sz w:val="18"/>
              </w:rPr>
              <w:t>Automated test suite</w:t>
            </w:r>
          </w:p>
        </w:tc>
        <w:tc>
          <w:tcPr>
            <w:tcW w:type="dxa" w:w="3118"/>
            <w:shd w:val="clear" w:color="auto" w:fill="FFFFFF"/>
          </w:tcPr>
          <w:p>
            <w:r>
              <w:rPr>
                <w:sz w:val="18"/>
              </w:rPr>
              <w:t>Does not exist  -  only an ad hoc comparison against a 69-row validation file.</w:t>
            </w:r>
          </w:p>
        </w:tc>
        <w:tc>
          <w:tcPr>
            <w:tcW w:type="dxa" w:w="3118"/>
            <w:shd w:val="clear" w:color="auto" w:fill="FFFFFF"/>
          </w:tcPr>
          <w:p>
            <w:r>
              <w:rPr>
                <w:sz w:val="18"/>
              </w:rPr>
              <w:t>files/output_writer.py, smoothed_signal.xlsx</w:t>
            </w:r>
          </w:p>
        </w:tc>
      </w:tr>
    </w:tbl>
    <w:p/>
    <w:p>
      <w:pPr>
        <w:pStyle w:val="Heading2"/>
        <w:jc w:val="left"/>
      </w:pPr>
      <w:r>
        <w:rPr>
          <w:color w:val="2E6DA4"/>
        </w:rPr>
        <w:t>9.2 Research Extensions Worth Exploring</w:t>
      </w:r>
    </w:p>
    <w:tbl>
      <w:tblPr>
        <w:tblStyle w:val="TableGrid"/>
        <w:tblW w:type="auto" w:w="0"/>
        <w:tblLook w:firstColumn="1" w:firstRow="1" w:lastColumn="0" w:lastRow="0" w:noHBand="0" w:noVBand="1" w:val="04A0"/>
      </w:tblPr>
      <w:tblGrid>
        <w:gridCol w:w="4703"/>
        <w:gridCol w:w="4703"/>
      </w:tblGrid>
      <w:tr>
        <w:tc>
          <w:tcPr>
            <w:tcW w:type="dxa" w:w="2551"/>
            <w:shd w:val="clear" w:color="auto" w:fill="1F3A5F"/>
            <w:vAlign w:val="center"/>
          </w:tcPr>
          <w:p>
            <w:pPr>
              <w:jc w:val="center"/>
            </w:pPr>
            <w:r>
              <w:rPr>
                <w:b/>
                <w:color w:val="FFFFFF"/>
                <w:sz w:val="18"/>
              </w:rPr>
              <w:t>Extension</w:t>
            </w:r>
          </w:p>
        </w:tc>
        <w:tc>
          <w:tcPr>
            <w:tcW w:type="dxa" w:w="6803"/>
            <w:shd w:val="clear" w:color="auto" w:fill="1F3A5F"/>
            <w:vAlign w:val="center"/>
          </w:tcPr>
          <w:p>
            <w:pPr>
              <w:jc w:val="center"/>
            </w:pPr>
            <w:r>
              <w:rPr>
                <w:b/>
                <w:color w:val="FFFFFF"/>
                <w:sz w:val="18"/>
              </w:rPr>
              <w:t>Description</w:t>
            </w:r>
          </w:p>
        </w:tc>
      </w:tr>
      <w:tr>
        <w:tc>
          <w:tcPr>
            <w:tcW w:type="dxa" w:w="2551"/>
            <w:shd w:val="clear" w:color="auto" w:fill="F7FAFD"/>
          </w:tcPr>
          <w:p>
            <w:r>
              <w:rPr>
                <w:sz w:val="18"/>
              </w:rPr>
              <w:t>Macro variable integration</w:t>
            </w:r>
          </w:p>
        </w:tc>
        <w:tc>
          <w:tcPr>
            <w:tcW w:type="dxa" w:w="6803"/>
            <w:shd w:val="clear" w:color="auto" w:fill="F7FAFD"/>
          </w:tcPr>
          <w:p>
            <w:r>
              <w:rPr>
                <w:sz w:val="18"/>
              </w:rPr>
              <w:t>FX, commodities, global equities, fixed income, PE/PB/Div yield across 7 market-cap + 18 sectoral indices  -  fully scoped as a to-do list in "Volatility Research for AA smallcases.docx," but confirmed NOT started in any notebook (see Section 7).</w:t>
            </w:r>
          </w:p>
        </w:tc>
      </w:tr>
      <w:tr>
        <w:tc>
          <w:tcPr>
            <w:tcW w:type="dxa" w:w="2551"/>
            <w:shd w:val="clear" w:color="auto" w:fill="FFFFFF"/>
          </w:tcPr>
          <w:p>
            <w:r>
              <w:rPr>
                <w:sz w:val="18"/>
              </w:rPr>
              <w:t>Gold modelling for the Nifty/Gold AA smallcase</w:t>
            </w:r>
          </w:p>
        </w:tc>
        <w:tc>
          <w:tcPr>
            <w:tcW w:type="dxa" w:w="6803"/>
            <w:shd w:val="clear" w:color="auto" w:fill="FFFFFF"/>
          </w:tcPr>
          <w:p>
            <w:r>
              <w:rPr>
                <w:sz w:val="18"/>
              </w:rPr>
              <w:t>Still unresolved per the original research brief: Supertrend on Gold first (Python_Scripts/ST.py::getSupertrend already exists and could be reused), then the same linear-model framework used for Nifty.</w:t>
            </w:r>
          </w:p>
        </w:tc>
      </w:tr>
      <w:tr>
        <w:tc>
          <w:tcPr>
            <w:tcW w:type="dxa" w:w="2551"/>
            <w:shd w:val="clear" w:color="auto" w:fill="F7FAFD"/>
          </w:tcPr>
          <w:p>
            <w:r>
              <w:rPr>
                <w:sz w:val="18"/>
              </w:rPr>
              <w:t>Survivorship-bias-free backtesting</w:t>
            </w:r>
          </w:p>
        </w:tc>
        <w:tc>
          <w:tcPr>
            <w:tcW w:type="dxa" w:w="6803"/>
            <w:shd w:val="clear" w:color="auto" w:fill="F7FAFD"/>
          </w:tcPr>
          <w:p>
            <w:r>
              <w:rPr>
                <w:sz w:val="18"/>
              </w:rPr>
              <w:t>Currently relies on ad hoc Refinitiv CSV backfill for delisted tickers; a proper historical-constituents database with delisting dates would be more robust.</w:t>
            </w:r>
          </w:p>
        </w:tc>
      </w:tr>
      <w:tr>
        <w:tc>
          <w:tcPr>
            <w:tcW w:type="dxa" w:w="2551"/>
            <w:shd w:val="clear" w:color="auto" w:fill="FFFFFF"/>
          </w:tcPr>
          <w:p>
            <w:r>
              <w:rPr>
                <w:sz w:val="18"/>
              </w:rPr>
              <w:t>Extend signal to other geographies/indices</w:t>
            </w:r>
          </w:p>
        </w:tc>
        <w:tc>
          <w:tcPr>
            <w:tcW w:type="dxa" w:w="6803"/>
            <w:shd w:val="clear" w:color="auto" w:fill="FFFFFF"/>
          </w:tcPr>
          <w:p>
            <w:r>
              <w:rPr>
                <w:sz w:val="18"/>
              </w:rPr>
              <w:t>The MASS pipeline is ticker-agnostic  -  just needs price history in INDTradingDays.xlsx and a files/config.py entry.</w:t>
            </w:r>
          </w:p>
        </w:tc>
      </w:tr>
    </w:tbl>
    <w:p/>
    <w:p>
      <w:r>
        <w:br w:type="page"/>
      </w:r>
    </w:p>
    <w:p>
      <w:pPr>
        <w:pStyle w:val="Heading1"/>
        <w:jc w:val="left"/>
      </w:pPr>
      <w:r>
        <w:rPr>
          <w:color w:val="1F3A5F"/>
        </w:rPr>
        <w:t>10. Quick Reference Card</w:t>
      </w:r>
    </w:p>
    <w:p>
      <w:r>
        <w:rPr>
          <w:b w:val="0"/>
          <w:sz w:val="20"/>
        </w:rPr>
        <w:t>One-page cheat sheet for day-to-day reference.</w:t>
      </w:r>
    </w:p>
    <w:p/>
    <w:tbl>
      <w:tblPr>
        <w:tblStyle w:val="TableGrid"/>
        <w:tblW w:type="auto" w:w="0"/>
        <w:tblLook w:firstColumn="1" w:firstRow="1" w:lastColumn="0" w:lastRow="0" w:noHBand="0" w:noVBand="1" w:val="04A0"/>
      </w:tblPr>
      <w:tblGrid>
        <w:gridCol w:w="4703"/>
        <w:gridCol w:w="4703"/>
      </w:tblGrid>
      <w:tr>
        <w:tc>
          <w:tcPr>
            <w:tcW w:type="dxa" w:w="3685"/>
            <w:shd w:val="clear" w:color="auto" w:fill="1F3A5F"/>
            <w:vAlign w:val="center"/>
          </w:tcPr>
          <w:p>
            <w:pPr>
              <w:jc w:val="center"/>
            </w:pPr>
            <w:r>
              <w:rPr>
                <w:b/>
                <w:color w:val="FFFFFF"/>
                <w:sz w:val="18"/>
              </w:rPr>
              <w:t>Question</w:t>
            </w:r>
          </w:p>
        </w:tc>
        <w:tc>
          <w:tcPr>
            <w:tcW w:type="dxa" w:w="5669"/>
            <w:shd w:val="clear" w:color="auto" w:fill="1F3A5F"/>
            <w:vAlign w:val="center"/>
          </w:tcPr>
          <w:p>
            <w:pPr>
              <w:jc w:val="center"/>
            </w:pPr>
            <w:r>
              <w:rPr>
                <w:b/>
                <w:color w:val="FFFFFF"/>
                <w:sz w:val="18"/>
              </w:rPr>
              <w:t>Answer</w:t>
            </w:r>
          </w:p>
        </w:tc>
      </w:tr>
      <w:tr>
        <w:tc>
          <w:tcPr>
            <w:tcW w:type="dxa" w:w="3685"/>
            <w:shd w:val="clear" w:color="auto" w:fill="F7FAFD"/>
          </w:tcPr>
          <w:p>
            <w:r>
              <w:rPr>
                <w:sz w:val="18"/>
              </w:rPr>
              <w:t>What is the best approach?</w:t>
            </w:r>
          </w:p>
        </w:tc>
        <w:tc>
          <w:tcPr>
            <w:tcW w:type="dxa" w:w="5669"/>
            <w:shd w:val="clear" w:color="auto" w:fill="F7FAFD"/>
          </w:tcPr>
          <w:p>
            <w:r>
              <w:rPr>
                <w:sz w:val="18"/>
              </w:rPr>
              <w:t>Dynamic InvVol  -  17.24% CAGR, 0.95 Sharpe, 1.34 Sortino, +873 bps alpha vs SCSB_0003 (independently confirmed, see Section 6.1).</w:t>
            </w:r>
          </w:p>
        </w:tc>
      </w:tr>
      <w:tr>
        <w:tc>
          <w:tcPr>
            <w:tcW w:type="dxa" w:w="3685"/>
            <w:shd w:val="clear" w:color="auto" w:fill="FFFFFF"/>
          </w:tcPr>
          <w:p>
            <w:r>
              <w:rPr>
                <w:sz w:val="18"/>
              </w:rPr>
              <w:t>Where is the main implementation?</w:t>
            </w:r>
          </w:p>
        </w:tc>
        <w:tc>
          <w:tcPr>
            <w:tcW w:type="dxa" w:w="5669"/>
            <w:shd w:val="clear" w:color="auto" w:fill="FFFFFF"/>
          </w:tcPr>
          <w:p>
            <w:r>
              <w:rPr>
                <w:sz w:val="18"/>
              </w:rPr>
              <w:t>files/vol_aggregator.py (signal) + dynamic_low_vol_selection.ipynb (strategy).</w:t>
            </w:r>
          </w:p>
        </w:tc>
      </w:tr>
      <w:tr>
        <w:tc>
          <w:tcPr>
            <w:tcW w:type="dxa" w:w="3685"/>
            <w:shd w:val="clear" w:color="auto" w:fill="F7FAFD"/>
          </w:tcPr>
          <w:p>
            <w:r>
              <w:rPr>
                <w:sz w:val="18"/>
              </w:rPr>
              <w:t>Where is the exploratory analysis?</w:t>
            </w:r>
          </w:p>
        </w:tc>
        <w:tc>
          <w:tcPr>
            <w:tcW w:type="dxa" w:w="5669"/>
            <w:shd w:val="clear" w:color="auto" w:fill="F7FAFD"/>
          </w:tcPr>
          <w:p>
            <w:r>
              <w:rPr>
                <w:sz w:val="18"/>
              </w:rPr>
              <w:t>Root-level *.ipynb notebooks  -  see Section 7 tiering.</w:t>
            </w:r>
          </w:p>
        </w:tc>
      </w:tr>
      <w:tr>
        <w:tc>
          <w:tcPr>
            <w:tcW w:type="dxa" w:w="3685"/>
            <w:shd w:val="clear" w:color="auto" w:fill="FFFFFF"/>
          </w:tcPr>
          <w:p>
            <w:r>
              <w:rPr>
                <w:sz w:val="18"/>
              </w:rPr>
              <w:t>Where are shared utility functions?</w:t>
            </w:r>
          </w:p>
        </w:tc>
        <w:tc>
          <w:tcPr>
            <w:tcW w:type="dxa" w:w="5669"/>
            <w:shd w:val="clear" w:color="auto" w:fill="FFFFFF"/>
          </w:tcPr>
          <w:p>
            <w:r>
              <w:rPr>
                <w:sz w:val="18"/>
              </w:rPr>
              <w:t>Python_Scripts/ (mass.py, QuantBacktester.py, tsa.py, etc.).</w:t>
            </w:r>
          </w:p>
        </w:tc>
      </w:tr>
      <w:tr>
        <w:tc>
          <w:tcPr>
            <w:tcW w:type="dxa" w:w="3685"/>
            <w:shd w:val="clear" w:color="auto" w:fill="F7FAFD"/>
          </w:tcPr>
          <w:p>
            <w:r>
              <w:rPr>
                <w:sz w:val="18"/>
              </w:rPr>
              <w:t>Where are output/result files?</w:t>
            </w:r>
          </w:p>
        </w:tc>
        <w:tc>
          <w:tcPr>
            <w:tcW w:type="dxa" w:w="5669"/>
            <w:shd w:val="clear" w:color="auto" w:fill="F7FAFD"/>
          </w:tcPr>
          <w:p>
            <w:r>
              <w:rPr>
                <w:sz w:val="18"/>
              </w:rPr>
              <w:t>Project root: ticker_signals_cache.xlsx, strategy_comparison.xlsx, and per-strategy .xlsx files.</w:t>
            </w:r>
          </w:p>
        </w:tc>
      </w:tr>
      <w:tr>
        <w:tc>
          <w:tcPr>
            <w:tcW w:type="dxa" w:w="3685"/>
            <w:shd w:val="clear" w:color="auto" w:fill="FFFFFF"/>
          </w:tcPr>
          <w:p>
            <w:r>
              <w:rPr>
                <w:sz w:val="18"/>
              </w:rPr>
              <w:t>Where is the final written report?</w:t>
            </w:r>
          </w:p>
        </w:tc>
        <w:tc>
          <w:tcPr>
            <w:tcW w:type="dxa" w:w="5669"/>
            <w:shd w:val="clear" w:color="auto" w:fill="FFFFFF"/>
          </w:tcPr>
          <w:p>
            <w:r>
              <w:rPr>
                <w:sz w:val="18"/>
              </w:rPr>
              <w:t>Low_Vol_Strategy_Research_Report.docx (management-facing).</w:t>
            </w:r>
          </w:p>
        </w:tc>
      </w:tr>
      <w:tr>
        <w:tc>
          <w:tcPr>
            <w:tcW w:type="dxa" w:w="3685"/>
            <w:shd w:val="clear" w:color="auto" w:fill="F7FAFD"/>
          </w:tcPr>
          <w:p>
            <w:r>
              <w:rPr>
                <w:sz w:val="18"/>
              </w:rPr>
              <w:t>What evaluation metric was used?</w:t>
            </w:r>
          </w:p>
        </w:tc>
        <w:tc>
          <w:tcPr>
            <w:tcW w:type="dxa" w:w="5669"/>
            <w:shd w:val="clear" w:color="auto" w:fill="F7FAFD"/>
          </w:tcPr>
          <w:p>
            <w:r>
              <w:rPr>
                <w:sz w:val="18"/>
              </w:rPr>
              <w:t>CAGR, annualised vol, Sharpe, Sortino, max drawdown, Calmar  -  all vs. SCSB_0003 as primary benchmark.</w:t>
            </w:r>
          </w:p>
        </w:tc>
      </w:tr>
      <w:tr>
        <w:tc>
          <w:tcPr>
            <w:tcW w:type="dxa" w:w="3685"/>
            <w:shd w:val="clear" w:color="auto" w:fill="FFFFFF"/>
          </w:tcPr>
          <w:p>
            <w:r>
              <w:rPr>
                <w:sz w:val="18"/>
              </w:rPr>
              <w:t>What validation method?</w:t>
            </w:r>
          </w:p>
        </w:tc>
        <w:tc>
          <w:tcPr>
            <w:tcW w:type="dxa" w:w="5669"/>
            <w:shd w:val="clear" w:color="auto" w:fill="FFFFFF"/>
          </w:tcPr>
          <w:p>
            <w:r>
              <w:rPr>
                <w:sz w:val="18"/>
              </w:rPr>
              <w:t>Full-history backtest vs. 4 NSE benchmark indices; pipeline output checked against a small single-ticker reference file (no formal test suite).</w:t>
            </w:r>
          </w:p>
        </w:tc>
      </w:tr>
      <w:tr>
        <w:tc>
          <w:tcPr>
            <w:tcW w:type="dxa" w:w="3685"/>
            <w:shd w:val="clear" w:color="auto" w:fill="F7FAFD"/>
          </w:tcPr>
          <w:p>
            <w:r>
              <w:rPr>
                <w:sz w:val="18"/>
              </w:rPr>
              <w:t>How many approaches were compared?</w:t>
            </w:r>
          </w:p>
        </w:tc>
        <w:tc>
          <w:tcPr>
            <w:tcW w:type="dxa" w:w="5669"/>
            <w:shd w:val="clear" w:color="auto" w:fill="F7FAFD"/>
          </w:tcPr>
          <w:p>
            <w:r>
              <w:rPr>
                <w:sz w:val="18"/>
              </w:rPr>
              <w:t>3 portfolio strategies (Fixed-10, Dynamic, Gap+Regime) x 2 weighting schemes where applicable, vs. 4 benchmarks.</w:t>
            </w:r>
          </w:p>
        </w:tc>
      </w:tr>
      <w:tr>
        <w:tc>
          <w:tcPr>
            <w:tcW w:type="dxa" w:w="3685"/>
            <w:shd w:val="clear" w:color="auto" w:fill="FFFFFF"/>
          </w:tcPr>
          <w:p>
            <w:r>
              <w:rPr>
                <w:sz w:val="18"/>
              </w:rPr>
              <w:t>Is there any known-broken/unverified component?</w:t>
            </w:r>
          </w:p>
        </w:tc>
        <w:tc>
          <w:tcPr>
            <w:tcW w:type="dxa" w:w="5669"/>
            <w:shd w:val="clear" w:color="auto" w:fill="FFFFFF"/>
          </w:tcPr>
          <w:p>
            <w:r>
              <w:rPr>
                <w:sz w:val="18"/>
              </w:rPr>
              <w:t>Yes  -  see Section 5 (HAR-RS not found in repo) and Section 6.3 (universe snapshot mislabeling, correlation-figure inconsistency).</w:t>
            </w:r>
          </w:p>
        </w:tc>
      </w:tr>
      <w:tr>
        <w:tc>
          <w:tcPr>
            <w:tcW w:type="dxa" w:w="3685"/>
            <w:shd w:val="clear" w:color="auto" w:fill="F7FAFD"/>
          </w:tcPr>
          <w:p>
            <w:r>
              <w:rPr>
                <w:sz w:val="18"/>
              </w:rPr>
              <w:t>Which files must I read first?</w:t>
            </w:r>
          </w:p>
        </w:tc>
        <w:tc>
          <w:tcPr>
            <w:tcW w:type="dxa" w:w="5669"/>
            <w:shd w:val="clear" w:color="auto" w:fill="F7FAFD"/>
          </w:tcPr>
          <w:p>
            <w:r>
              <w:rPr>
                <w:sz w:val="18"/>
              </w:rPr>
              <w:t>See Tier 1, Section 7: Monthly_signal_analysis.ipynb -&gt; strategy_comparison.ipynb -&gt; dynamic_low_vol_selection.ipynb -&gt; Weekly_rebal_motifs.ipynb.</w:t>
            </w:r>
          </w:p>
        </w:tc>
      </w:tr>
      <w:tr>
        <w:tc>
          <w:tcPr>
            <w:tcW w:type="dxa" w:w="3685"/>
            <w:shd w:val="clear" w:color="auto" w:fill="FFFFFF"/>
          </w:tcPr>
          <w:p>
            <w:r>
              <w:rPr>
                <w:sz w:val="18"/>
              </w:rPr>
              <w:t>Which files can I skip?</w:t>
            </w:r>
          </w:p>
        </w:tc>
        <w:tc>
          <w:tcPr>
            <w:tcW w:type="dxa" w:w="5669"/>
            <w:shd w:val="clear" w:color="auto" w:fill="FFFFFF"/>
          </w:tcPr>
          <w:p>
            <w:r>
              <w:rPr>
                <w:sz w:val="18"/>
              </w:rPr>
              <w:t>See Tier 3, Section 7.</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