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84F45"/>
          <w:sz w:val="48"/>
        </w:rPr>
        <w:t>C</w:t>
      </w:r>
    </w:p>
    <w:p>
      <w:pPr>
        <w:spacing w:after="100"/>
        <w:jc w:val="center"/>
      </w:pPr>
      <w:r>
        <w:rPr>
          <w:rFonts w:ascii="Arial" w:hAnsi="Arial"/>
          <w:b/>
          <w:color w:val="184F45"/>
          <w:sz w:val="24"/>
        </w:rPr>
        <w:t>COMMERCELENS</w:t>
      </w:r>
    </w:p>
    <w:p>
      <w:pPr>
        <w:pStyle w:val="Title"/>
        <w:spacing w:before="660" w:after="200"/>
        <w:jc w:val="center"/>
      </w:pPr>
      <w:r>
        <w:t>Online Shopping</w:t>
        <w:br/>
        <w:t>Intelligence Dashboard</w:t>
      </w:r>
    </w:p>
    <w:p>
      <w:pPr>
        <w:pStyle w:val="Subtitle"/>
        <w:jc w:val="center"/>
      </w:pPr>
      <w:r>
        <w:t>Innovative Internal Test Project Report</w:t>
      </w:r>
    </w:p>
    <w:p>
      <w:pPr>
        <w:spacing w:before="560"/>
        <w:jc w:val="center"/>
      </w:pPr>
      <w:r>
        <w:rPr>
          <w:rFonts w:ascii="Arial" w:hAnsi="Arial"/>
          <w:b/>
          <w:color w:val="B58643"/>
          <w:sz w:val="26"/>
        </w:rPr>
        <w:t>Project Number 29</w:t>
      </w:r>
    </w:p>
    <w:p>
      <w:pPr>
        <w:jc w:val="center"/>
      </w:pPr>
      <w:r>
        <w:t>Prepared for the Innovative Internal Test (Innovative IT)</w:t>
      </w:r>
    </w:p>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96"/>
            <w:shd w:fill="184F45"/>
            <w:vAlign w:val="center"/>
            <w:tcMar>
              <w:top w:w="100" w:type="dxa"/>
              <w:start w:w="110" w:type="dxa"/>
              <w:bottom w:w="100" w:type="dxa"/>
              <w:end w:w="110" w:type="dxa"/>
            </w:tcMar>
          </w:tcPr>
          <w:p>
            <w:pPr>
              <w:spacing w:after="0"/>
              <w:jc w:val="left"/>
            </w:pPr>
            <w:r>
              <w:rPr>
                <w:rFonts w:ascii="Arial" w:hAnsi="Arial"/>
                <w:b/>
                <w:color w:val="FFFFFF"/>
                <w:sz w:val="17"/>
              </w:rPr>
              <w:t>Project details</w:t>
            </w:r>
          </w:p>
        </w:tc>
        <w:tc>
          <w:tcPr>
            <w:tcW w:type="dxa" w:w="5904"/>
            <w:shd w:fill="184F45"/>
            <w:vAlign w:val="center"/>
            <w:tcMar>
              <w:top w:w="100" w:type="dxa"/>
              <w:start w:w="110" w:type="dxa"/>
              <w:bottom w:w="100" w:type="dxa"/>
              <w:end w:w="110" w:type="dxa"/>
            </w:tcMar>
          </w:tcPr>
          <w:p>
            <w:pPr>
              <w:spacing w:after="0"/>
              <w:jc w:val="left"/>
            </w:pPr>
            <w:r>
              <w:rPr>
                <w:rFonts w:ascii="Arial" w:hAnsi="Arial"/>
                <w:b/>
                <w:color w:val="FFFFFF"/>
                <w:sz w:val="17"/>
              </w:rPr>
              <w:t>Information</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7"/>
              </w:rPr>
              <w:t>Project number</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7"/>
              </w:rPr>
              <w:t>29</w:t>
            </w:r>
          </w:p>
        </w:tc>
      </w:tr>
      <w:tr>
        <w:tc>
          <w:tcPr>
            <w:tcW w:type="dxa" w:w="3096"/>
            <w:vAlign w:val="center"/>
            <w:tcMar>
              <w:top w:w="90" w:type="dxa"/>
              <w:start w:w="110" w:type="dxa"/>
              <w:bottom w:w="90" w:type="dxa"/>
              <w:end w:w="110" w:type="dxa"/>
            </w:tcMar>
            <w:shd w:fill="F4F7F5"/>
          </w:tcPr>
          <w:p>
            <w:pPr>
              <w:spacing w:after="0" w:line="245" w:lineRule="auto"/>
            </w:pPr>
            <w:r>
              <w:rPr>
                <w:rFonts w:ascii="Arial" w:hAnsi="Arial"/>
                <w:color w:val="2C3B39"/>
                <w:sz w:val="17"/>
              </w:rPr>
              <w:t>Project title</w:t>
            </w:r>
          </w:p>
        </w:tc>
        <w:tc>
          <w:tcPr>
            <w:tcW w:type="dxa" w:w="5904"/>
            <w:vAlign w:val="center"/>
            <w:tcMar>
              <w:top w:w="90" w:type="dxa"/>
              <w:start w:w="110" w:type="dxa"/>
              <w:bottom w:w="90" w:type="dxa"/>
              <w:end w:w="110" w:type="dxa"/>
            </w:tcMar>
            <w:shd w:fill="F4F7F5"/>
          </w:tcPr>
          <w:p>
            <w:pPr>
              <w:spacing w:after="0" w:line="245" w:lineRule="auto"/>
            </w:pPr>
            <w:r>
              <w:rPr>
                <w:rFonts w:ascii="Arial" w:hAnsi="Arial"/>
                <w:color w:val="2C3B39"/>
                <w:sz w:val="17"/>
              </w:rPr>
              <w:t>CommerceLens: Online Shopping Intelligence Dashboard</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7"/>
              </w:rPr>
              <w:t>Assessment</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7"/>
              </w:rPr>
              <w:t>Innovative Internal Test (Innovative IT)</w:t>
            </w:r>
          </w:p>
        </w:tc>
      </w:tr>
      <w:tr>
        <w:tc>
          <w:tcPr>
            <w:tcW w:type="dxa" w:w="3096"/>
            <w:vAlign w:val="center"/>
            <w:tcMar>
              <w:top w:w="90" w:type="dxa"/>
              <w:start w:w="110" w:type="dxa"/>
              <w:bottom w:w="90" w:type="dxa"/>
              <w:end w:w="110" w:type="dxa"/>
            </w:tcMar>
            <w:shd w:fill="F4F7F5"/>
          </w:tcPr>
          <w:p>
            <w:pPr>
              <w:spacing w:after="0" w:line="245" w:lineRule="auto"/>
            </w:pPr>
            <w:r>
              <w:rPr>
                <w:rFonts w:ascii="Arial" w:hAnsi="Arial"/>
                <w:color w:val="2C3B39"/>
                <w:sz w:val="17"/>
              </w:rPr>
              <w:t>Application type</w:t>
            </w:r>
          </w:p>
        </w:tc>
        <w:tc>
          <w:tcPr>
            <w:tcW w:type="dxa" w:w="5904"/>
            <w:vAlign w:val="center"/>
            <w:tcMar>
              <w:top w:w="90" w:type="dxa"/>
              <w:start w:w="110" w:type="dxa"/>
              <w:bottom w:w="90" w:type="dxa"/>
              <w:end w:w="110" w:type="dxa"/>
            </w:tcMar>
            <w:shd w:fill="F4F7F5"/>
          </w:tcPr>
          <w:p>
            <w:pPr>
              <w:spacing w:after="0" w:line="245" w:lineRule="auto"/>
            </w:pPr>
            <w:r>
              <w:rPr>
                <w:rFonts w:ascii="Arial" w:hAnsi="Arial"/>
                <w:color w:val="2C3B39"/>
                <w:sz w:val="17"/>
              </w:rPr>
              <w:t>Browser-based descriptive analytics dashboard</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7"/>
              </w:rPr>
              <w:t>Analysis modules</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7"/>
              </w:rPr>
              <w:t>Sales and product trends; RFM customer groups; category basket analysis</w:t>
            </w:r>
          </w:p>
        </w:tc>
      </w:tr>
      <w:tr>
        <w:tc>
          <w:tcPr>
            <w:tcW w:type="dxa" w:w="3096"/>
            <w:vAlign w:val="center"/>
            <w:tcMar>
              <w:top w:w="90" w:type="dxa"/>
              <w:start w:w="110" w:type="dxa"/>
              <w:bottom w:w="90" w:type="dxa"/>
              <w:end w:w="110" w:type="dxa"/>
            </w:tcMar>
            <w:shd w:fill="F4F7F5"/>
          </w:tcPr>
          <w:p>
            <w:pPr>
              <w:spacing w:after="0" w:line="245" w:lineRule="auto"/>
            </w:pPr>
            <w:r>
              <w:rPr>
                <w:rFonts w:ascii="Arial" w:hAnsi="Arial"/>
                <w:color w:val="2C3B39"/>
                <w:sz w:val="17"/>
              </w:rPr>
              <w:t>Demonstration data</w:t>
            </w:r>
          </w:p>
        </w:tc>
        <w:tc>
          <w:tcPr>
            <w:tcW w:type="dxa" w:w="5904"/>
            <w:vAlign w:val="center"/>
            <w:tcMar>
              <w:top w:w="90" w:type="dxa"/>
              <w:start w:w="110" w:type="dxa"/>
              <w:bottom w:w="90" w:type="dxa"/>
              <w:end w:w="110" w:type="dxa"/>
            </w:tcMar>
            <w:shd w:fill="F4F7F5"/>
          </w:tcPr>
          <w:p>
            <w:pPr>
              <w:spacing w:after="0" w:line="245" w:lineRule="auto"/>
            </w:pPr>
            <w:r>
              <w:rPr>
                <w:rFonts w:ascii="Arial" w:hAnsi="Arial"/>
                <w:color w:val="2C3B39"/>
                <w:sz w:val="17"/>
              </w:rPr>
              <w:t>Generated synthetic online shopping transactions</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7"/>
              </w:rPr>
              <w:t>Technologies</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7"/>
              </w:rPr>
              <w:t>HTML, CSS, JavaScript, CSV, and Canvas</w:t>
            </w:r>
          </w:p>
        </w:tc>
      </w:tr>
    </w:tbl>
    <w:p>
      <w:pPr>
        <w:spacing w:after="20"/>
      </w:pPr>
    </w:p>
    <w:p>
      <w:pPr>
        <w:jc w:val="center"/>
      </w:pPr>
      <w:r>
        <w:rPr>
          <w:i/>
        </w:rPr>
        <w:t>Prepared using an illustrative synthetic transaction dataset</w:t>
      </w:r>
    </w:p>
    <w:p>
      <w:r>
        <w:br w:type="page"/>
      </w:r>
    </w:p>
    <w:p>
      <w:pPr>
        <w:pStyle w:val="Heading1"/>
      </w:pPr>
      <w:r>
        <w:t>Abstract</w:t>
      </w:r>
    </w:p>
    <w:p>
      <w:r>
        <w:t>CommerceLens is a responsive web application for exploring online shopping transaction data. It brings sales summaries, product performance, customer groups, order-level category pairings, and descriptive business observations into one browser-based workspace. The user can filter the analysis by date range and category, import a compatible CSV file, and export the filtered records.</w:t>
      </w:r>
    </w:p>
    <w:p>
      <w:r>
        <w:t>The project demonstrates the workflow using 4,661 generated item records representing 2,400 orders and 632 pseudonymous customer identifiers between 2025-10-23 and 2026-10-22. The sample produces $232,082.88 in net revenue after line discounts, an average order value of $96.70, and a 57.3% share of orders containing more than one category. These results describe only the generated sample and are not evidence about a real retailer.</w:t>
      </w:r>
    </w:p>
    <w:p>
      <w:r>
        <w:t>Customer groups use transparent rules based on recency, distinct order frequency, and monetary value. Basket analysis counts pairs of categories appearing in the same order. Both are descriptive methods: the segment thresholds are fixed, and category co-occurrence does not demonstrate that one item caused another purchase. The application calculates results locally in the browser and has no server-side account or persistent storage.</w:t>
      </w:r>
    </w:p>
    <w:p>
      <w:r>
        <w:t>The report documents the problem, related research, requirements, data structure, analysis methods, design, implementation, results, limitations, and possible extensions. The project is suitable as an academic prototype and would require additional validation, security controls, and production engineering before deployment for real business use.</w:t>
      </w:r>
    </w:p>
    <w:p>
      <w:r>
        <w:rPr>
          <w:i/>
        </w:rPr>
        <w:t>Keywords: e-commerce analytics, transaction data, RFM segmentation, basket analysis, business intelligence, CSV dashboard</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4F45"/>
            <w:vAlign w:val="center"/>
            <w:tcMar>
              <w:top w:w="100" w:type="dxa"/>
              <w:start w:w="110" w:type="dxa"/>
              <w:bottom w:w="100" w:type="dxa"/>
              <w:end w:w="110" w:type="dxa"/>
            </w:tcMar>
          </w:tcPr>
          <w:p>
            <w:pPr>
              <w:spacing w:after="0"/>
              <w:jc w:val="left"/>
            </w:pPr>
            <w:r>
              <w:rPr>
                <w:rFonts w:ascii="Arial" w:hAnsi="Arial"/>
                <w:b/>
                <w:color w:val="FFFFFF"/>
                <w:sz w:val="18"/>
              </w:rPr>
              <w:t>Section</w:t>
            </w:r>
          </w:p>
        </w:tc>
        <w:tc>
          <w:tcPr>
            <w:tcW w:type="dxa" w:w="6840"/>
            <w:shd w:fill="184F45"/>
            <w:vAlign w:val="center"/>
            <w:tcMar>
              <w:top w:w="100" w:type="dxa"/>
              <w:start w:w="110" w:type="dxa"/>
              <w:bottom w:w="100" w:type="dxa"/>
              <w:end w:w="110" w:type="dxa"/>
            </w:tcMar>
          </w:tcPr>
          <w:p>
            <w:pPr>
              <w:spacing w:after="0"/>
              <w:jc w:val="left"/>
            </w:pPr>
            <w:r>
              <w:rPr>
                <w:rFonts w:ascii="Arial" w:hAnsi="Arial"/>
                <w:b/>
                <w:color w:val="FFFFFF"/>
                <w:sz w:val="18"/>
              </w:rPr>
              <w:t>Coverage</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Front matter</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Project profile and abstract</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1</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Introduction and project objectives</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2</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Literature review</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3</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Requirements and feasibility</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4</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Dataset profile and preparation</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5</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Analytical methodology</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6</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System design</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7</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Implementation</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8</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Results and discussion</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9</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Evaluation, limitations, and responsible use</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10</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Conclusion and future work</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References</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Research and technical sources</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Appendix A</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CSV data dictionary</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Appendix B</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User guide and demonstration steps</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Appendix C</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Submission completion checklist</w:t>
            </w:r>
          </w:p>
        </w:tc>
      </w:tr>
    </w:tbl>
    <w:p>
      <w:pPr>
        <w:spacing w:after="20"/>
      </w:pPr>
    </w:p>
    <w:p>
      <w:r>
        <w:rPr>
          <w:i/>
        </w:rPr>
        <w:t>The report uses Word heading styles so the contents can be converted into an automatic table of contents in an institution-provided template.</w:t>
      </w:r>
    </w:p>
    <w:p>
      <w:r>
        <w:br w:type="page"/>
      </w:r>
    </w:p>
    <w:p>
      <w:pPr>
        <w:pStyle w:val="Heading1"/>
      </w:pPr>
      <w:r>
        <w:t>Chapter 1  Introduction</w:t>
      </w:r>
    </w:p>
    <w:p>
      <w:pPr>
        <w:pStyle w:val="Heading2"/>
      </w:pPr>
      <w:r>
        <w:t>1.1 Background</w:t>
      </w:r>
    </w:p>
    <w:p>
      <w:r>
        <w:t>Online retail systems record each purchase as one or more item lines connected to an order and a customer identifier. These records can answer practical questions about sales performance, but raw transaction rows are difficult to compare without aggregation. A manager or analyst may need to identify the strongest product categories, understand how sales channels differ, separate recent repeat buyers from less active customers, or see which categories are commonly present in the same order.</w:t>
      </w:r>
    </w:p>
    <w:p>
      <w:r>
        <w:t>CommerceLens presents these descriptive analyses in a single interface. The user selects a rolling period and a category, reads the summary measures, and navigates to product, customer, basket, or insight views. The project was selected from the provided project list as number 29, “Online Shopping Data Analysis.”</w:t>
      </w:r>
    </w:p>
    <w:p>
      <w:pPr>
        <w:pStyle w:val="Heading2"/>
      </w:pPr>
      <w:r>
        <w:t>1.2 Problem statement</w:t>
      </w:r>
    </w:p>
    <w:p>
      <w:r>
        <w:t>A transaction file alone does not provide an accessible view of product demand and customer purchasing patterns. Users may need to write repeated queries or construct several separate reports to answer related questions. The project addresses this usability problem by providing a compact browser-based dashboard that calculates consistent measures from item-level order records and explains how those measures are derived.</w:t>
      </w:r>
    </w:p>
    <w:p>
      <w:pPr>
        <w:pStyle w:val="Heading2"/>
      </w:pPr>
      <w:r>
        <w:t>1.3 Aim and objectives</w:t>
      </w:r>
    </w:p>
    <w:p>
      <w:r>
        <w:t>The aim is to design and implement an interactive analytics dashboard that makes online shopping transaction patterns easier to inspect and communicate.</w:t>
      </w:r>
    </w:p>
    <w:p>
      <w:pPr>
        <w:pStyle w:val="ListNumber"/>
      </w:pPr>
      <w:r>
        <w:t>Summarise net revenue, order count, customer count, units sold, average order value, and repeat-customer rate.</w:t>
      </w:r>
    </w:p>
    <w:p>
      <w:pPr>
        <w:pStyle w:val="ListNumber"/>
      </w:pPr>
      <w:r>
        <w:t>Compare product and category contribution and examine revenue by sales channel.</w:t>
      </w:r>
    </w:p>
    <w:p>
      <w:pPr>
        <w:pStyle w:val="ListNumber"/>
      </w:pPr>
      <w:r>
        <w:t>Create transparent RFM groups from customer recency, order frequency, and net spend.</w:t>
      </w:r>
    </w:p>
    <w:p>
      <w:pPr>
        <w:pStyle w:val="ListNumber"/>
      </w:pPr>
      <w:r>
        <w:t>Count category pairs that occur within the same order.</w:t>
      </w:r>
    </w:p>
    <w:p>
      <w:pPr>
        <w:pStyle w:val="ListNumber"/>
      </w:pPr>
      <w:r>
        <w:t>Generate concise descriptive observations from the active data selection.</w:t>
      </w:r>
    </w:p>
    <w:p>
      <w:pPr>
        <w:pStyle w:val="ListNumber"/>
      </w:pPr>
      <w:r>
        <w:t>Support local CSV import and filtered CSV export with clear input requirements.</w:t>
      </w:r>
    </w:p>
    <w:p>
      <w:pPr>
        <w:pStyle w:val="Heading2"/>
      </w:pPr>
      <w:r>
        <w:t>1.4 Scope</w:t>
      </w:r>
    </w:p>
    <w:p>
      <w:pPr>
        <w:pStyle w:val="ListBullet"/>
      </w:pPr>
      <w:r>
        <w:t>The prototype analyses item-level records for a single-currency dataset.</w:t>
      </w:r>
    </w:p>
    <w:p>
      <w:pPr>
        <w:pStyle w:val="ListBullet"/>
      </w:pPr>
      <w:r>
        <w:t>The interface runs in a modern browser and keeps imported records in memory for the current session.</w:t>
      </w:r>
    </w:p>
    <w:p>
      <w:pPr>
        <w:pStyle w:val="ListBullet"/>
      </w:pPr>
      <w:r>
        <w:t>The bundled sample data is synthetic and used only to demonstrate the calculations.</w:t>
      </w:r>
    </w:p>
    <w:p>
      <w:pPr>
        <w:pStyle w:val="ListBullet"/>
      </w:pPr>
      <w:r>
        <w:t>The scope excludes checkout, payments, inventory control, tax, shipping, refunds, cost of goods, identity management, forecasting, and server-side storage.</w:t>
      </w:r>
    </w:p>
    <w:p>
      <w:pPr>
        <w:pStyle w:val="Heading2"/>
      </w:pPr>
      <w:r>
        <w:t>1.5 Expected contribution</w:t>
      </w:r>
    </w:p>
    <w:p>
      <w:r>
        <w:t>The project combines several related descriptive views and makes the rules visible to a student or reviewer. The report, workbook, and application share one reproducible sample dataset, so the example outputs can be traced to the same generated records.</w:t>
      </w:r>
    </w:p>
    <w:p>
      <w:r>
        <w:br w:type="page"/>
      </w:r>
    </w:p>
    <w:p>
      <w:pPr>
        <w:pStyle w:val="Heading1"/>
      </w:pPr>
      <w:r>
        <w:t>Chapter 2  Literature Review</w:t>
      </w:r>
    </w:p>
    <w:p>
      <w:pPr>
        <w:pStyle w:val="Heading2"/>
      </w:pPr>
      <w:r>
        <w:t>2.1 Transaction analysis and association rules</w:t>
      </w:r>
    </w:p>
    <w:p>
      <w:r>
        <w:t>Agrawal, Imieliński, and Swami presented a method for mining association rules from customer transaction databases and demonstrated the method on retail sales data [1]. Association rules represent regularities among items that appear in transactions. Formal rule mining commonly evaluates measures such as support and confidence, with lift often used to compare an observed co-occurrence against independent occurrence.</w:t>
      </w:r>
    </w:p>
    <w:p>
      <w:r>
        <w:t>CommerceLens uses a narrower first implementation: it counts distinct category pairs within the same order and reports their order share. This is easier to explain in an introductory dashboard, but it does not calculate a directional rule, confidence, or lift. The result should therefore be treated as a merchandising lead to investigate rather than a formal association rule.</w:t>
      </w:r>
    </w:p>
    <w:p>
      <w:pPr>
        <w:pStyle w:val="Heading2"/>
      </w:pPr>
      <w:r>
        <w:t>2.2 RFM and customer-base analysis</w:t>
      </w:r>
    </w:p>
    <w:p>
      <w:r>
        <w:t>Recency, frequency, and monetary value are familiar summaries of a customer’s transaction history. Fader, Hardie, and Lee connected the RFM paradigm with customer lifetime value and presented a formal probabilistic model for customer-base analysis [2]. Their work distinguishes descriptive purchase-history measures from modelling future customer value.</w:t>
      </w:r>
    </w:p>
    <w:p>
      <w:r>
        <w:t>CommerceLens adopts the three RFM dimensions as descriptive features but assigns segments using fixed, interpretable thresholds. It does not estimate probability of purchase, lifetime value, or customer churn. This distinction keeps the prototype explainable and avoids implying predictive accuracy that has not been measured.</w:t>
      </w:r>
    </w:p>
    <w:p>
      <w:pPr>
        <w:pStyle w:val="Heading2"/>
      </w:pPr>
      <w:r>
        <w:t>2.3 Design choice and gap addressed</w:t>
      </w:r>
    </w:p>
    <w:p>
      <w:r>
        <w:t>The reviewed methods show why transaction histories can support customer grouping and item-association analysis. A student project still benefits from presenting those methods in a clear, inspectable workflow. CommerceLens addresses that practical gap by keeping its calculations visible in the project guide, supporting CSV input, and showing the limitations alongside the results.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shd w:fill="184F45"/>
            <w:vAlign w:val="center"/>
            <w:tcMar>
              <w:top w:w="100" w:type="dxa"/>
              <w:start w:w="110" w:type="dxa"/>
              <w:bottom w:w="100" w:type="dxa"/>
              <w:end w:w="110" w:type="dxa"/>
            </w:tcMar>
          </w:tcPr>
          <w:p>
            <w:pPr>
              <w:spacing w:after="0"/>
              <w:jc w:val="left"/>
            </w:pPr>
            <w:r>
              <w:rPr>
                <w:rFonts w:ascii="Arial" w:hAnsi="Arial"/>
                <w:b/>
                <w:color w:val="FFFFFF"/>
                <w:sz w:val="17"/>
              </w:rPr>
              <w:t>Prior method</w:t>
            </w:r>
          </w:p>
        </w:tc>
        <w:tc>
          <w:tcPr>
            <w:tcW w:type="dxa" w:w="3312"/>
            <w:shd w:fill="184F45"/>
            <w:vAlign w:val="center"/>
            <w:tcMar>
              <w:top w:w="100" w:type="dxa"/>
              <w:start w:w="110" w:type="dxa"/>
              <w:bottom w:w="100" w:type="dxa"/>
              <w:end w:w="110" w:type="dxa"/>
            </w:tcMar>
          </w:tcPr>
          <w:p>
            <w:pPr>
              <w:spacing w:after="0"/>
              <w:jc w:val="left"/>
            </w:pPr>
            <w:r>
              <w:rPr>
                <w:rFonts w:ascii="Arial" w:hAnsi="Arial"/>
                <w:b/>
                <w:color w:val="FFFFFF"/>
                <w:sz w:val="17"/>
              </w:rPr>
              <w:t>Project use</w:t>
            </w:r>
          </w:p>
        </w:tc>
        <w:tc>
          <w:tcPr>
            <w:tcW w:type="dxa" w:w="3168"/>
            <w:shd w:fill="184F45"/>
            <w:vAlign w:val="center"/>
            <w:tcMar>
              <w:top w:w="100" w:type="dxa"/>
              <w:start w:w="110" w:type="dxa"/>
              <w:bottom w:w="100" w:type="dxa"/>
              <w:end w:w="110" w:type="dxa"/>
            </w:tcMar>
          </w:tcPr>
          <w:p>
            <w:pPr>
              <w:spacing w:after="0"/>
              <w:jc w:val="left"/>
            </w:pPr>
            <w:r>
              <w:rPr>
                <w:rFonts w:ascii="Arial" w:hAnsi="Arial"/>
                <w:b/>
                <w:color w:val="FFFFFF"/>
                <w:sz w:val="17"/>
              </w:rPr>
              <w:t>Boundary</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Association-rule mining [1]</w:t>
            </w:r>
          </w:p>
        </w:tc>
        <w:tc>
          <w:tcPr>
            <w:tcW w:type="dxa" w:w="3312"/>
            <w:vAlign w:val="center"/>
            <w:tcMar>
              <w:top w:w="90" w:type="dxa"/>
              <w:start w:w="110" w:type="dxa"/>
              <w:bottom w:w="90" w:type="dxa"/>
              <w:end w:w="110" w:type="dxa"/>
            </w:tcMar>
          </w:tcPr>
          <w:p>
            <w:pPr>
              <w:spacing w:after="0" w:line="245" w:lineRule="auto"/>
            </w:pPr>
            <w:r>
              <w:rPr>
                <w:rFonts w:ascii="Arial" w:hAnsi="Arial"/>
                <w:color w:val="2C3B39"/>
                <w:sz w:val="17"/>
              </w:rPr>
              <w:t>Order-level category pair counts</w:t>
            </w:r>
          </w:p>
        </w:tc>
        <w:tc>
          <w:tcPr>
            <w:tcW w:type="dxa" w:w="3168"/>
            <w:vAlign w:val="center"/>
            <w:tcMar>
              <w:top w:w="90" w:type="dxa"/>
              <w:start w:w="110" w:type="dxa"/>
              <w:bottom w:w="90" w:type="dxa"/>
              <w:end w:w="110" w:type="dxa"/>
            </w:tcMar>
          </w:tcPr>
          <w:p>
            <w:pPr>
              <w:spacing w:after="0" w:line="245" w:lineRule="auto"/>
            </w:pPr>
            <w:r>
              <w:rPr>
                <w:rFonts w:ascii="Arial" w:hAnsi="Arial"/>
                <w:color w:val="2C3B39"/>
                <w:sz w:val="17"/>
              </w:rPr>
              <w:t>No support-confidence-lift rule mining</w:t>
            </w:r>
          </w:p>
        </w:tc>
      </w:tr>
      <w:tr>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RFM customer analysis [2]</w:t>
            </w:r>
          </w:p>
        </w:tc>
        <w:tc>
          <w:tcPr>
            <w:tcW w:type="dxa" w:w="3312"/>
            <w:vAlign w:val="center"/>
            <w:tcMar>
              <w:top w:w="90" w:type="dxa"/>
              <w:start w:w="110" w:type="dxa"/>
              <w:bottom w:w="90" w:type="dxa"/>
              <w:end w:w="110" w:type="dxa"/>
            </w:tcMar>
            <w:shd w:fill="F4F7F5"/>
          </w:tcPr>
          <w:p>
            <w:pPr>
              <w:spacing w:after="0" w:line="245" w:lineRule="auto"/>
            </w:pPr>
            <w:r>
              <w:rPr>
                <w:rFonts w:ascii="Arial" w:hAnsi="Arial"/>
                <w:color w:val="2C3B39"/>
                <w:sz w:val="17"/>
              </w:rPr>
              <w:t>Fixed recency, frequency, and value thresholds</w:t>
            </w:r>
          </w:p>
        </w:tc>
        <w:tc>
          <w:tcPr>
            <w:tcW w:type="dxa" w:w="3168"/>
            <w:vAlign w:val="center"/>
            <w:tcMar>
              <w:top w:w="90" w:type="dxa"/>
              <w:start w:w="110" w:type="dxa"/>
              <w:bottom w:w="90" w:type="dxa"/>
              <w:end w:w="110" w:type="dxa"/>
            </w:tcMar>
            <w:shd w:fill="F4F7F5"/>
          </w:tcPr>
          <w:p>
            <w:pPr>
              <w:spacing w:after="0" w:line="245" w:lineRule="auto"/>
            </w:pPr>
            <w:r>
              <w:rPr>
                <w:rFonts w:ascii="Arial" w:hAnsi="Arial"/>
                <w:color w:val="2C3B39"/>
                <w:sz w:val="17"/>
              </w:rPr>
              <w:t>Descriptive groups; no CLV or churn prediction</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Interactive dashboards</w:t>
            </w:r>
          </w:p>
        </w:tc>
        <w:tc>
          <w:tcPr>
            <w:tcW w:type="dxa" w:w="3312"/>
            <w:vAlign w:val="center"/>
            <w:tcMar>
              <w:top w:w="90" w:type="dxa"/>
              <w:start w:w="110" w:type="dxa"/>
              <w:bottom w:w="90" w:type="dxa"/>
              <w:end w:w="110" w:type="dxa"/>
            </w:tcMar>
          </w:tcPr>
          <w:p>
            <w:pPr>
              <w:spacing w:after="0" w:line="245" w:lineRule="auto"/>
            </w:pPr>
            <w:r>
              <w:rPr>
                <w:rFonts w:ascii="Arial" w:hAnsi="Arial"/>
                <w:color w:val="2C3B39"/>
                <w:sz w:val="17"/>
              </w:rPr>
              <w:t>Single-page analytical workspace</w:t>
            </w:r>
          </w:p>
        </w:tc>
        <w:tc>
          <w:tcPr>
            <w:tcW w:type="dxa" w:w="3168"/>
            <w:vAlign w:val="center"/>
            <w:tcMar>
              <w:top w:w="90" w:type="dxa"/>
              <w:start w:w="110" w:type="dxa"/>
              <w:bottom w:w="90" w:type="dxa"/>
              <w:end w:w="110" w:type="dxa"/>
            </w:tcMar>
          </w:tcPr>
          <w:p>
            <w:pPr>
              <w:spacing w:after="0" w:line="245" w:lineRule="auto"/>
            </w:pPr>
            <w:r>
              <w:rPr>
                <w:rFonts w:ascii="Arial" w:hAnsi="Arial"/>
                <w:color w:val="2C3B39"/>
                <w:sz w:val="17"/>
              </w:rPr>
              <w:t>No server, user accounts, or persistent dataset</w:t>
            </w:r>
          </w:p>
        </w:tc>
      </w:tr>
    </w:tbl>
    <w:p>
      <w:pPr>
        <w:spacing w:after="20"/>
      </w:pPr>
    </w:p>
    <w:p>
      <w:r>
        <w:br w:type="page"/>
      </w:r>
    </w:p>
    <w:p>
      <w:pPr>
        <w:pStyle w:val="Heading1"/>
      </w:pPr>
      <w:r>
        <w:t>Chapter 3  Requirements and Feasibility</w:t>
      </w:r>
    </w:p>
    <w:p>
      <w:pPr>
        <w:pStyle w:val="Heading2"/>
      </w:pPr>
      <w:r>
        <w:t>3.1 Intended users</w:t>
      </w:r>
    </w:p>
    <w:p>
      <w:r>
        <w:t>The intended users are students, instructors, or analysts reviewing a small or medium transaction extract. The interface assumes that a user can select a CSV file and interpret common sales measures; its labels and method notes explain the project-specific calculations.</w:t>
      </w:r>
    </w:p>
    <w:p>
      <w:pPr>
        <w:pStyle w:val="Heading2"/>
      </w:pPr>
      <w:r>
        <w:t>3.2 Functional requirements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893"/>
            <w:shd w:fill="184F45"/>
            <w:vAlign w:val="center"/>
            <w:tcMar>
              <w:top w:w="100" w:type="dxa"/>
              <w:start w:w="110" w:type="dxa"/>
              <w:bottom w:w="100" w:type="dxa"/>
              <w:end w:w="110" w:type="dxa"/>
            </w:tcMar>
          </w:tcPr>
          <w:p>
            <w:pPr>
              <w:spacing w:after="0"/>
              <w:jc w:val="left"/>
            </w:pPr>
            <w:r>
              <w:rPr>
                <w:rFonts w:ascii="Arial" w:hAnsi="Arial"/>
                <w:b/>
                <w:color w:val="FFFFFF"/>
                <w:sz w:val="16"/>
              </w:rPr>
              <w:t>ID</w:t>
            </w:r>
          </w:p>
        </w:tc>
        <w:tc>
          <w:tcPr>
            <w:tcW w:type="dxa" w:w="3672"/>
            <w:shd w:fill="184F45"/>
            <w:vAlign w:val="center"/>
            <w:tcMar>
              <w:top w:w="100" w:type="dxa"/>
              <w:start w:w="110" w:type="dxa"/>
              <w:bottom w:w="100" w:type="dxa"/>
              <w:end w:w="110" w:type="dxa"/>
            </w:tcMar>
          </w:tcPr>
          <w:p>
            <w:pPr>
              <w:spacing w:after="0"/>
              <w:jc w:val="left"/>
            </w:pPr>
            <w:r>
              <w:rPr>
                <w:rFonts w:ascii="Arial" w:hAnsi="Arial"/>
                <w:b/>
                <w:color w:val="FFFFFF"/>
                <w:sz w:val="16"/>
              </w:rPr>
              <w:t>Requirement</w:t>
            </w:r>
          </w:p>
        </w:tc>
        <w:tc>
          <w:tcPr>
            <w:tcW w:type="dxa" w:w="4536"/>
            <w:shd w:fill="184F45"/>
            <w:vAlign w:val="center"/>
            <w:tcMar>
              <w:top w:w="100" w:type="dxa"/>
              <w:start w:w="110" w:type="dxa"/>
              <w:bottom w:w="100" w:type="dxa"/>
              <w:end w:w="110" w:type="dxa"/>
            </w:tcMar>
          </w:tcPr>
          <w:p>
            <w:pPr>
              <w:spacing w:after="0"/>
              <w:jc w:val="left"/>
            </w:pPr>
            <w:r>
              <w:rPr>
                <w:rFonts w:ascii="Arial" w:hAnsi="Arial"/>
                <w:b/>
                <w:color w:val="FFFFFF"/>
                <w:sz w:val="16"/>
              </w:rPr>
              <w:t>Application response</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FR-01</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Show headline sales and customer measures</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Revenue, orders, customers, and average order value update from the selected records</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FR-02</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Filter by date range and category</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All analysis views use the active rolling date and category selection</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FR-03</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Compare product performance</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Sortable product table ranks items by revenue, units, or orders</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FR-04</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Group customer history</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Customer view calculates RFM measures and assigns a documented segment</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FR-05</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Review basket patterns</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Basket view ranks category pairs by shared order count</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FR-06</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Import a dataset</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CSV header checks identify missing required columns before loading</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FR-07</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Export selected records</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The active filtered item lines download as a CSV file</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FR-08</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Present business observations</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Insights are regenerated from the current records and selection</w:t>
            </w:r>
          </w:p>
        </w:tc>
      </w:tr>
    </w:tbl>
    <w:p>
      <w:pPr>
        <w:spacing w:after="20"/>
      </w:pPr>
    </w:p>
    <w:p>
      <w:pPr>
        <w:pStyle w:val="Heading2"/>
      </w:pPr>
      <w:r>
        <w:t>3.3 Non-functional requirements</w:t>
      </w:r>
    </w:p>
    <w:p>
      <w:pPr>
        <w:pStyle w:val="ListBullet"/>
      </w:pPr>
      <w:r>
        <w:t>Responsive layout that remains usable on desktop and mobile widths.</w:t>
      </w:r>
    </w:p>
    <w:p>
      <w:pPr>
        <w:pStyle w:val="ListBullet"/>
      </w:pPr>
      <w:r>
        <w:t>Readable labels, consistent currency formatting, and visible illustrative-data disclosure.</w:t>
      </w:r>
    </w:p>
    <w:p>
      <w:pPr>
        <w:pStyle w:val="ListBullet"/>
      </w:pPr>
      <w:r>
        <w:t>No server-side transfer of imported CSV data in the prototype.</w:t>
      </w:r>
    </w:p>
    <w:p>
      <w:pPr>
        <w:pStyle w:val="ListBullet"/>
      </w:pPr>
      <w:r>
        <w:t>Simple static hosting with no build step or application installation.</w:t>
      </w:r>
    </w:p>
    <w:p>
      <w:pPr>
        <w:pStyle w:val="ListBullet"/>
      </w:pPr>
      <w:r>
        <w:t>Graceful messaging for an empty selection or an incompatible CSV header.</w:t>
      </w:r>
    </w:p>
    <w:p>
      <w:pPr>
        <w:pStyle w:val="Heading2"/>
      </w:pPr>
      <w:r>
        <w:t>3.4 Feasibility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184F45"/>
            <w:vAlign w:val="center"/>
            <w:tcMar>
              <w:top w:w="100" w:type="dxa"/>
              <w:start w:w="110" w:type="dxa"/>
              <w:bottom w:w="100" w:type="dxa"/>
              <w:end w:w="110" w:type="dxa"/>
            </w:tcMar>
          </w:tcPr>
          <w:p>
            <w:pPr>
              <w:spacing w:after="0"/>
              <w:jc w:val="left"/>
            </w:pPr>
            <w:r>
              <w:rPr>
                <w:rFonts w:ascii="Arial" w:hAnsi="Arial"/>
                <w:b/>
                <w:color w:val="FFFFFF"/>
                <w:sz w:val="17"/>
              </w:rPr>
              <w:t>Dimension</w:t>
            </w:r>
          </w:p>
        </w:tc>
        <w:tc>
          <w:tcPr>
            <w:tcW w:type="dxa" w:w="7272"/>
            <w:shd w:fill="184F45"/>
            <w:vAlign w:val="center"/>
            <w:tcMar>
              <w:top w:w="100" w:type="dxa"/>
              <w:start w:w="110" w:type="dxa"/>
              <w:bottom w:w="100" w:type="dxa"/>
              <w:end w:w="110" w:type="dxa"/>
            </w:tcMar>
          </w:tcPr>
          <w:p>
            <w:pPr>
              <w:spacing w:after="0"/>
              <w:jc w:val="left"/>
            </w:pPr>
            <w:r>
              <w:rPr>
                <w:rFonts w:ascii="Arial" w:hAnsi="Arial"/>
                <w:b/>
                <w:color w:val="FFFFFF"/>
                <w:sz w:val="17"/>
              </w:rPr>
              <w:t>Assessment</w:t>
            </w:r>
          </w:p>
        </w:tc>
      </w:tr>
      <w:tr>
        <w:tc>
          <w:tcPr>
            <w:tcW w:type="dxa" w:w="1800"/>
            <w:vAlign w:val="center"/>
            <w:tcMar>
              <w:top w:w="90" w:type="dxa"/>
              <w:start w:w="110" w:type="dxa"/>
              <w:bottom w:w="90" w:type="dxa"/>
              <w:end w:w="110" w:type="dxa"/>
            </w:tcMar>
          </w:tcPr>
          <w:p>
            <w:pPr>
              <w:spacing w:after="0" w:line="245" w:lineRule="auto"/>
            </w:pPr>
            <w:r>
              <w:rPr>
                <w:rFonts w:ascii="Arial" w:hAnsi="Arial"/>
                <w:color w:val="2C3B39"/>
                <w:sz w:val="17"/>
              </w:rPr>
              <w:t>Technical</w:t>
            </w:r>
          </w:p>
        </w:tc>
        <w:tc>
          <w:tcPr>
            <w:tcW w:type="dxa" w:w="7272"/>
            <w:vAlign w:val="center"/>
            <w:tcMar>
              <w:top w:w="90" w:type="dxa"/>
              <w:start w:w="110" w:type="dxa"/>
              <w:bottom w:w="90" w:type="dxa"/>
              <w:end w:w="110" w:type="dxa"/>
            </w:tcMar>
          </w:tcPr>
          <w:p>
            <w:pPr>
              <w:spacing w:after="0" w:line="245" w:lineRule="auto"/>
            </w:pPr>
            <w:r>
              <w:rPr>
                <w:rFonts w:ascii="Arial" w:hAnsi="Arial"/>
                <w:color w:val="2C3B39"/>
                <w:sz w:val="17"/>
              </w:rPr>
              <w:t>HTML, CSS, and browser JavaScript are sufficient for the prototype’s current data size and calculations.</w:t>
            </w:r>
          </w:p>
        </w:tc>
      </w:tr>
      <w:tr>
        <w:tc>
          <w:tcPr>
            <w:tcW w:type="dxa" w:w="1800"/>
            <w:vAlign w:val="center"/>
            <w:tcMar>
              <w:top w:w="90" w:type="dxa"/>
              <w:start w:w="110" w:type="dxa"/>
              <w:bottom w:w="90" w:type="dxa"/>
              <w:end w:w="110" w:type="dxa"/>
            </w:tcMar>
            <w:shd w:fill="F4F7F5"/>
          </w:tcPr>
          <w:p>
            <w:pPr>
              <w:spacing w:after="0" w:line="245" w:lineRule="auto"/>
            </w:pPr>
            <w:r>
              <w:rPr>
                <w:rFonts w:ascii="Arial" w:hAnsi="Arial"/>
                <w:color w:val="2C3B39"/>
                <w:sz w:val="17"/>
              </w:rPr>
              <w:t>Operational</w:t>
            </w:r>
          </w:p>
        </w:tc>
        <w:tc>
          <w:tcPr>
            <w:tcW w:type="dxa" w:w="7272"/>
            <w:vAlign w:val="center"/>
            <w:tcMar>
              <w:top w:w="90" w:type="dxa"/>
              <w:start w:w="110" w:type="dxa"/>
              <w:bottom w:w="90" w:type="dxa"/>
              <w:end w:w="110" w:type="dxa"/>
            </w:tcMar>
            <w:shd w:fill="F4F7F5"/>
          </w:tcPr>
          <w:p>
            <w:pPr>
              <w:spacing w:after="0" w:line="245" w:lineRule="auto"/>
            </w:pPr>
            <w:r>
              <w:rPr>
                <w:rFonts w:ascii="Arial" w:hAnsi="Arial"/>
                <w:color w:val="2C3B39"/>
                <w:sz w:val="17"/>
              </w:rPr>
              <w:t>A static file is straightforward to open and demonstrate; the user needs a modern browser and a compatible CSV.</w:t>
            </w:r>
          </w:p>
        </w:tc>
      </w:tr>
      <w:tr>
        <w:tc>
          <w:tcPr>
            <w:tcW w:type="dxa" w:w="1800"/>
            <w:vAlign w:val="center"/>
            <w:tcMar>
              <w:top w:w="90" w:type="dxa"/>
              <w:start w:w="110" w:type="dxa"/>
              <w:bottom w:w="90" w:type="dxa"/>
              <w:end w:w="110" w:type="dxa"/>
            </w:tcMar>
          </w:tcPr>
          <w:p>
            <w:pPr>
              <w:spacing w:after="0" w:line="245" w:lineRule="auto"/>
            </w:pPr>
            <w:r>
              <w:rPr>
                <w:rFonts w:ascii="Arial" w:hAnsi="Arial"/>
                <w:color w:val="2C3B39"/>
                <w:sz w:val="17"/>
              </w:rPr>
              <w:t>Economic</w:t>
            </w:r>
          </w:p>
        </w:tc>
        <w:tc>
          <w:tcPr>
            <w:tcW w:type="dxa" w:w="7272"/>
            <w:vAlign w:val="center"/>
            <w:tcMar>
              <w:top w:w="90" w:type="dxa"/>
              <w:start w:w="110" w:type="dxa"/>
              <w:bottom w:w="90" w:type="dxa"/>
              <w:end w:w="110" w:type="dxa"/>
            </w:tcMar>
          </w:tcPr>
          <w:p>
            <w:pPr>
              <w:spacing w:after="0" w:line="245" w:lineRule="auto"/>
            </w:pPr>
            <w:r>
              <w:rPr>
                <w:rFonts w:ascii="Arial" w:hAnsi="Arial"/>
                <w:color w:val="2C3B39"/>
                <w:sz w:val="17"/>
              </w:rPr>
              <w:t>The prototype has no paid runtime dependency or required server. Hosting, data storage, and support costs are outside scope.</w:t>
            </w:r>
          </w:p>
        </w:tc>
      </w:tr>
      <w:tr>
        <w:tc>
          <w:tcPr>
            <w:tcW w:type="dxa" w:w="1800"/>
            <w:vAlign w:val="center"/>
            <w:tcMar>
              <w:top w:w="90" w:type="dxa"/>
              <w:start w:w="110" w:type="dxa"/>
              <w:bottom w:w="90" w:type="dxa"/>
              <w:end w:w="110" w:type="dxa"/>
            </w:tcMar>
            <w:shd w:fill="F4F7F5"/>
          </w:tcPr>
          <w:p>
            <w:pPr>
              <w:spacing w:after="0" w:line="245" w:lineRule="auto"/>
            </w:pPr>
            <w:r>
              <w:rPr>
                <w:rFonts w:ascii="Arial" w:hAnsi="Arial"/>
                <w:color w:val="2C3B39"/>
                <w:sz w:val="17"/>
              </w:rPr>
              <w:t>Schedule</w:t>
            </w:r>
          </w:p>
        </w:tc>
        <w:tc>
          <w:tcPr>
            <w:tcW w:type="dxa" w:w="7272"/>
            <w:vAlign w:val="center"/>
            <w:tcMar>
              <w:top w:w="90" w:type="dxa"/>
              <w:start w:w="110" w:type="dxa"/>
              <w:bottom w:w="90" w:type="dxa"/>
              <w:end w:w="110" w:type="dxa"/>
            </w:tcMar>
            <w:shd w:fill="F4F7F5"/>
          </w:tcPr>
          <w:p>
            <w:pPr>
              <w:spacing w:after="0" w:line="245" w:lineRule="auto"/>
            </w:pPr>
            <w:r>
              <w:rPr>
                <w:rFonts w:ascii="Arial" w:hAnsi="Arial"/>
                <w:color w:val="2C3B39"/>
                <w:sz w:val="17"/>
              </w:rPr>
              <w:t>The project is delivered as a working interface plus report, presentation, sample data, and documentation.</w:t>
            </w:r>
          </w:p>
        </w:tc>
      </w:tr>
    </w:tbl>
    <w:p>
      <w:pPr>
        <w:spacing w:after="20"/>
      </w:pPr>
    </w:p>
    <w:p>
      <w:pPr>
        <w:pStyle w:val="Heading2"/>
      </w:pPr>
      <w:r>
        <w:t>3.5 Assumptions</w:t>
      </w:r>
    </w:p>
    <w:p>
      <w:r>
        <w:t>Each row is one product line, order identifiers are stable across lines in the same order, customer identifiers are consistent across a customer’s transactions, and unit prices use one currency. The sample dataset and its metrics are synthetic. These assumptions must be checked before analysing a real file.</w:t>
      </w:r>
    </w:p>
    <w:p>
      <w:r>
        <w:br w:type="page"/>
      </w:r>
    </w:p>
    <w:p>
      <w:pPr>
        <w:pStyle w:val="Heading1"/>
      </w:pPr>
      <w:r>
        <w:t>Chapter 4  Dataset Profile and Preparation</w:t>
      </w:r>
    </w:p>
    <w:p>
      <w:pPr>
        <w:pStyle w:val="Heading2"/>
      </w:pPr>
      <w:r>
        <w:t>4.1 Dataset provenance</w:t>
      </w:r>
    </w:p>
    <w:p>
      <w:r>
        <w:t>The demonstration dataset was generated deterministically for this project; it was not collected from a real retailer. It contains 4,661 item lines, 2,400 order identifiers, 632 pseudonymous customer identifiers, and 5,393 units. Its date range is 2025-10-23 through 2026-10-22. The currency is illustrative USD.</w:t>
      </w:r>
    </w:p>
    <w:p>
      <w:r>
        <w:t>The generated sample contains five product categories, 25 named products, five regions, three sales channels, and four payment-method labels. Product, order, and customer fields are synthetic labels. The exact fields and their meanings are listed in Appendix A.</w:t>
      </w:r>
    </w:p>
    <w:p>
      <w:pPr>
        <w:pStyle w:val="Heading2"/>
      </w:pPr>
      <w:r>
        <w:t>4.2 Record grain</w:t>
      </w:r>
    </w:p>
    <w:p>
      <w:r>
        <w:t>The grain is one order-item line. An order containing three distinct categories appears as three rows that share one order_id. Order counts therefore use distinct order identifiers rather than counting rows. Customer counts use distinct customer identifiers. This grain supports both sales aggregation and order-level category co-occurrence.</w:t>
      </w:r>
    </w:p>
    <w:p>
      <w:pPr>
        <w:pStyle w:val="Heading2"/>
      </w:pPr>
      <w:r>
        <w:t>4.3 Preparation and validation rules</w:t>
      </w:r>
    </w:p>
    <w:p>
      <w:pPr>
        <w:pStyle w:val="ListNumber"/>
      </w:pPr>
      <w:r>
        <w:t>Read the CSV header row and normalise header names for matching.</w:t>
      </w:r>
    </w:p>
    <w:p>
      <w:pPr>
        <w:pStyle w:val="ListNumber"/>
      </w:pPr>
      <w:r>
        <w:t>Require date, order_id, customer_id, region, channel, category, product, quantity, and unit_price.</w:t>
      </w:r>
    </w:p>
    <w:p>
      <w:pPr>
        <w:pStyle w:val="ListNumber"/>
      </w:pPr>
      <w:r>
        <w:t>Treat discount_pct and payment_method as optional; a missing discount is interpreted as zero.</w:t>
      </w:r>
    </w:p>
    <w:p>
      <w:pPr>
        <w:pStyle w:val="ListNumber"/>
      </w:pPr>
      <w:r>
        <w:t>Convert quantity, unit_price, and discount_pct to numeric values and discard incomplete item rows.</w:t>
      </w:r>
    </w:p>
    <w:p>
      <w:pPr>
        <w:pStyle w:val="ListNumber"/>
      </w:pPr>
      <w:r>
        <w:t>Parse dates to calendar-day values and apply the rolling period filter.</w:t>
      </w:r>
    </w:p>
    <w:p>
      <w:pPr>
        <w:pStyle w:val="ListNumber"/>
      </w:pPr>
      <w:r>
        <w:t>Aggregate line revenue before computing order-, customer-, product-, category-, or channel-level measures.</w:t>
      </w:r>
    </w:p>
    <w:p>
      <w:pPr>
        <w:pStyle w:val="Heading2"/>
      </w:pPr>
      <w:r>
        <w:t>4.4 Data quality considerations</w:t>
      </w:r>
    </w:p>
    <w:p>
      <w:r>
        <w:t>The prototype performs basic field and numeric checks but does not deduplicate repeated lines, reconcile order totals, infer currency, map inconsistent category names, or detect every malformed date. A production workflow should show a detailed import-quality report and ask the analyst to resolve important anomalies before presenting results.</w:t>
      </w:r>
    </w:p>
    <w:p>
      <w:pPr>
        <w:pStyle w:val="Heading2"/>
      </w:pPr>
      <w:r>
        <w:t>4.5 Reproducibility</w:t>
      </w:r>
    </w:p>
    <w:p>
      <w:r>
        <w:t>The CSV and Excel workbook in the project package were generated using a fixed pseudo-random seed and an explicit as-of date of 22 October 2026. Re-running the project generator with the same code and runtime settings produces the same sample rows and analytical outputs. The web app can also use the bundled demonstration data directly.</w:t>
      </w:r>
    </w:p>
    <w:p>
      <w:r>
        <w:br w:type="page"/>
      </w:r>
    </w:p>
    <w:p>
      <w:pPr>
        <w:pStyle w:val="Heading1"/>
      </w:pPr>
      <w:r>
        <w:t>Chapter 5  Analytical Methodology</w:t>
      </w:r>
    </w:p>
    <w:p>
      <w:pPr>
        <w:pStyle w:val="Heading2"/>
      </w:pPr>
      <w:r>
        <w:t>5.1 Net revenue</w:t>
      </w:r>
    </w:p>
    <w:p>
      <w:r>
        <w:t>For an item line i, the project calculates net line revenue as:</w:t>
      </w:r>
    </w:p>
    <w:p>
      <w:pPr>
        <w:jc w:val="center"/>
      </w:pPr>
      <w:r>
        <w:rPr>
          <w:b/>
          <w:color w:val="184F45"/>
          <w:sz w:val="24"/>
        </w:rPr>
        <w:t>NetRevenueᵢ = Quantityᵢ × UnitPriceᵢ × (1 − DiscountPercentᵢ / 100)</w:t>
      </w:r>
    </w:p>
    <w:p>
      <w:r>
        <w:t>Net revenue is summed at the required level. Average order value is total selected net revenue divided by the number of distinct selected order identifiers. The measure excludes tax, delivery charges, refunds, and product costs, so it is not gross margin or accounting revenue.</w:t>
      </w:r>
    </w:p>
    <w:p>
      <w:pPr>
        <w:pStyle w:val="Heading2"/>
      </w:pPr>
      <w:r>
        <w:t>5.2 Trend and product measures</w:t>
      </w:r>
    </w:p>
    <w:p>
      <w:r>
        <w:t>The revenue trend groups filtered line revenue by calendar month for date ranges longer than 30 days, or into shorter rolling intervals for the last 30 days. Category contribution is category net revenue divided by total selected net revenue. Product units are the sum of quantities, while product order count is the distinct number of orders containing that product.</w:t>
      </w:r>
    </w:p>
    <w:p>
      <w:pPr>
        <w:pStyle w:val="Heading2"/>
      </w:pPr>
      <w:r>
        <w:t>5.3 RFM features and segmentation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184F45"/>
            <w:vAlign w:val="center"/>
            <w:tcMar>
              <w:top w:w="100" w:type="dxa"/>
              <w:start w:w="110" w:type="dxa"/>
              <w:bottom w:w="100" w:type="dxa"/>
              <w:end w:w="110" w:type="dxa"/>
            </w:tcMar>
          </w:tcPr>
          <w:p>
            <w:pPr>
              <w:spacing w:after="0"/>
              <w:jc w:val="left"/>
            </w:pPr>
            <w:r>
              <w:rPr>
                <w:rFonts w:ascii="Arial" w:hAnsi="Arial"/>
                <w:b/>
                <w:color w:val="FFFFFF"/>
                <w:sz w:val="17"/>
              </w:rPr>
              <w:t>Feature</w:t>
            </w:r>
          </w:p>
        </w:tc>
        <w:tc>
          <w:tcPr>
            <w:tcW w:type="dxa" w:w="4104"/>
            <w:shd w:fill="184F45"/>
            <w:vAlign w:val="center"/>
            <w:tcMar>
              <w:top w:w="100" w:type="dxa"/>
              <w:start w:w="110" w:type="dxa"/>
              <w:bottom w:w="100" w:type="dxa"/>
              <w:end w:w="110" w:type="dxa"/>
            </w:tcMar>
          </w:tcPr>
          <w:p>
            <w:pPr>
              <w:spacing w:after="0"/>
              <w:jc w:val="left"/>
            </w:pPr>
            <w:r>
              <w:rPr>
                <w:rFonts w:ascii="Arial" w:hAnsi="Arial"/>
                <w:b/>
                <w:color w:val="FFFFFF"/>
                <w:sz w:val="17"/>
              </w:rPr>
              <w:t>Project calculation</w:t>
            </w:r>
          </w:p>
        </w:tc>
        <w:tc>
          <w:tcPr>
            <w:tcW w:type="dxa" w:w="3384"/>
            <w:shd w:fill="184F45"/>
            <w:vAlign w:val="center"/>
            <w:tcMar>
              <w:top w:w="100" w:type="dxa"/>
              <w:start w:w="110" w:type="dxa"/>
              <w:bottom w:w="100" w:type="dxa"/>
              <w:end w:w="110" w:type="dxa"/>
            </w:tcMar>
          </w:tcPr>
          <w:p>
            <w:pPr>
              <w:spacing w:after="0"/>
              <w:jc w:val="left"/>
            </w:pPr>
            <w:r>
              <w:rPr>
                <w:rFonts w:ascii="Arial" w:hAnsi="Arial"/>
                <w:b/>
                <w:color w:val="FFFFFF"/>
                <w:sz w:val="17"/>
              </w:rPr>
              <w:t>Interpretation</w:t>
            </w:r>
          </w:p>
        </w:tc>
      </w:tr>
      <w:tr>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Recency</w:t>
            </w:r>
          </w:p>
        </w:tc>
        <w:tc>
          <w:tcPr>
            <w:tcW w:type="dxa" w:w="4104"/>
            <w:vAlign w:val="center"/>
            <w:tcMar>
              <w:top w:w="90" w:type="dxa"/>
              <w:start w:w="110" w:type="dxa"/>
              <w:bottom w:w="90" w:type="dxa"/>
              <w:end w:w="110" w:type="dxa"/>
            </w:tcMar>
          </w:tcPr>
          <w:p>
            <w:pPr>
              <w:spacing w:after="0" w:line="245" w:lineRule="auto"/>
            </w:pPr>
            <w:r>
              <w:rPr>
                <w:rFonts w:ascii="Arial" w:hAnsi="Arial"/>
                <w:color w:val="2C3B39"/>
                <w:sz w:val="17"/>
              </w:rPr>
              <w:t>Days from the as-of date to the customer’s latest purchase</w:t>
            </w:r>
          </w:p>
        </w:tc>
        <w:tc>
          <w:tcPr>
            <w:tcW w:type="dxa" w:w="3384"/>
            <w:vAlign w:val="center"/>
            <w:tcMar>
              <w:top w:w="90" w:type="dxa"/>
              <w:start w:w="110" w:type="dxa"/>
              <w:bottom w:w="90" w:type="dxa"/>
              <w:end w:w="110" w:type="dxa"/>
            </w:tcMar>
          </w:tcPr>
          <w:p>
            <w:pPr>
              <w:spacing w:after="0" w:line="245" w:lineRule="auto"/>
            </w:pPr>
            <w:r>
              <w:rPr>
                <w:rFonts w:ascii="Arial" w:hAnsi="Arial"/>
                <w:color w:val="2C3B39"/>
                <w:sz w:val="17"/>
              </w:rPr>
              <w:t>Lower values indicate a more recent observed purchase</w:t>
            </w:r>
          </w:p>
        </w:tc>
      </w:tr>
      <w:tr>
        <w:tc>
          <w:tcPr>
            <w:tcW w:type="dxa" w:w="1512"/>
            <w:vAlign w:val="center"/>
            <w:tcMar>
              <w:top w:w="90" w:type="dxa"/>
              <w:start w:w="110" w:type="dxa"/>
              <w:bottom w:w="90" w:type="dxa"/>
              <w:end w:w="110" w:type="dxa"/>
            </w:tcMar>
            <w:shd w:fill="F4F7F5"/>
          </w:tcPr>
          <w:p>
            <w:pPr>
              <w:spacing w:after="0" w:line="245" w:lineRule="auto"/>
            </w:pPr>
            <w:r>
              <w:rPr>
                <w:rFonts w:ascii="Arial" w:hAnsi="Arial"/>
                <w:color w:val="2C3B39"/>
                <w:sz w:val="17"/>
              </w:rPr>
              <w:t>Frequency</w:t>
            </w:r>
          </w:p>
        </w:tc>
        <w:tc>
          <w:tcPr>
            <w:tcW w:type="dxa" w:w="4104"/>
            <w:vAlign w:val="center"/>
            <w:tcMar>
              <w:top w:w="90" w:type="dxa"/>
              <w:start w:w="110" w:type="dxa"/>
              <w:bottom w:w="90" w:type="dxa"/>
              <w:end w:w="110" w:type="dxa"/>
            </w:tcMar>
            <w:shd w:fill="F4F7F5"/>
          </w:tcPr>
          <w:p>
            <w:pPr>
              <w:spacing w:after="0" w:line="245" w:lineRule="auto"/>
            </w:pPr>
            <w:r>
              <w:rPr>
                <w:rFonts w:ascii="Arial" w:hAnsi="Arial"/>
                <w:color w:val="2C3B39"/>
                <w:sz w:val="17"/>
              </w:rPr>
              <w:t>Distinct customer order identifiers in the selected records</w:t>
            </w:r>
          </w:p>
        </w:tc>
        <w:tc>
          <w:tcPr>
            <w:tcW w:type="dxa" w:w="3384"/>
            <w:vAlign w:val="center"/>
            <w:tcMar>
              <w:top w:w="90" w:type="dxa"/>
              <w:start w:w="110" w:type="dxa"/>
              <w:bottom w:w="90" w:type="dxa"/>
              <w:end w:w="110" w:type="dxa"/>
            </w:tcMar>
            <w:shd w:fill="F4F7F5"/>
          </w:tcPr>
          <w:p>
            <w:pPr>
              <w:spacing w:after="0" w:line="245" w:lineRule="auto"/>
            </w:pPr>
            <w:r>
              <w:rPr>
                <w:rFonts w:ascii="Arial" w:hAnsi="Arial"/>
                <w:color w:val="2C3B39"/>
                <w:sz w:val="17"/>
              </w:rPr>
              <w:t>Higher values indicate more orders in view</w:t>
            </w:r>
          </w:p>
        </w:tc>
      </w:tr>
      <w:tr>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Monetary value</w:t>
            </w:r>
          </w:p>
        </w:tc>
        <w:tc>
          <w:tcPr>
            <w:tcW w:type="dxa" w:w="4104"/>
            <w:vAlign w:val="center"/>
            <w:tcMar>
              <w:top w:w="90" w:type="dxa"/>
              <w:start w:w="110" w:type="dxa"/>
              <w:bottom w:w="90" w:type="dxa"/>
              <w:end w:w="110" w:type="dxa"/>
            </w:tcMar>
          </w:tcPr>
          <w:p>
            <w:pPr>
              <w:spacing w:after="0" w:line="245" w:lineRule="auto"/>
            </w:pPr>
            <w:r>
              <w:rPr>
                <w:rFonts w:ascii="Arial" w:hAnsi="Arial"/>
                <w:color w:val="2C3B39"/>
                <w:sz w:val="17"/>
              </w:rPr>
              <w:t>Sum of net item-line revenue for the customer</w:t>
            </w:r>
          </w:p>
        </w:tc>
        <w:tc>
          <w:tcPr>
            <w:tcW w:type="dxa" w:w="3384"/>
            <w:vAlign w:val="center"/>
            <w:tcMar>
              <w:top w:w="90" w:type="dxa"/>
              <w:start w:w="110" w:type="dxa"/>
              <w:bottom w:w="90" w:type="dxa"/>
              <w:end w:w="110" w:type="dxa"/>
            </w:tcMar>
          </w:tcPr>
          <w:p>
            <w:pPr>
              <w:spacing w:after="0" w:line="245" w:lineRule="auto"/>
            </w:pPr>
            <w:r>
              <w:rPr>
                <w:rFonts w:ascii="Arial" w:hAnsi="Arial"/>
                <w:color w:val="2C3B39"/>
                <w:sz w:val="17"/>
              </w:rPr>
              <w:t>Higher values indicate more recorded net spend</w:t>
            </w:r>
          </w:p>
        </w:tc>
      </w:tr>
    </w:tbl>
    <w:p>
      <w:pPr>
        <w:spacing w:after="20"/>
      </w:pPr>
    </w:p>
    <w:p>
      <w:r>
        <w:t>The customer groups are applied in priority order: Champions require at least four orders and recency of 60 days or less; Loyal requires at least three orders; At risk requires at least two orders and recency above 120 days; all remaining customers are New &amp; occasional. Because later rules operate only after earlier rules have been checked, the groups are mutually exclusive.</w:t>
      </w:r>
    </w:p>
    <w:p>
      <w:pPr>
        <w:pStyle w:val="Heading2"/>
      </w:pPr>
      <w:r>
        <w:t>5.4 Basket co-occurrence</w:t>
      </w:r>
    </w:p>
    <w:p>
      <w:r>
        <w:t>For each order, the method forms a set of distinct categories. Every unordered pair in that set increments its pair count once for the order. Pair share is pair count divided by the number of selected orders. An order with three categories contributes three category pairs. This method measures co-occurrence, not direction, influence, or incremental sales.</w:t>
      </w:r>
    </w:p>
    <w:p>
      <w:pPr>
        <w:pStyle w:val="Heading2"/>
      </w:pPr>
      <w:r>
        <w:t>5.5 Insight generation</w:t>
      </w:r>
    </w:p>
    <w:p>
      <w:r>
        <w:t>The insight page selects leading categories and channels from sorted aggregates, reports the number of customers in the Champions group, calculates the share of multi-category orders, and states average order value. Text describes each value and suggests an experiment to investigate. The application does not estimate statistical significance, expected lift, or causal effects.</w:t>
      </w:r>
    </w:p>
    <w:p>
      <w:r>
        <w:br w:type="page"/>
      </w:r>
    </w:p>
    <w:p>
      <w:pPr>
        <w:pStyle w:val="Heading1"/>
      </w:pPr>
      <w:r>
        <w:t>Chapter 6  System Design</w:t>
      </w:r>
    </w:p>
    <w:p>
      <w:pPr>
        <w:pStyle w:val="Heading2"/>
      </w:pPr>
      <w:r>
        <w:t>6.1 Architecture</w:t>
      </w:r>
    </w:p>
    <w:p>
      <w:r>
        <w:t>CommerceLens is a static, client-side application. The user opens the page in a browser, which holds the active rows in memory. The same browser process parses CSV input, calculates aggregates, and renders the interface. There is no application server, database, login, or external analytics service.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7"/>
              </w:rPr>
              <w:t>Stage</w:t>
            </w:r>
          </w:p>
        </w:tc>
        <w:tc>
          <w:tcPr>
            <w:tcW w:type="dxa" w:w="4608"/>
            <w:shd w:fill="184F45"/>
            <w:vAlign w:val="center"/>
            <w:tcMar>
              <w:top w:w="100" w:type="dxa"/>
              <w:start w:w="110" w:type="dxa"/>
              <w:bottom w:w="100" w:type="dxa"/>
              <w:end w:w="110" w:type="dxa"/>
            </w:tcMar>
          </w:tcPr>
          <w:p>
            <w:pPr>
              <w:spacing w:after="0"/>
              <w:jc w:val="left"/>
            </w:pPr>
            <w:r>
              <w:rPr>
                <w:rFonts w:ascii="Arial" w:hAnsi="Arial"/>
                <w:b/>
                <w:color w:val="FFFFFF"/>
                <w:sz w:val="17"/>
              </w:rPr>
              <w:t>Responsibility</w:t>
            </w:r>
          </w:p>
        </w:tc>
        <w:tc>
          <w:tcPr>
            <w:tcW w:type="dxa" w:w="2880"/>
            <w:shd w:fill="184F45"/>
            <w:vAlign w:val="center"/>
            <w:tcMar>
              <w:top w:w="100" w:type="dxa"/>
              <w:start w:w="110" w:type="dxa"/>
              <w:bottom w:w="100" w:type="dxa"/>
              <w:end w:w="110" w:type="dxa"/>
            </w:tcMar>
          </w:tcPr>
          <w:p>
            <w:pPr>
              <w:spacing w:after="0"/>
              <w:jc w:val="left"/>
            </w:pPr>
            <w:r>
              <w:rPr>
                <w:rFonts w:ascii="Arial" w:hAnsi="Arial"/>
                <w:b/>
                <w:color w:val="FFFFFF"/>
                <w:sz w:val="17"/>
              </w:rPr>
              <w:t>Output</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1. Input</w:t>
            </w:r>
          </w:p>
        </w:tc>
        <w:tc>
          <w:tcPr>
            <w:tcW w:type="dxa" w:w="4608"/>
            <w:vAlign w:val="center"/>
            <w:tcMar>
              <w:top w:w="90" w:type="dxa"/>
              <w:start w:w="110" w:type="dxa"/>
              <w:bottom w:w="90" w:type="dxa"/>
              <w:end w:w="110" w:type="dxa"/>
            </w:tcMar>
          </w:tcPr>
          <w:p>
            <w:pPr>
              <w:spacing w:after="0" w:line="245" w:lineRule="auto"/>
            </w:pPr>
            <w:r>
              <w:rPr>
                <w:rFonts w:ascii="Arial" w:hAnsi="Arial"/>
                <w:color w:val="2C3B39"/>
                <w:sz w:val="17"/>
              </w:rPr>
              <w:t>Bundled illustrative rows or user-selected CSV file</w:t>
            </w:r>
          </w:p>
        </w:tc>
        <w:tc>
          <w:tcPr>
            <w:tcW w:type="dxa" w:w="2880"/>
            <w:vAlign w:val="center"/>
            <w:tcMar>
              <w:top w:w="90" w:type="dxa"/>
              <w:start w:w="110" w:type="dxa"/>
              <w:bottom w:w="90" w:type="dxa"/>
              <w:end w:w="110" w:type="dxa"/>
            </w:tcMar>
          </w:tcPr>
          <w:p>
            <w:pPr>
              <w:spacing w:after="0" w:line="245" w:lineRule="auto"/>
            </w:pPr>
            <w:r>
              <w:rPr>
                <w:rFonts w:ascii="Arial" w:hAnsi="Arial"/>
                <w:color w:val="2C3B39"/>
                <w:sz w:val="17"/>
              </w:rPr>
              <w:t>Normalised item-line records</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2. Filter</w:t>
            </w:r>
          </w:p>
        </w:tc>
        <w:tc>
          <w:tcPr>
            <w:tcW w:type="dxa" w:w="4608"/>
            <w:vAlign w:val="center"/>
            <w:tcMar>
              <w:top w:w="90" w:type="dxa"/>
              <w:start w:w="110" w:type="dxa"/>
              <w:bottom w:w="90" w:type="dxa"/>
              <w:end w:w="110" w:type="dxa"/>
            </w:tcMar>
            <w:shd w:fill="F4F7F5"/>
          </w:tcPr>
          <w:p>
            <w:pPr>
              <w:spacing w:after="0" w:line="245" w:lineRule="auto"/>
            </w:pPr>
            <w:r>
              <w:rPr>
                <w:rFonts w:ascii="Arial" w:hAnsi="Arial"/>
                <w:color w:val="2C3B39"/>
                <w:sz w:val="17"/>
              </w:rPr>
              <w:t>Apply rolling date range and optional category</w:t>
            </w:r>
          </w:p>
        </w:tc>
        <w:tc>
          <w:tcPr>
            <w:tcW w:type="dxa" w:w="2880"/>
            <w:vAlign w:val="center"/>
            <w:tcMar>
              <w:top w:w="90" w:type="dxa"/>
              <w:start w:w="110" w:type="dxa"/>
              <w:bottom w:w="90" w:type="dxa"/>
              <w:end w:w="110" w:type="dxa"/>
            </w:tcMar>
            <w:shd w:fill="F4F7F5"/>
          </w:tcPr>
          <w:p>
            <w:pPr>
              <w:spacing w:after="0" w:line="245" w:lineRule="auto"/>
            </w:pPr>
            <w:r>
              <w:rPr>
                <w:rFonts w:ascii="Arial" w:hAnsi="Arial"/>
                <w:color w:val="2C3B39"/>
                <w:sz w:val="17"/>
              </w:rPr>
              <w:t>Selected item-line subset</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3. Analytics</w:t>
            </w:r>
          </w:p>
        </w:tc>
        <w:tc>
          <w:tcPr>
            <w:tcW w:type="dxa" w:w="4608"/>
            <w:vAlign w:val="center"/>
            <w:tcMar>
              <w:top w:w="90" w:type="dxa"/>
              <w:start w:w="110" w:type="dxa"/>
              <w:bottom w:w="90" w:type="dxa"/>
              <w:end w:w="110" w:type="dxa"/>
            </w:tcMar>
          </w:tcPr>
          <w:p>
            <w:pPr>
              <w:spacing w:after="0" w:line="245" w:lineRule="auto"/>
            </w:pPr>
            <w:r>
              <w:rPr>
                <w:rFonts w:ascii="Arial" w:hAnsi="Arial"/>
                <w:color w:val="2C3B39"/>
                <w:sz w:val="17"/>
              </w:rPr>
              <w:t>Aggregate revenue, orders, customers, products, RFM, and category pairs</w:t>
            </w:r>
          </w:p>
        </w:tc>
        <w:tc>
          <w:tcPr>
            <w:tcW w:type="dxa" w:w="2880"/>
            <w:vAlign w:val="center"/>
            <w:tcMar>
              <w:top w:w="90" w:type="dxa"/>
              <w:start w:w="110" w:type="dxa"/>
              <w:bottom w:w="90" w:type="dxa"/>
              <w:end w:w="110" w:type="dxa"/>
            </w:tcMar>
          </w:tcPr>
          <w:p>
            <w:pPr>
              <w:spacing w:after="0" w:line="245" w:lineRule="auto"/>
            </w:pPr>
            <w:r>
              <w:rPr>
                <w:rFonts w:ascii="Arial" w:hAnsi="Arial"/>
                <w:color w:val="2C3B39"/>
                <w:sz w:val="17"/>
              </w:rPr>
              <w:t>Descriptive result objects</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4. Presentation</w:t>
            </w:r>
          </w:p>
        </w:tc>
        <w:tc>
          <w:tcPr>
            <w:tcW w:type="dxa" w:w="4608"/>
            <w:vAlign w:val="center"/>
            <w:tcMar>
              <w:top w:w="90" w:type="dxa"/>
              <w:start w:w="110" w:type="dxa"/>
              <w:bottom w:w="90" w:type="dxa"/>
              <w:end w:w="110" w:type="dxa"/>
            </w:tcMar>
            <w:shd w:fill="F4F7F5"/>
          </w:tcPr>
          <w:p>
            <w:pPr>
              <w:spacing w:after="0" w:line="245" w:lineRule="auto"/>
            </w:pPr>
            <w:r>
              <w:rPr>
                <w:rFonts w:ascii="Arial" w:hAnsi="Arial"/>
                <w:color w:val="2C3B39"/>
                <w:sz w:val="17"/>
              </w:rPr>
              <w:t>Update KPI values, tables, canvas charts, and insight text</w:t>
            </w:r>
          </w:p>
        </w:tc>
        <w:tc>
          <w:tcPr>
            <w:tcW w:type="dxa" w:w="2880"/>
            <w:vAlign w:val="center"/>
            <w:tcMar>
              <w:top w:w="90" w:type="dxa"/>
              <w:start w:w="110" w:type="dxa"/>
              <w:bottom w:w="90" w:type="dxa"/>
              <w:end w:w="110" w:type="dxa"/>
            </w:tcMar>
            <w:shd w:fill="F4F7F5"/>
          </w:tcPr>
          <w:p>
            <w:pPr>
              <w:spacing w:after="0" w:line="245" w:lineRule="auto"/>
            </w:pPr>
            <w:r>
              <w:rPr>
                <w:rFonts w:ascii="Arial" w:hAnsi="Arial"/>
                <w:color w:val="2C3B39"/>
                <w:sz w:val="17"/>
              </w:rPr>
              <w:t>Interactive dashboard views</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5. Export</w:t>
            </w:r>
          </w:p>
        </w:tc>
        <w:tc>
          <w:tcPr>
            <w:tcW w:type="dxa" w:w="4608"/>
            <w:vAlign w:val="center"/>
            <w:tcMar>
              <w:top w:w="90" w:type="dxa"/>
              <w:start w:w="110" w:type="dxa"/>
              <w:bottom w:w="90" w:type="dxa"/>
              <w:end w:w="110" w:type="dxa"/>
            </w:tcMar>
          </w:tcPr>
          <w:p>
            <w:pPr>
              <w:spacing w:after="0" w:line="245" w:lineRule="auto"/>
            </w:pPr>
            <w:r>
              <w:rPr>
                <w:rFonts w:ascii="Arial" w:hAnsi="Arial"/>
                <w:color w:val="2C3B39"/>
                <w:sz w:val="17"/>
              </w:rPr>
              <w:t>Serialise selected item-line records</w:t>
            </w:r>
          </w:p>
        </w:tc>
        <w:tc>
          <w:tcPr>
            <w:tcW w:type="dxa" w:w="2880"/>
            <w:vAlign w:val="center"/>
            <w:tcMar>
              <w:top w:w="90" w:type="dxa"/>
              <w:start w:w="110" w:type="dxa"/>
              <w:bottom w:w="90" w:type="dxa"/>
              <w:end w:w="110" w:type="dxa"/>
            </w:tcMar>
          </w:tcPr>
          <w:p>
            <w:pPr>
              <w:spacing w:after="0" w:line="245" w:lineRule="auto"/>
            </w:pPr>
            <w:r>
              <w:rPr>
                <w:rFonts w:ascii="Arial" w:hAnsi="Arial"/>
                <w:color w:val="2C3B39"/>
                <w:sz w:val="17"/>
              </w:rPr>
              <w:t>Downloadable CSV</w:t>
            </w:r>
          </w:p>
        </w:tc>
      </w:tr>
    </w:tbl>
    <w:p>
      <w:pPr>
        <w:spacing w:after="20"/>
      </w:pPr>
    </w:p>
    <w:p>
      <w:pPr>
        <w:pStyle w:val="Heading2"/>
      </w:pPr>
      <w:r>
        <w:t>6.2 Navigation and views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84F45"/>
            <w:vAlign w:val="center"/>
            <w:tcMar>
              <w:top w:w="100" w:type="dxa"/>
              <w:start w:w="110" w:type="dxa"/>
              <w:bottom w:w="100" w:type="dxa"/>
              <w:end w:w="110" w:type="dxa"/>
            </w:tcMar>
          </w:tcPr>
          <w:p>
            <w:pPr>
              <w:spacing w:after="0"/>
              <w:jc w:val="left"/>
            </w:pPr>
            <w:r>
              <w:rPr>
                <w:rFonts w:ascii="Arial" w:hAnsi="Arial"/>
                <w:b/>
                <w:color w:val="FFFFFF"/>
                <w:sz w:val="17"/>
              </w:rPr>
              <w:t>View</w:t>
            </w:r>
          </w:p>
        </w:tc>
        <w:tc>
          <w:tcPr>
            <w:tcW w:type="dxa" w:w="2664"/>
            <w:shd w:fill="184F45"/>
            <w:vAlign w:val="center"/>
            <w:tcMar>
              <w:top w:w="100" w:type="dxa"/>
              <w:start w:w="110" w:type="dxa"/>
              <w:bottom w:w="100" w:type="dxa"/>
              <w:end w:w="110" w:type="dxa"/>
            </w:tcMar>
          </w:tcPr>
          <w:p>
            <w:pPr>
              <w:spacing w:after="0"/>
              <w:jc w:val="left"/>
            </w:pPr>
            <w:r>
              <w:rPr>
                <w:rFonts w:ascii="Arial" w:hAnsi="Arial"/>
                <w:b/>
                <w:color w:val="FFFFFF"/>
                <w:sz w:val="17"/>
              </w:rPr>
              <w:t>Purpose</w:t>
            </w:r>
          </w:p>
        </w:tc>
        <w:tc>
          <w:tcPr>
            <w:tcW w:type="dxa" w:w="4176"/>
            <w:shd w:fill="184F45"/>
            <w:vAlign w:val="center"/>
            <w:tcMar>
              <w:top w:w="100" w:type="dxa"/>
              <w:start w:w="110" w:type="dxa"/>
              <w:bottom w:w="100" w:type="dxa"/>
              <w:end w:w="110" w:type="dxa"/>
            </w:tcMar>
          </w:tcPr>
          <w:p>
            <w:pPr>
              <w:spacing w:after="0"/>
              <w:jc w:val="left"/>
            </w:pPr>
            <w:r>
              <w:rPr>
                <w:rFonts w:ascii="Arial" w:hAnsi="Arial"/>
                <w:b/>
                <w:color w:val="FFFFFF"/>
                <w:sz w:val="17"/>
              </w:rPr>
              <w:t>Primary outputs</w:t>
            </w:r>
          </w:p>
        </w:tc>
      </w:tr>
      <w:tr>
        <w:tc>
          <w:tcPr>
            <w:tcW w:type="dxa" w:w="2088"/>
            <w:vAlign w:val="center"/>
            <w:tcMar>
              <w:top w:w="90" w:type="dxa"/>
              <w:start w:w="110" w:type="dxa"/>
              <w:bottom w:w="90" w:type="dxa"/>
              <w:end w:w="110" w:type="dxa"/>
            </w:tcMar>
          </w:tcPr>
          <w:p>
            <w:pPr>
              <w:spacing w:after="0" w:line="245" w:lineRule="auto"/>
            </w:pPr>
            <w:r>
              <w:rPr>
                <w:rFonts w:ascii="Arial" w:hAnsi="Arial"/>
                <w:color w:val="2C3B39"/>
                <w:sz w:val="17"/>
              </w:rPr>
              <w:t>Overview</w:t>
            </w:r>
          </w:p>
        </w:tc>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Summarise the selected dataset</w:t>
            </w:r>
          </w:p>
        </w:tc>
        <w:tc>
          <w:tcPr>
            <w:tcW w:type="dxa" w:w="4176"/>
            <w:vAlign w:val="center"/>
            <w:tcMar>
              <w:top w:w="90" w:type="dxa"/>
              <w:start w:w="110" w:type="dxa"/>
              <w:bottom w:w="90" w:type="dxa"/>
              <w:end w:w="110" w:type="dxa"/>
            </w:tcMar>
          </w:tcPr>
          <w:p>
            <w:pPr>
              <w:spacing w:after="0" w:line="245" w:lineRule="auto"/>
            </w:pPr>
            <w:r>
              <w:rPr>
                <w:rFonts w:ascii="Arial" w:hAnsi="Arial"/>
                <w:color w:val="2C3B39"/>
                <w:sz w:val="17"/>
              </w:rPr>
              <w:t>Headline measures, revenue trend, category, channel, and customer mix</w:t>
            </w:r>
          </w:p>
        </w:tc>
      </w:tr>
      <w:tr>
        <w:tc>
          <w:tcPr>
            <w:tcW w:type="dxa" w:w="2088"/>
            <w:vAlign w:val="center"/>
            <w:tcMar>
              <w:top w:w="90" w:type="dxa"/>
              <w:start w:w="110" w:type="dxa"/>
              <w:bottom w:w="90" w:type="dxa"/>
              <w:end w:w="110" w:type="dxa"/>
            </w:tcMar>
            <w:shd w:fill="F4F7F5"/>
          </w:tcPr>
          <w:p>
            <w:pPr>
              <w:spacing w:after="0" w:line="245" w:lineRule="auto"/>
            </w:pPr>
            <w:r>
              <w:rPr>
                <w:rFonts w:ascii="Arial" w:hAnsi="Arial"/>
                <w:color w:val="2C3B39"/>
                <w:sz w:val="17"/>
              </w:rPr>
              <w:t>Product intelligence</w:t>
            </w:r>
          </w:p>
        </w:tc>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Compare products</w:t>
            </w:r>
          </w:p>
        </w:tc>
        <w:tc>
          <w:tcPr>
            <w:tcW w:type="dxa" w:w="4176"/>
            <w:vAlign w:val="center"/>
            <w:tcMar>
              <w:top w:w="90" w:type="dxa"/>
              <w:start w:w="110" w:type="dxa"/>
              <w:bottom w:w="90" w:type="dxa"/>
              <w:end w:w="110" w:type="dxa"/>
            </w:tcMar>
            <w:shd w:fill="F4F7F5"/>
          </w:tcPr>
          <w:p>
            <w:pPr>
              <w:spacing w:after="0" w:line="245" w:lineRule="auto"/>
            </w:pPr>
            <w:r>
              <w:rPr>
                <w:rFonts w:ascii="Arial" w:hAnsi="Arial"/>
                <w:color w:val="2C3B39"/>
                <w:sz w:val="17"/>
              </w:rPr>
              <w:t>Units, orders, net revenue, average listed price</w:t>
            </w:r>
          </w:p>
        </w:tc>
      </w:tr>
      <w:tr>
        <w:tc>
          <w:tcPr>
            <w:tcW w:type="dxa" w:w="2088"/>
            <w:vAlign w:val="center"/>
            <w:tcMar>
              <w:top w:w="90" w:type="dxa"/>
              <w:start w:w="110" w:type="dxa"/>
              <w:bottom w:w="90" w:type="dxa"/>
              <w:end w:w="110" w:type="dxa"/>
            </w:tcMar>
          </w:tcPr>
          <w:p>
            <w:pPr>
              <w:spacing w:after="0" w:line="245" w:lineRule="auto"/>
            </w:pPr>
            <w:r>
              <w:rPr>
                <w:rFonts w:ascii="Arial" w:hAnsi="Arial"/>
                <w:color w:val="2C3B39"/>
                <w:sz w:val="17"/>
              </w:rPr>
              <w:t>Customer segments</w:t>
            </w:r>
          </w:p>
        </w:tc>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Describe customer groups</w:t>
            </w:r>
          </w:p>
        </w:tc>
        <w:tc>
          <w:tcPr>
            <w:tcW w:type="dxa" w:w="4176"/>
            <w:vAlign w:val="center"/>
            <w:tcMar>
              <w:top w:w="90" w:type="dxa"/>
              <w:start w:w="110" w:type="dxa"/>
              <w:bottom w:w="90" w:type="dxa"/>
              <w:end w:w="110" w:type="dxa"/>
            </w:tcMar>
          </w:tcPr>
          <w:p>
            <w:pPr>
              <w:spacing w:after="0" w:line="245" w:lineRule="auto"/>
            </w:pPr>
            <w:r>
              <w:rPr>
                <w:rFonts w:ascii="Arial" w:hAnsi="Arial"/>
                <w:color w:val="2C3B39"/>
                <w:sz w:val="17"/>
              </w:rPr>
              <w:t>RFM segment counts, customer shares, and segment revenue</w:t>
            </w:r>
          </w:p>
        </w:tc>
      </w:tr>
      <w:tr>
        <w:tc>
          <w:tcPr>
            <w:tcW w:type="dxa" w:w="2088"/>
            <w:vAlign w:val="center"/>
            <w:tcMar>
              <w:top w:w="90" w:type="dxa"/>
              <w:start w:w="110" w:type="dxa"/>
              <w:bottom w:w="90" w:type="dxa"/>
              <w:end w:w="110" w:type="dxa"/>
            </w:tcMar>
            <w:shd w:fill="F4F7F5"/>
          </w:tcPr>
          <w:p>
            <w:pPr>
              <w:spacing w:after="0" w:line="245" w:lineRule="auto"/>
            </w:pPr>
            <w:r>
              <w:rPr>
                <w:rFonts w:ascii="Arial" w:hAnsi="Arial"/>
                <w:color w:val="2C3B39"/>
                <w:sz w:val="17"/>
              </w:rPr>
              <w:t>Basket analysis</w:t>
            </w:r>
          </w:p>
        </w:tc>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Explore category co-occurrence</w:t>
            </w:r>
          </w:p>
        </w:tc>
        <w:tc>
          <w:tcPr>
            <w:tcW w:type="dxa" w:w="4176"/>
            <w:vAlign w:val="center"/>
            <w:tcMar>
              <w:top w:w="90" w:type="dxa"/>
              <w:start w:w="110" w:type="dxa"/>
              <w:bottom w:w="90" w:type="dxa"/>
              <w:end w:w="110" w:type="dxa"/>
            </w:tcMar>
            <w:shd w:fill="F4F7F5"/>
          </w:tcPr>
          <w:p>
            <w:pPr>
              <w:spacing w:after="0" w:line="245" w:lineRule="auto"/>
            </w:pPr>
            <w:r>
              <w:rPr>
                <w:rFonts w:ascii="Arial" w:hAnsi="Arial"/>
                <w:color w:val="2C3B39"/>
                <w:sz w:val="17"/>
              </w:rPr>
              <w:t>Frequently paired categories and multi-category order share</w:t>
            </w:r>
          </w:p>
        </w:tc>
      </w:tr>
      <w:tr>
        <w:tc>
          <w:tcPr>
            <w:tcW w:type="dxa" w:w="2088"/>
            <w:vAlign w:val="center"/>
            <w:tcMar>
              <w:top w:w="90" w:type="dxa"/>
              <w:start w:w="110" w:type="dxa"/>
              <w:bottom w:w="90" w:type="dxa"/>
              <w:end w:w="110" w:type="dxa"/>
            </w:tcMar>
          </w:tcPr>
          <w:p>
            <w:pPr>
              <w:spacing w:after="0" w:line="245" w:lineRule="auto"/>
            </w:pPr>
            <w:r>
              <w:rPr>
                <w:rFonts w:ascii="Arial" w:hAnsi="Arial"/>
                <w:color w:val="2C3B39"/>
                <w:sz w:val="17"/>
              </w:rPr>
              <w:t>Business insights</w:t>
            </w:r>
          </w:p>
        </w:tc>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Communicate derived observations</w:t>
            </w:r>
          </w:p>
        </w:tc>
        <w:tc>
          <w:tcPr>
            <w:tcW w:type="dxa" w:w="4176"/>
            <w:vAlign w:val="center"/>
            <w:tcMar>
              <w:top w:w="90" w:type="dxa"/>
              <w:start w:w="110" w:type="dxa"/>
              <w:bottom w:w="90" w:type="dxa"/>
              <w:end w:w="110" w:type="dxa"/>
            </w:tcMar>
          </w:tcPr>
          <w:p>
            <w:pPr>
              <w:spacing w:after="0" w:line="245" w:lineRule="auto"/>
            </w:pPr>
            <w:r>
              <w:rPr>
                <w:rFonts w:ascii="Arial" w:hAnsi="Arial"/>
                <w:color w:val="2C3B39"/>
                <w:sz w:val="17"/>
              </w:rPr>
              <w:t>Data-backed descriptive observations and experiment prompts</w:t>
            </w:r>
          </w:p>
        </w:tc>
      </w:tr>
    </w:tbl>
    <w:p>
      <w:pPr>
        <w:spacing w:after="20"/>
      </w:pPr>
    </w:p>
    <w:p>
      <w:pPr>
        <w:pStyle w:val="Heading2"/>
      </w:pPr>
      <w:r>
        <w:t>6.3 State and filtering</w:t>
      </w:r>
    </w:p>
    <w:p>
      <w:r>
        <w:t>Date period and category are shared controls. Changing either selection recomputes the data views from the in-memory records. The product sort control changes the order of the product table. Importing a new CSV replaces the current rows for the active browser session; reloading the page restores the bundled illustrative data.</w:t>
      </w:r>
    </w:p>
    <w:p>
      <w:pPr>
        <w:pStyle w:val="Heading2"/>
      </w:pPr>
      <w:r>
        <w:t>6.4 Design decisions</w:t>
      </w:r>
    </w:p>
    <w:p>
      <w:pPr>
        <w:pStyle w:val="ListBullet"/>
      </w:pPr>
      <w:r>
        <w:t>A static client architecture keeps the project easy to run and demonstrate.</w:t>
      </w:r>
    </w:p>
    <w:p>
      <w:pPr>
        <w:pStyle w:val="ListBullet"/>
      </w:pPr>
      <w:r>
        <w:t>Canvas is used for the revenue trend without an external charting library.</w:t>
      </w:r>
    </w:p>
    <w:p>
      <w:pPr>
        <w:pStyle w:val="ListBullet"/>
      </w:pPr>
      <w:r>
        <w:t>Tables are used for exact product and segment figures.</w:t>
      </w:r>
    </w:p>
    <w:p>
      <w:pPr>
        <w:pStyle w:val="ListBullet"/>
      </w:pPr>
      <w:r>
        <w:t>The app explicitly labels sample data and describes the analytical boundaries.</w:t>
      </w:r>
    </w:p>
    <w:p>
      <w:r>
        <w:br w:type="page"/>
      </w:r>
    </w:p>
    <w:p>
      <w:pPr>
        <w:pStyle w:val="Heading1"/>
      </w:pPr>
      <w:r>
        <w:t>Chapter 7  Implementation</w:t>
      </w:r>
    </w:p>
    <w:p>
      <w:pPr>
        <w:pStyle w:val="Heading2"/>
      </w:pPr>
      <w:r>
        <w:t>7.1 Technology stack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7"/>
              </w:rPr>
              <w:t>Layer</w:t>
            </w:r>
          </w:p>
        </w:tc>
        <w:tc>
          <w:tcPr>
            <w:tcW w:type="dxa" w:w="2592"/>
            <w:shd w:fill="184F45"/>
            <w:vAlign w:val="center"/>
            <w:tcMar>
              <w:top w:w="100" w:type="dxa"/>
              <w:start w:w="110" w:type="dxa"/>
              <w:bottom w:w="100" w:type="dxa"/>
              <w:end w:w="110" w:type="dxa"/>
            </w:tcMar>
          </w:tcPr>
          <w:p>
            <w:pPr>
              <w:spacing w:after="0"/>
              <w:jc w:val="left"/>
            </w:pPr>
            <w:r>
              <w:rPr>
                <w:rFonts w:ascii="Arial" w:hAnsi="Arial"/>
                <w:b/>
                <w:color w:val="FFFFFF"/>
                <w:sz w:val="17"/>
              </w:rPr>
              <w:t>Technology</w:t>
            </w:r>
          </w:p>
        </w:tc>
        <w:tc>
          <w:tcPr>
            <w:tcW w:type="dxa" w:w="4896"/>
            <w:shd w:fill="184F45"/>
            <w:vAlign w:val="center"/>
            <w:tcMar>
              <w:top w:w="100" w:type="dxa"/>
              <w:start w:w="110" w:type="dxa"/>
              <w:bottom w:w="100" w:type="dxa"/>
              <w:end w:w="110" w:type="dxa"/>
            </w:tcMar>
          </w:tcPr>
          <w:p>
            <w:pPr>
              <w:spacing w:after="0"/>
              <w:jc w:val="left"/>
            </w:pPr>
            <w:r>
              <w:rPr>
                <w:rFonts w:ascii="Arial" w:hAnsi="Arial"/>
                <w:b/>
                <w:color w:val="FFFFFF"/>
                <w:sz w:val="17"/>
              </w:rPr>
              <w:t>Role</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Markup</w:t>
            </w:r>
          </w:p>
        </w:tc>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HTML5</w:t>
            </w:r>
          </w:p>
        </w:tc>
        <w:tc>
          <w:tcPr>
            <w:tcW w:type="dxa" w:w="4896"/>
            <w:vAlign w:val="center"/>
            <w:tcMar>
              <w:top w:w="90" w:type="dxa"/>
              <w:start w:w="110" w:type="dxa"/>
              <w:bottom w:w="90" w:type="dxa"/>
              <w:end w:w="110" w:type="dxa"/>
            </w:tcMar>
          </w:tcPr>
          <w:p>
            <w:pPr>
              <w:spacing w:after="0" w:line="245" w:lineRule="auto"/>
            </w:pPr>
            <w:r>
              <w:rPr>
                <w:rFonts w:ascii="Arial" w:hAnsi="Arial"/>
                <w:color w:val="2C3B39"/>
                <w:sz w:val="17"/>
              </w:rPr>
              <w:t>Semantic content structure and controls</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Styling</w:t>
            </w:r>
          </w:p>
        </w:tc>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CSS3</w:t>
            </w:r>
          </w:p>
        </w:tc>
        <w:tc>
          <w:tcPr>
            <w:tcW w:type="dxa" w:w="4896"/>
            <w:vAlign w:val="center"/>
            <w:tcMar>
              <w:top w:w="90" w:type="dxa"/>
              <w:start w:w="110" w:type="dxa"/>
              <w:bottom w:w="90" w:type="dxa"/>
              <w:end w:w="110" w:type="dxa"/>
            </w:tcMar>
            <w:shd w:fill="F4F7F5"/>
          </w:tcPr>
          <w:p>
            <w:pPr>
              <w:spacing w:after="0" w:line="245" w:lineRule="auto"/>
            </w:pPr>
            <w:r>
              <w:rPr>
                <w:rFonts w:ascii="Arial" w:hAnsi="Arial"/>
                <w:color w:val="2C3B39"/>
                <w:sz w:val="17"/>
              </w:rPr>
              <w:t>Responsive layout, typography, colour, and interaction states</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Logic</w:t>
            </w:r>
          </w:p>
        </w:tc>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Vanilla JavaScript</w:t>
            </w:r>
          </w:p>
        </w:tc>
        <w:tc>
          <w:tcPr>
            <w:tcW w:type="dxa" w:w="4896"/>
            <w:vAlign w:val="center"/>
            <w:tcMar>
              <w:top w:w="90" w:type="dxa"/>
              <w:start w:w="110" w:type="dxa"/>
              <w:bottom w:w="90" w:type="dxa"/>
              <w:end w:w="110" w:type="dxa"/>
            </w:tcMar>
          </w:tcPr>
          <w:p>
            <w:pPr>
              <w:spacing w:after="0" w:line="245" w:lineRule="auto"/>
            </w:pPr>
            <w:r>
              <w:rPr>
                <w:rFonts w:ascii="Arial" w:hAnsi="Arial"/>
                <w:color w:val="2C3B39"/>
                <w:sz w:val="17"/>
              </w:rPr>
              <w:t>CSV parsing, date/category filtering, aggregation, RFM, basket pairs, and export</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Visualisation</w:t>
            </w:r>
          </w:p>
        </w:tc>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Canvas and CSS gradients</w:t>
            </w:r>
          </w:p>
        </w:tc>
        <w:tc>
          <w:tcPr>
            <w:tcW w:type="dxa" w:w="4896"/>
            <w:vAlign w:val="center"/>
            <w:tcMar>
              <w:top w:w="90" w:type="dxa"/>
              <w:start w:w="110" w:type="dxa"/>
              <w:bottom w:w="90" w:type="dxa"/>
              <w:end w:w="110" w:type="dxa"/>
            </w:tcMar>
            <w:shd w:fill="F4F7F5"/>
          </w:tcPr>
          <w:p>
            <w:pPr>
              <w:spacing w:after="0" w:line="245" w:lineRule="auto"/>
            </w:pPr>
            <w:r>
              <w:rPr>
                <w:rFonts w:ascii="Arial" w:hAnsi="Arial"/>
                <w:color w:val="2C3B39"/>
                <w:sz w:val="17"/>
              </w:rPr>
              <w:t>Revenue trend and channel mix</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Delivery</w:t>
            </w:r>
          </w:p>
        </w:tc>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Static file</w:t>
            </w:r>
          </w:p>
        </w:tc>
        <w:tc>
          <w:tcPr>
            <w:tcW w:type="dxa" w:w="4896"/>
            <w:vAlign w:val="center"/>
            <w:tcMar>
              <w:top w:w="90" w:type="dxa"/>
              <w:start w:w="110" w:type="dxa"/>
              <w:bottom w:w="90" w:type="dxa"/>
              <w:end w:w="110" w:type="dxa"/>
            </w:tcMar>
          </w:tcPr>
          <w:p>
            <w:pPr>
              <w:spacing w:after="0" w:line="245" w:lineRule="auto"/>
            </w:pPr>
            <w:r>
              <w:rPr>
                <w:rFonts w:ascii="Arial" w:hAnsi="Arial"/>
                <w:color w:val="2C3B39"/>
                <w:sz w:val="17"/>
              </w:rPr>
              <w:t>Browser-based execution without an installation step</w:t>
            </w:r>
          </w:p>
        </w:tc>
      </w:tr>
    </w:tbl>
    <w:p>
      <w:pPr>
        <w:spacing w:after="20"/>
      </w:pPr>
    </w:p>
    <w:p>
      <w:pPr>
        <w:pStyle w:val="Heading2"/>
      </w:pPr>
      <w:r>
        <w:t>7.2 CSV import</w:t>
      </w:r>
    </w:p>
    <w:p>
      <w:r>
        <w:t>The import control reads a user-selected CSV with the browser FileReader API. A small parser handles quoted fields and escaped quotation marks. Header names are normalised to lower case with underscores before the required column check. Valid rows are converted to numeric quantities and prices, filtered for required fields, and loaded into memory. An import message reports the number of accepted item records or the missing required headers.</w:t>
      </w:r>
    </w:p>
    <w:p>
      <w:pPr>
        <w:pStyle w:val="Heading2"/>
      </w:pPr>
      <w:r>
        <w:t>7.3 Aggregation</w:t>
      </w:r>
    </w:p>
    <w:p>
      <w:r>
        <w:t>Rows are grouped in maps by the requested key. Revenue is calculated from quantity, unit price, and percentage discount. Order and customer counts are computed from distinct identifiers. The application recomputes view data after filter changes; the input rows are not written to local storage.</w:t>
      </w:r>
    </w:p>
    <w:p>
      <w:pPr>
        <w:pStyle w:val="Heading2"/>
      </w:pPr>
      <w:r>
        <w:t>7.4 User feedback and responsive behaviour</w:t>
      </w:r>
    </w:p>
    <w:p>
      <w:r>
        <w:t>The interface uses labelled select controls, accessible file input behaviour, responsive navigation, empty-state messages, and a short status toast after data import/export. On smaller screens, the left navigation becomes a horizontal menu and multi-column chart areas stack vertically.</w:t>
      </w:r>
    </w:p>
    <w:p>
      <w:pPr>
        <w:pStyle w:val="Heading2"/>
      </w:pPr>
      <w:r>
        <w:t>7.5 Running the application</w:t>
      </w:r>
    </w:p>
    <w:p>
      <w:pPr>
        <w:pStyle w:val="ListNumber"/>
      </w:pPr>
      <w:r>
        <w:t>Open index.html in a recent desktop or mobile browser.</w:t>
      </w:r>
    </w:p>
    <w:p>
      <w:pPr>
        <w:pStyle w:val="ListNumber"/>
      </w:pPr>
      <w:r>
        <w:t>Use the overview filters to select a period and category.</w:t>
      </w:r>
    </w:p>
    <w:p>
      <w:pPr>
        <w:pStyle w:val="ListNumber"/>
      </w:pPr>
      <w:r>
        <w:t>Choose Import CSV to analyse an item-level transaction file.</w:t>
      </w:r>
    </w:p>
    <w:p>
      <w:pPr>
        <w:pStyle w:val="ListNumber"/>
      </w:pPr>
      <w:r>
        <w:t>Use the analysis navigation to inspect product, customer, basket, and insight views.</w:t>
      </w:r>
    </w:p>
    <w:p>
      <w:pPr>
        <w:pStyle w:val="ListNumber"/>
      </w:pPr>
      <w:r>
        <w:t>Choose Export data to download item lines matching the current overview filters.</w:t>
      </w:r>
    </w:p>
    <w:p>
      <w:r>
        <w:br w:type="page"/>
      </w:r>
    </w:p>
    <w:p>
      <w:pPr>
        <w:pStyle w:val="Heading1"/>
      </w:pPr>
      <w:r>
        <w:t>Chapter 8  Results and Discussion</w:t>
      </w:r>
    </w:p>
    <w:p>
      <w:pPr>
        <w:pStyle w:val="Heading2"/>
      </w:pPr>
      <w:r>
        <w:t>8.1 Sample performance</w:t>
      </w:r>
    </w:p>
    <w:p>
      <w:r>
        <w:t>The generated sample contains 2,400 distinct orders and 4,661 item lines over the stated date range. Total net revenue is $232,082.88 and average order value is $96.70. The generated customer base contains 632 identifiers. 90.7% of those identifiers appear in more than one distinct order in this sample.</w:t>
      </w:r>
    </w:p>
    <w:p>
      <w:pPr>
        <w:pStyle w:val="Heading2"/>
      </w:pPr>
      <w:r>
        <w:t>8.2 Category and channel results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664"/>
            <w:shd w:fill="184F45"/>
            <w:vAlign w:val="center"/>
            <w:tcMar>
              <w:top w:w="100" w:type="dxa"/>
              <w:start w:w="110" w:type="dxa"/>
              <w:bottom w:w="100" w:type="dxa"/>
              <w:end w:w="110" w:type="dxa"/>
            </w:tcMar>
          </w:tcPr>
          <w:p>
            <w:pPr>
              <w:spacing w:after="0"/>
              <w:jc w:val="left"/>
            </w:pPr>
            <w:r>
              <w:rPr>
                <w:rFonts w:ascii="Arial" w:hAnsi="Arial"/>
                <w:b/>
                <w:color w:val="FFFFFF"/>
                <w:sz w:val="17"/>
              </w:rPr>
              <w:t>Category</w:t>
            </w:r>
          </w:p>
        </w:tc>
        <w:tc>
          <w:tcPr>
            <w:tcW w:type="dxa" w:w="2160"/>
            <w:shd w:fill="184F45"/>
            <w:vAlign w:val="center"/>
            <w:tcMar>
              <w:top w:w="100" w:type="dxa"/>
              <w:start w:w="110" w:type="dxa"/>
              <w:bottom w:w="100" w:type="dxa"/>
              <w:end w:w="110" w:type="dxa"/>
            </w:tcMar>
          </w:tcPr>
          <w:p>
            <w:pPr>
              <w:spacing w:after="0"/>
              <w:jc w:val="left"/>
            </w:pPr>
            <w:r>
              <w:rPr>
                <w:rFonts w:ascii="Arial" w:hAnsi="Arial"/>
                <w:b/>
                <w:color w:val="FFFFFF"/>
                <w:sz w:val="17"/>
              </w:rPr>
              <w:t>Net revenue</w:t>
            </w:r>
          </w:p>
        </w:tc>
        <w:tc>
          <w:tcPr>
            <w:tcW w:type="dxa" w:w="1944"/>
            <w:shd w:fill="184F45"/>
            <w:vAlign w:val="center"/>
            <w:tcMar>
              <w:top w:w="100" w:type="dxa"/>
              <w:start w:w="110" w:type="dxa"/>
              <w:bottom w:w="100" w:type="dxa"/>
              <w:end w:w="110" w:type="dxa"/>
            </w:tcMar>
          </w:tcPr>
          <w:p>
            <w:pPr>
              <w:spacing w:after="0"/>
              <w:jc w:val="left"/>
            </w:pPr>
            <w:r>
              <w:rPr>
                <w:rFonts w:ascii="Arial" w:hAnsi="Arial"/>
                <w:b/>
                <w:color w:val="FFFFFF"/>
                <w:sz w:val="17"/>
              </w:rPr>
              <w:t>Revenue share</w:t>
            </w:r>
          </w:p>
        </w:tc>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7"/>
              </w:rPr>
              <w:t>Orders</w:t>
            </w:r>
          </w:p>
        </w:tc>
      </w:tr>
      <w:tr>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Electronics</w:t>
            </w:r>
          </w:p>
        </w:tc>
        <w:tc>
          <w:tcPr>
            <w:tcW w:type="dxa" w:w="2160"/>
            <w:vAlign w:val="center"/>
            <w:tcMar>
              <w:top w:w="90" w:type="dxa"/>
              <w:start w:w="110" w:type="dxa"/>
              <w:bottom w:w="90" w:type="dxa"/>
              <w:end w:w="110" w:type="dxa"/>
            </w:tcMar>
          </w:tcPr>
          <w:p>
            <w:pPr>
              <w:spacing w:after="0" w:line="245" w:lineRule="auto"/>
            </w:pPr>
            <w:r>
              <w:rPr>
                <w:rFonts w:ascii="Arial" w:hAnsi="Arial"/>
                <w:color w:val="2C3B39"/>
                <w:sz w:val="17"/>
              </w:rPr>
              <w:t>$65,702.23</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28.3%</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825</w:t>
            </w:r>
          </w:p>
        </w:tc>
      </w:tr>
      <w:tr>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Fashion</w:t>
            </w:r>
          </w:p>
        </w:tc>
        <w:tc>
          <w:tcPr>
            <w:tcW w:type="dxa" w:w="2160"/>
            <w:vAlign w:val="center"/>
            <w:tcMar>
              <w:top w:w="90" w:type="dxa"/>
              <w:start w:w="110" w:type="dxa"/>
              <w:bottom w:w="90" w:type="dxa"/>
              <w:end w:w="110" w:type="dxa"/>
            </w:tcMar>
            <w:shd w:fill="F4F7F5"/>
          </w:tcPr>
          <w:p>
            <w:pPr>
              <w:spacing w:after="0" w:line="245" w:lineRule="auto"/>
            </w:pPr>
            <w:r>
              <w:rPr>
                <w:rFonts w:ascii="Arial" w:hAnsi="Arial"/>
                <w:color w:val="2C3B39"/>
                <w:sz w:val="17"/>
              </w:rPr>
              <w:t>$62,348.36</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26.9%</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881</w:t>
            </w:r>
          </w:p>
        </w:tc>
      </w:tr>
      <w:tr>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Home &amp; Living</w:t>
            </w:r>
          </w:p>
        </w:tc>
        <w:tc>
          <w:tcPr>
            <w:tcW w:type="dxa" w:w="2160"/>
            <w:vAlign w:val="center"/>
            <w:tcMar>
              <w:top w:w="90" w:type="dxa"/>
              <w:start w:w="110" w:type="dxa"/>
              <w:bottom w:w="90" w:type="dxa"/>
              <w:end w:w="110" w:type="dxa"/>
            </w:tcMar>
          </w:tcPr>
          <w:p>
            <w:pPr>
              <w:spacing w:after="0" w:line="245" w:lineRule="auto"/>
            </w:pPr>
            <w:r>
              <w:rPr>
                <w:rFonts w:ascii="Arial" w:hAnsi="Arial"/>
                <w:color w:val="2C3B39"/>
                <w:sz w:val="17"/>
              </w:rPr>
              <w:t>$38,504.42</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16.6%</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812</w:t>
            </w:r>
          </w:p>
        </w:tc>
      </w:tr>
      <w:tr>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Sports &amp; Outdoors</w:t>
            </w:r>
          </w:p>
        </w:tc>
        <w:tc>
          <w:tcPr>
            <w:tcW w:type="dxa" w:w="2160"/>
            <w:vAlign w:val="center"/>
            <w:tcMar>
              <w:top w:w="90" w:type="dxa"/>
              <w:start w:w="110" w:type="dxa"/>
              <w:bottom w:w="90" w:type="dxa"/>
              <w:end w:w="110" w:type="dxa"/>
            </w:tcMar>
            <w:shd w:fill="F4F7F5"/>
          </w:tcPr>
          <w:p>
            <w:pPr>
              <w:spacing w:after="0" w:line="245" w:lineRule="auto"/>
            </w:pPr>
            <w:r>
              <w:rPr>
                <w:rFonts w:ascii="Arial" w:hAnsi="Arial"/>
                <w:color w:val="2C3B39"/>
                <w:sz w:val="17"/>
              </w:rPr>
              <w:t>$35,585.88</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15.3%</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827</w:t>
            </w:r>
          </w:p>
        </w:tc>
      </w:tr>
      <w:tr>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Beauty &amp; Care</w:t>
            </w:r>
          </w:p>
        </w:tc>
        <w:tc>
          <w:tcPr>
            <w:tcW w:type="dxa" w:w="2160"/>
            <w:vAlign w:val="center"/>
            <w:tcMar>
              <w:top w:w="90" w:type="dxa"/>
              <w:start w:w="110" w:type="dxa"/>
              <w:bottom w:w="90" w:type="dxa"/>
              <w:end w:w="110" w:type="dxa"/>
            </w:tcMar>
          </w:tcPr>
          <w:p>
            <w:pPr>
              <w:spacing w:after="0" w:line="245" w:lineRule="auto"/>
            </w:pPr>
            <w:r>
              <w:rPr>
                <w:rFonts w:ascii="Arial" w:hAnsi="Arial"/>
                <w:color w:val="2C3B39"/>
                <w:sz w:val="17"/>
              </w:rPr>
              <w:t>$29,941.99</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12.9%</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824</w:t>
            </w:r>
          </w:p>
        </w:tc>
      </w:tr>
    </w:tbl>
    <w:p>
      <w:pPr>
        <w:spacing w:after="20"/>
      </w:pPr>
    </w:p>
    <w:p>
      <w:r>
        <w:t>Electronics is the largest category by net revenue at $65,702.23 (28.3% of the sample total). Fashion follows at $62,348.36. These rankings describe the generated transaction mix; they do not imply demand in a real market.</w:t>
      </w:r>
    </w:p>
    <w:p>
      <w:r>
        <w:t>Mobile app leads the channel view with $79,461.69 in net revenue from 812 orders. The other channel values are within a narrow range in this generated sample.</w:t>
      </w:r>
    </w:p>
    <w:p>
      <w:pPr>
        <w:pStyle w:val="Heading2"/>
      </w:pPr>
      <w:r>
        <w:t>8.3 Customer groups and basket pairs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592"/>
            <w:shd w:fill="184F45"/>
            <w:vAlign w:val="center"/>
            <w:tcMar>
              <w:top w:w="100" w:type="dxa"/>
              <w:start w:w="110" w:type="dxa"/>
              <w:bottom w:w="100" w:type="dxa"/>
              <w:end w:w="110" w:type="dxa"/>
            </w:tcMar>
          </w:tcPr>
          <w:p>
            <w:pPr>
              <w:spacing w:after="0"/>
              <w:jc w:val="left"/>
            </w:pPr>
            <w:r>
              <w:rPr>
                <w:rFonts w:ascii="Arial" w:hAnsi="Arial"/>
                <w:b/>
                <w:color w:val="FFFFFF"/>
                <w:sz w:val="17"/>
              </w:rPr>
              <w:t>RFM group</w:t>
            </w:r>
          </w:p>
        </w:tc>
        <w:tc>
          <w:tcPr>
            <w:tcW w:type="dxa" w:w="1512"/>
            <w:shd w:fill="184F45"/>
            <w:vAlign w:val="center"/>
            <w:tcMar>
              <w:top w:w="100" w:type="dxa"/>
              <w:start w:w="110" w:type="dxa"/>
              <w:bottom w:w="100" w:type="dxa"/>
              <w:end w:w="110" w:type="dxa"/>
            </w:tcMar>
          </w:tcPr>
          <w:p>
            <w:pPr>
              <w:spacing w:after="0"/>
              <w:jc w:val="left"/>
            </w:pPr>
            <w:r>
              <w:rPr>
                <w:rFonts w:ascii="Arial" w:hAnsi="Arial"/>
                <w:b/>
                <w:color w:val="FFFFFF"/>
                <w:sz w:val="17"/>
              </w:rPr>
              <w:t>Customers</w:t>
            </w:r>
          </w:p>
        </w:tc>
        <w:tc>
          <w:tcPr>
            <w:tcW w:type="dxa" w:w="1944"/>
            <w:shd w:fill="184F45"/>
            <w:vAlign w:val="center"/>
            <w:tcMar>
              <w:top w:w="100" w:type="dxa"/>
              <w:start w:w="110" w:type="dxa"/>
              <w:bottom w:w="100" w:type="dxa"/>
              <w:end w:w="110" w:type="dxa"/>
            </w:tcMar>
          </w:tcPr>
          <w:p>
            <w:pPr>
              <w:spacing w:after="0"/>
              <w:jc w:val="left"/>
            </w:pPr>
            <w:r>
              <w:rPr>
                <w:rFonts w:ascii="Arial" w:hAnsi="Arial"/>
                <w:b/>
                <w:color w:val="FFFFFF"/>
                <w:sz w:val="17"/>
              </w:rPr>
              <w:t>Customer share</w:t>
            </w:r>
          </w:p>
        </w:tc>
        <w:tc>
          <w:tcPr>
            <w:tcW w:type="dxa" w:w="2448"/>
            <w:shd w:fill="184F45"/>
            <w:vAlign w:val="center"/>
            <w:tcMar>
              <w:top w:w="100" w:type="dxa"/>
              <w:start w:w="110" w:type="dxa"/>
              <w:bottom w:w="100" w:type="dxa"/>
              <w:end w:w="110" w:type="dxa"/>
            </w:tcMar>
          </w:tcPr>
          <w:p>
            <w:pPr>
              <w:spacing w:after="0"/>
              <w:jc w:val="left"/>
            </w:pPr>
            <w:r>
              <w:rPr>
                <w:rFonts w:ascii="Arial" w:hAnsi="Arial"/>
                <w:b/>
                <w:color w:val="FFFFFF"/>
                <w:sz w:val="17"/>
              </w:rPr>
              <w:t>Net revenue</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Champions</w:t>
            </w:r>
          </w:p>
        </w:tc>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200</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31.6%</w:t>
            </w:r>
          </w:p>
        </w:tc>
        <w:tc>
          <w:tcPr>
            <w:tcW w:type="dxa" w:w="2448"/>
            <w:vAlign w:val="center"/>
            <w:tcMar>
              <w:top w:w="90" w:type="dxa"/>
              <w:start w:w="110" w:type="dxa"/>
              <w:bottom w:w="90" w:type="dxa"/>
              <w:end w:w="110" w:type="dxa"/>
            </w:tcMar>
          </w:tcPr>
          <w:p>
            <w:pPr>
              <w:spacing w:after="0" w:line="245" w:lineRule="auto"/>
            </w:pPr>
            <w:r>
              <w:rPr>
                <w:rFonts w:ascii="Arial" w:hAnsi="Arial"/>
                <w:color w:val="2C3B39"/>
                <w:sz w:val="17"/>
              </w:rPr>
              <w:t>$103,145.26</w:t>
            </w:r>
          </w:p>
        </w:tc>
      </w:tr>
      <w:tr>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Loyal</w:t>
            </w:r>
          </w:p>
        </w:tc>
        <w:tc>
          <w:tcPr>
            <w:tcW w:type="dxa" w:w="1512"/>
            <w:vAlign w:val="center"/>
            <w:tcMar>
              <w:top w:w="90" w:type="dxa"/>
              <w:start w:w="110" w:type="dxa"/>
              <w:bottom w:w="90" w:type="dxa"/>
              <w:end w:w="110" w:type="dxa"/>
            </w:tcMar>
            <w:shd w:fill="F4F7F5"/>
          </w:tcPr>
          <w:p>
            <w:pPr>
              <w:spacing w:after="0" w:line="245" w:lineRule="auto"/>
            </w:pPr>
            <w:r>
              <w:rPr>
                <w:rFonts w:ascii="Arial" w:hAnsi="Arial"/>
                <w:color w:val="2C3B39"/>
                <w:sz w:val="17"/>
              </w:rPr>
              <w:t>270</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42.7%</w:t>
            </w:r>
          </w:p>
        </w:tc>
        <w:tc>
          <w:tcPr>
            <w:tcW w:type="dxa" w:w="2448"/>
            <w:vAlign w:val="center"/>
            <w:tcMar>
              <w:top w:w="90" w:type="dxa"/>
              <w:start w:w="110" w:type="dxa"/>
              <w:bottom w:w="90" w:type="dxa"/>
              <w:end w:w="110" w:type="dxa"/>
            </w:tcMar>
            <w:shd w:fill="F4F7F5"/>
          </w:tcPr>
          <w:p>
            <w:pPr>
              <w:spacing w:after="0" w:line="245" w:lineRule="auto"/>
            </w:pPr>
            <w:r>
              <w:rPr>
                <w:rFonts w:ascii="Arial" w:hAnsi="Arial"/>
                <w:color w:val="2C3B39"/>
                <w:sz w:val="17"/>
              </w:rPr>
              <w:t>$102,555.42</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At risk</w:t>
            </w:r>
          </w:p>
        </w:tc>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49</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7.8%</w:t>
            </w:r>
          </w:p>
        </w:tc>
        <w:tc>
          <w:tcPr>
            <w:tcW w:type="dxa" w:w="2448"/>
            <w:vAlign w:val="center"/>
            <w:tcMar>
              <w:top w:w="90" w:type="dxa"/>
              <w:start w:w="110" w:type="dxa"/>
              <w:bottom w:w="90" w:type="dxa"/>
              <w:end w:w="110" w:type="dxa"/>
            </w:tcMar>
          </w:tcPr>
          <w:p>
            <w:pPr>
              <w:spacing w:after="0" w:line="245" w:lineRule="auto"/>
            </w:pPr>
            <w:r>
              <w:rPr>
                <w:rFonts w:ascii="Arial" w:hAnsi="Arial"/>
                <w:color w:val="2C3B39"/>
                <w:sz w:val="17"/>
              </w:rPr>
              <w:t>$9,479.68</w:t>
            </w:r>
          </w:p>
        </w:tc>
      </w:tr>
      <w:tr>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New &amp; occasional</w:t>
            </w:r>
          </w:p>
        </w:tc>
        <w:tc>
          <w:tcPr>
            <w:tcW w:type="dxa" w:w="1512"/>
            <w:vAlign w:val="center"/>
            <w:tcMar>
              <w:top w:w="90" w:type="dxa"/>
              <w:start w:w="110" w:type="dxa"/>
              <w:bottom w:w="90" w:type="dxa"/>
              <w:end w:w="110" w:type="dxa"/>
            </w:tcMar>
            <w:shd w:fill="F4F7F5"/>
          </w:tcPr>
          <w:p>
            <w:pPr>
              <w:spacing w:after="0" w:line="245" w:lineRule="auto"/>
            </w:pPr>
            <w:r>
              <w:rPr>
                <w:rFonts w:ascii="Arial" w:hAnsi="Arial"/>
                <w:color w:val="2C3B39"/>
                <w:sz w:val="17"/>
              </w:rPr>
              <w:t>113</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17.9%</w:t>
            </w:r>
          </w:p>
        </w:tc>
        <w:tc>
          <w:tcPr>
            <w:tcW w:type="dxa" w:w="2448"/>
            <w:vAlign w:val="center"/>
            <w:tcMar>
              <w:top w:w="90" w:type="dxa"/>
              <w:start w:w="110" w:type="dxa"/>
              <w:bottom w:w="90" w:type="dxa"/>
              <w:end w:w="110" w:type="dxa"/>
            </w:tcMar>
            <w:shd w:fill="F4F7F5"/>
          </w:tcPr>
          <w:p>
            <w:pPr>
              <w:spacing w:after="0" w:line="245" w:lineRule="auto"/>
            </w:pPr>
            <w:r>
              <w:rPr>
                <w:rFonts w:ascii="Arial" w:hAnsi="Arial"/>
                <w:color w:val="2C3B39"/>
                <w:sz w:val="17"/>
              </w:rPr>
              <w:t>$16,902.52</w:t>
            </w:r>
          </w:p>
        </w:tc>
      </w:tr>
    </w:tbl>
    <w:p>
      <w:pPr>
        <w:spacing w:after="20"/>
      </w:pPr>
    </w:p>
    <w:p>
      <w:r>
        <w:t>The largest category pair is Fashion + Home &amp; Living, present in 240 orders (10.0% of all sample orders). 1,376 orders contain more than one category, representing 57.3% of the sample. Pair counts can guide an experiment, but the counts alone do not establish an effective bundle or causal cross-sell.</w:t>
      </w:r>
    </w:p>
    <w:p>
      <w:pPr>
        <w:pStyle w:val="Heading2"/>
      </w:pPr>
      <w:r>
        <w:t>8.4 Workbook view</w:t>
      </w:r>
    </w:p>
    <w:p>
      <w:pPr>
        <w:spacing w:after="40"/>
        <w:jc w:val="center"/>
      </w:pPr>
      <w:r>
        <w:drawing>
          <wp:inline xmlns:a="http://schemas.openxmlformats.org/drawingml/2006/main" xmlns:pic="http://schemas.openxmlformats.org/drawingml/2006/picture">
            <wp:extent cx="5806440" cy="2617454"/>
            <wp:docPr id="1" name="Picture 1"/>
            <wp:cNvGraphicFramePr>
              <a:graphicFrameLocks noChangeAspect="1"/>
            </wp:cNvGraphicFramePr>
            <a:graphic>
              <a:graphicData uri="http://schemas.openxmlformats.org/drawingml/2006/picture">
                <pic:pic>
                  <pic:nvPicPr>
                    <pic:cNvPr id="0" name="dataset_summary_preview.png"/>
                    <pic:cNvPicPr/>
                  </pic:nvPicPr>
                  <pic:blipFill>
                    <a:blip r:embed="rId11"/>
                    <a:stretch>
                      <a:fillRect/>
                    </a:stretch>
                  </pic:blipFill>
                  <pic:spPr>
                    <a:xfrm>
                      <a:off x="0" y="0"/>
                      <a:ext cx="5806440" cy="2617454"/>
                    </a:xfrm>
                    <a:prstGeom prst="rect"/>
                  </pic:spPr>
                </pic:pic>
              </a:graphicData>
            </a:graphic>
          </wp:inline>
        </w:drawing>
      </w:r>
    </w:p>
    <w:p>
      <w:pPr>
        <w:jc w:val="center"/>
      </w:pPr>
      <w:r>
        <w:rPr>
          <w:i/>
          <w:color w:val="6E7E7A"/>
          <w:sz w:val="16"/>
        </w:rPr>
        <w:t>Figure 8.1. Dataset overview with category and monthly revenue charts, channel totals, and RFM group counts.</w:t>
      </w:r>
    </w:p>
    <w:p>
      <w:pPr>
        <w:pStyle w:val="Heading2"/>
      </w:pPr>
      <w:r>
        <w:t>8.5 Interpretation</w:t>
      </w:r>
    </w:p>
    <w:p>
      <w:r>
        <w:t>Electronics and Fashion contribute just over half of the sample’s net revenue. At the same time, category pair counts are relatively distributed because each order was generated with one to three items across categories. The dashboard makes these patterns visible, but no trend, segment, or pairing should be generalised beyond the sample without real, representative data and an appropriate validation process.</w:t>
      </w:r>
    </w:p>
    <w:p>
      <w:r>
        <w:br w:type="page"/>
      </w:r>
    </w:p>
    <w:p>
      <w:pPr>
        <w:pStyle w:val="Heading1"/>
      </w:pPr>
      <w:r>
        <w:t>Chapter 9  Evaluation, Limitations, and Responsible Use</w:t>
      </w:r>
    </w:p>
    <w:p>
      <w:pPr>
        <w:pStyle w:val="Heading2"/>
      </w:pPr>
      <w:r>
        <w:t>9.1 Analytical interpretation</w:t>
      </w:r>
    </w:p>
    <w:p>
      <w:r>
        <w:t>The calculations answer descriptive questions: what was recorded in the selected rows, how those rows aggregate, and how customers fall into documented rules. They do not estimate statistical uncertainty or identify a causal effect. A production study should compare results with known order totals and use time-based holdout data for any predictive extension.</w:t>
      </w:r>
    </w:p>
    <w:p>
      <w:pPr>
        <w:pStyle w:val="Heading2"/>
      </w:pPr>
      <w:r>
        <w:t>9.2 Data and model limitations</w:t>
      </w:r>
    </w:p>
    <w:p>
      <w:pPr>
        <w:pStyle w:val="ListBullet"/>
      </w:pPr>
      <w:r>
        <w:t>The default dataset is generated, not observed customer data.</w:t>
      </w:r>
    </w:p>
    <w:p>
      <w:pPr>
        <w:pStyle w:val="ListBullet"/>
      </w:pPr>
      <w:r>
        <w:t>Fixed RFM thresholds do not adjust for product replenishment cycles or customer tenure.</w:t>
      </w:r>
    </w:p>
    <w:p>
      <w:pPr>
        <w:pStyle w:val="ListBullet"/>
      </w:pPr>
      <w:r>
        <w:t>The at-risk label is a rule-based description and must not be read as a churn prediction.</w:t>
      </w:r>
    </w:p>
    <w:p>
      <w:pPr>
        <w:pStyle w:val="ListBullet"/>
      </w:pPr>
      <w:r>
        <w:t>Category co-occurrence is not formal association-rule mining; support, confidence, and lift are not calculated.</w:t>
      </w:r>
    </w:p>
    <w:p>
      <w:pPr>
        <w:pStyle w:val="ListBullet"/>
      </w:pPr>
      <w:r>
        <w:t>Revenue omits taxes, shipping, refunds, returns, and product costs.</w:t>
      </w:r>
    </w:p>
    <w:p>
      <w:pPr>
        <w:pStyle w:val="ListBullet"/>
      </w:pPr>
      <w:r>
        <w:t>A single-currency display is used, and imported data is not persisted after reload.</w:t>
      </w:r>
    </w:p>
    <w:p>
      <w:pPr>
        <w:pStyle w:val="ListBullet"/>
      </w:pPr>
      <w:r>
        <w:t>No formal performance benchmark or independent validation is claimed in this report.</w:t>
      </w:r>
    </w:p>
    <w:p>
      <w:pPr>
        <w:pStyle w:val="Heading2"/>
      </w:pPr>
      <w:r>
        <w:t>9.3 Privacy and responsible use</w:t>
      </w:r>
    </w:p>
    <w:p>
      <w:r>
        <w:t>The browser-only prototype does not transmit imported rows to a project backend. A real retailer’s data may still contain personal or commercially sensitive information. Users should minimise direct identifiers, work only with approved data, follow institutional and organisation privacy requirements, and avoid placing production customer data in an unmanaged demonstration environment.</w:t>
      </w:r>
    </w:p>
    <w:p>
      <w:pPr>
        <w:pStyle w:val="Heading2"/>
      </w:pPr>
      <w:r>
        <w:t>9.4 Evaluation framework for an academic demonstration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184F45"/>
            <w:vAlign w:val="center"/>
            <w:tcMar>
              <w:top w:w="100" w:type="dxa"/>
              <w:start w:w="110" w:type="dxa"/>
              <w:bottom w:w="100" w:type="dxa"/>
              <w:end w:w="110" w:type="dxa"/>
            </w:tcMar>
          </w:tcPr>
          <w:p>
            <w:pPr>
              <w:spacing w:after="0"/>
              <w:jc w:val="left"/>
            </w:pPr>
            <w:r>
              <w:rPr>
                <w:rFonts w:ascii="Arial" w:hAnsi="Arial"/>
                <w:b/>
                <w:color w:val="FFFFFF"/>
                <w:sz w:val="16"/>
              </w:rPr>
              <w:t>Review area</w:t>
            </w:r>
          </w:p>
        </w:tc>
        <w:tc>
          <w:tcPr>
            <w:tcW w:type="dxa" w:w="6696"/>
            <w:shd w:fill="184F45"/>
            <w:vAlign w:val="center"/>
            <w:tcMar>
              <w:top w:w="100" w:type="dxa"/>
              <w:start w:w="110" w:type="dxa"/>
              <w:bottom w:w="100" w:type="dxa"/>
              <w:end w:w="110" w:type="dxa"/>
            </w:tcMar>
          </w:tcPr>
          <w:p>
            <w:pPr>
              <w:spacing w:after="0"/>
              <w:jc w:val="left"/>
            </w:pPr>
            <w:r>
              <w:rPr>
                <w:rFonts w:ascii="Arial" w:hAnsi="Arial"/>
                <w:b/>
                <w:color w:val="FFFFFF"/>
                <w:sz w:val="16"/>
              </w:rPr>
              <w:t>Evidence to examine</w:t>
            </w:r>
          </w:p>
        </w:tc>
      </w:tr>
      <w:tr>
        <w:tc>
          <w:tcPr>
            <w:tcW w:type="dxa" w:w="2376"/>
            <w:vAlign w:val="center"/>
            <w:tcMar>
              <w:top w:w="90" w:type="dxa"/>
              <w:start w:w="110" w:type="dxa"/>
              <w:bottom w:w="90" w:type="dxa"/>
              <w:end w:w="110" w:type="dxa"/>
            </w:tcMar>
          </w:tcPr>
          <w:p>
            <w:pPr>
              <w:spacing w:after="0" w:line="245" w:lineRule="auto"/>
            </w:pPr>
            <w:r>
              <w:rPr>
                <w:rFonts w:ascii="Arial" w:hAnsi="Arial"/>
                <w:color w:val="2C3B39"/>
                <w:sz w:val="16"/>
              </w:rPr>
              <w:t>Calculation transparency</w:t>
            </w:r>
          </w:p>
        </w:tc>
        <w:tc>
          <w:tcPr>
            <w:tcW w:type="dxa" w:w="6696"/>
            <w:vAlign w:val="center"/>
            <w:tcMar>
              <w:top w:w="90" w:type="dxa"/>
              <w:start w:w="110" w:type="dxa"/>
              <w:bottom w:w="90" w:type="dxa"/>
              <w:end w:w="110" w:type="dxa"/>
            </w:tcMar>
          </w:tcPr>
          <w:p>
            <w:pPr>
              <w:spacing w:after="0" w:line="245" w:lineRule="auto"/>
            </w:pPr>
            <w:r>
              <w:rPr>
                <w:rFonts w:ascii="Arial" w:hAnsi="Arial"/>
                <w:color w:val="2C3B39"/>
                <w:sz w:val="16"/>
              </w:rPr>
              <w:t>Compare a small manually reconciled example with displayed net revenue, order count, customer count, and average order value.</w:t>
            </w:r>
          </w:p>
        </w:tc>
      </w:tr>
      <w:tr>
        <w:tc>
          <w:tcPr>
            <w:tcW w:type="dxa" w:w="2376"/>
            <w:vAlign w:val="center"/>
            <w:tcMar>
              <w:top w:w="90" w:type="dxa"/>
              <w:start w:w="110" w:type="dxa"/>
              <w:bottom w:w="90" w:type="dxa"/>
              <w:end w:w="110" w:type="dxa"/>
            </w:tcMar>
            <w:shd w:fill="F4F7F5"/>
          </w:tcPr>
          <w:p>
            <w:pPr>
              <w:spacing w:after="0" w:line="245" w:lineRule="auto"/>
            </w:pPr>
            <w:r>
              <w:rPr>
                <w:rFonts w:ascii="Arial" w:hAnsi="Arial"/>
                <w:color w:val="2C3B39"/>
                <w:sz w:val="16"/>
              </w:rPr>
              <w:t>Filter consistency</w:t>
            </w:r>
          </w:p>
        </w:tc>
        <w:tc>
          <w:tcPr>
            <w:tcW w:type="dxa" w:w="6696"/>
            <w:vAlign w:val="center"/>
            <w:tcMar>
              <w:top w:w="90" w:type="dxa"/>
              <w:start w:w="110" w:type="dxa"/>
              <w:bottom w:w="90" w:type="dxa"/>
              <w:end w:w="110" w:type="dxa"/>
            </w:tcMar>
            <w:shd w:fill="F4F7F5"/>
          </w:tcPr>
          <w:p>
            <w:pPr>
              <w:spacing w:after="0" w:line="245" w:lineRule="auto"/>
            </w:pPr>
            <w:r>
              <w:rPr>
                <w:rFonts w:ascii="Arial" w:hAnsi="Arial"/>
                <w:color w:val="2C3B39"/>
                <w:sz w:val="16"/>
              </w:rPr>
              <w:t>Confirm the same date and category selection applies across each analysis view.</w:t>
            </w:r>
          </w:p>
        </w:tc>
      </w:tr>
      <w:tr>
        <w:tc>
          <w:tcPr>
            <w:tcW w:type="dxa" w:w="2376"/>
            <w:vAlign w:val="center"/>
            <w:tcMar>
              <w:top w:w="90" w:type="dxa"/>
              <w:start w:w="110" w:type="dxa"/>
              <w:bottom w:w="90" w:type="dxa"/>
              <w:end w:w="110" w:type="dxa"/>
            </w:tcMar>
          </w:tcPr>
          <w:p>
            <w:pPr>
              <w:spacing w:after="0" w:line="245" w:lineRule="auto"/>
            </w:pPr>
            <w:r>
              <w:rPr>
                <w:rFonts w:ascii="Arial" w:hAnsi="Arial"/>
                <w:color w:val="2C3B39"/>
                <w:sz w:val="16"/>
              </w:rPr>
              <w:t>Import usability</w:t>
            </w:r>
          </w:p>
        </w:tc>
        <w:tc>
          <w:tcPr>
            <w:tcW w:type="dxa" w:w="6696"/>
            <w:vAlign w:val="center"/>
            <w:tcMar>
              <w:top w:w="90" w:type="dxa"/>
              <w:start w:w="110" w:type="dxa"/>
              <w:bottom w:w="90" w:type="dxa"/>
              <w:end w:w="110" w:type="dxa"/>
            </w:tcMar>
          </w:tcPr>
          <w:p>
            <w:pPr>
              <w:spacing w:after="0" w:line="245" w:lineRule="auto"/>
            </w:pPr>
            <w:r>
              <w:rPr>
                <w:rFonts w:ascii="Arial" w:hAnsi="Arial"/>
                <w:color w:val="2C3B39"/>
                <w:sz w:val="16"/>
              </w:rPr>
              <w:t>Use a compatible CSV and an incompatible header to review success and error messages.</w:t>
            </w:r>
          </w:p>
        </w:tc>
      </w:tr>
      <w:tr>
        <w:tc>
          <w:tcPr>
            <w:tcW w:type="dxa" w:w="2376"/>
            <w:vAlign w:val="center"/>
            <w:tcMar>
              <w:top w:w="90" w:type="dxa"/>
              <w:start w:w="110" w:type="dxa"/>
              <w:bottom w:w="90" w:type="dxa"/>
              <w:end w:w="110" w:type="dxa"/>
            </w:tcMar>
            <w:shd w:fill="F4F7F5"/>
          </w:tcPr>
          <w:p>
            <w:pPr>
              <w:spacing w:after="0" w:line="245" w:lineRule="auto"/>
            </w:pPr>
            <w:r>
              <w:rPr>
                <w:rFonts w:ascii="Arial" w:hAnsi="Arial"/>
                <w:color w:val="2C3B39"/>
                <w:sz w:val="16"/>
              </w:rPr>
              <w:t>Analytical boundaries</w:t>
            </w:r>
          </w:p>
        </w:tc>
        <w:tc>
          <w:tcPr>
            <w:tcW w:type="dxa" w:w="6696"/>
            <w:vAlign w:val="center"/>
            <w:tcMar>
              <w:top w:w="90" w:type="dxa"/>
              <w:start w:w="110" w:type="dxa"/>
              <w:bottom w:w="90" w:type="dxa"/>
              <w:end w:w="110" w:type="dxa"/>
            </w:tcMar>
            <w:shd w:fill="F4F7F5"/>
          </w:tcPr>
          <w:p>
            <w:pPr>
              <w:spacing w:after="0" w:line="245" w:lineRule="auto"/>
            </w:pPr>
            <w:r>
              <w:rPr>
                <w:rFonts w:ascii="Arial" w:hAnsi="Arial"/>
                <w:color w:val="2C3B39"/>
                <w:sz w:val="16"/>
              </w:rPr>
              <w:t>Check that RFM rules and co-occurrence caveats are understood by a reviewer.</w:t>
            </w:r>
          </w:p>
        </w:tc>
      </w:tr>
      <w:tr>
        <w:tc>
          <w:tcPr>
            <w:tcW w:type="dxa" w:w="2376"/>
            <w:vAlign w:val="center"/>
            <w:tcMar>
              <w:top w:w="90" w:type="dxa"/>
              <w:start w:w="110" w:type="dxa"/>
              <w:bottom w:w="90" w:type="dxa"/>
              <w:end w:w="110" w:type="dxa"/>
            </w:tcMar>
          </w:tcPr>
          <w:p>
            <w:pPr>
              <w:spacing w:after="0" w:line="245" w:lineRule="auto"/>
            </w:pPr>
            <w:r>
              <w:rPr>
                <w:rFonts w:ascii="Arial" w:hAnsi="Arial"/>
                <w:color w:val="2C3B39"/>
                <w:sz w:val="16"/>
              </w:rPr>
              <w:t>Responsive use</w:t>
            </w:r>
          </w:p>
        </w:tc>
        <w:tc>
          <w:tcPr>
            <w:tcW w:type="dxa" w:w="6696"/>
            <w:vAlign w:val="center"/>
            <w:tcMar>
              <w:top w:w="90" w:type="dxa"/>
              <w:start w:w="110" w:type="dxa"/>
              <w:bottom w:w="90" w:type="dxa"/>
              <w:end w:w="110" w:type="dxa"/>
            </w:tcMar>
          </w:tcPr>
          <w:p>
            <w:pPr>
              <w:spacing w:after="0" w:line="245" w:lineRule="auto"/>
            </w:pPr>
            <w:r>
              <w:rPr>
                <w:rFonts w:ascii="Arial" w:hAnsi="Arial"/>
                <w:color w:val="2C3B39"/>
                <w:sz w:val="16"/>
              </w:rPr>
              <w:t>Review navigation and tables at desktop and narrow viewport widths.</w:t>
            </w:r>
          </w:p>
        </w:tc>
      </w:tr>
    </w:tbl>
    <w:p>
      <w:pPr>
        <w:spacing w:after="20"/>
      </w:pPr>
    </w:p>
    <w:p>
      <w:r>
        <w:t>This table describes evaluation criteria for the student’s demonstration. It is not a statement that formal user or performance testing has been completed.</w:t>
      </w:r>
    </w:p>
    <w:p>
      <w:r>
        <w:br w:type="page"/>
      </w:r>
    </w:p>
    <w:p>
      <w:pPr>
        <w:pStyle w:val="Heading1"/>
      </w:pPr>
      <w:r>
        <w:t>Chapter 10  Conclusion and Future Work</w:t>
      </w:r>
    </w:p>
    <w:p>
      <w:pPr>
        <w:pStyle w:val="Heading2"/>
      </w:pPr>
      <w:r>
        <w:t>10.1 Conclusion</w:t>
      </w:r>
    </w:p>
    <w:p>
      <w:r>
        <w:t>CommerceLens provides a working browser-based prototype for online shopping data analysis. It combines sales summaries, product ranking, RFM customer grouping, category co-occurrence, generated business observations, and CSV input/output. A deterministic illustrative dataset, an analysis workbook, project documentation, and this report make the demonstration reproducible.</w:t>
      </w:r>
    </w:p>
    <w:p>
      <w:r>
        <w:t>The sample analysis shows how the interface can surface category contribution, channel revenue, customer groups, and multi-category purchasing. Because the data is synthetic, these findings demonstrate the application rather than describe real customer behaviour. The project’s most important academic contribution is an understandable end-to-end workflow with transparent methods and explicit boundaries.</w:t>
      </w:r>
    </w:p>
    <w:p>
      <w:pPr>
        <w:pStyle w:val="Heading2"/>
      </w:pPr>
      <w:r>
        <w:t>10.2 Future work</w:t>
      </w:r>
    </w:p>
    <w:p>
      <w:pPr>
        <w:pStyle w:val="ListNumber"/>
      </w:pPr>
      <w:r>
        <w:t>Add a server API and database only when a persistent multi-user workflow is required.</w:t>
      </w:r>
    </w:p>
    <w:p>
      <w:pPr>
        <w:pStyle w:val="ListNumber"/>
      </w:pPr>
      <w:r>
        <w:t>Add an import-quality screen with date, currency, duplicate, missing-value, and outlier summaries.</w:t>
      </w:r>
    </w:p>
    <w:p>
      <w:pPr>
        <w:pStyle w:val="ListNumber"/>
      </w:pPr>
      <w:r>
        <w:t>Add product-level association rules with support, confidence, and lift, plus minimum-support controls.</w:t>
      </w:r>
    </w:p>
    <w:p>
      <w:pPr>
        <w:pStyle w:val="ListNumber"/>
      </w:pPr>
      <w:r>
        <w:t>Add cohort retention and repeat-purchase interval analysis.</w:t>
      </w:r>
    </w:p>
    <w:p>
      <w:pPr>
        <w:pStyle w:val="ListNumber"/>
      </w:pPr>
      <w:r>
        <w:t>Evaluate predictive models on representative data using a time-based holdout and suitable error measures.</w:t>
      </w:r>
    </w:p>
    <w:p>
      <w:pPr>
        <w:pStyle w:val="ListNumber"/>
      </w:pPr>
      <w:r>
        <w:t>Add authentication, access controls, audit logging, and retention policies before any production customer-data use.</w:t>
      </w:r>
    </w:p>
    <w:p>
      <w:pPr>
        <w:pStyle w:val="ListNumber"/>
      </w:pPr>
      <w:r>
        <w:t>Add automated accessibility review and cross-browser performance assessment before deployment.</w:t>
      </w:r>
    </w:p>
    <w:p>
      <w:pPr>
        <w:pStyle w:val="Heading2"/>
      </w:pPr>
      <w:r>
        <w:t>10.3 Submission preparation</w:t>
      </w:r>
    </w:p>
    <w:p>
      <w:r>
        <w:t>Before submitting, check the report against the Innovative Internal Test rubric and any required department format. Include only evidence the team can explain and reproduce, and follow the institution’s rules for declaring AI assistance.</w:t>
      </w:r>
    </w:p>
    <w:p>
      <w:r>
        <w:br w:type="page"/>
      </w:r>
    </w:p>
    <w:p>
      <w:pPr>
        <w:pStyle w:val="Heading1"/>
      </w:pPr>
      <w:r>
        <w:t>References</w:t>
      </w:r>
    </w:p>
    <w:p>
      <w:r>
        <w:t>[1] R. Agrawal, T. Imieliński, and A. Swami, “Mining Association Rules Between Sets of Items in Large Databases,” in Proceedings of the 1993 ACM SIGMOD International Conference on Management of Data, 1993, pp. 207–216. doi: 10.1145/170035.170072.</w:t>
      </w:r>
    </w:p>
    <w:p>
      <w:r>
        <w:t>Available at: https://doi.org/10.1145/170035.170072</w:t>
      </w:r>
    </w:p>
    <w:p>
      <w:r>
        <w:t>[2] P. S. Fader, B. G. S. Hardie, and K. L. Lee, “RFM and CLV: Using Iso-Value Curves for Customer Base Analysis,” Journal of Marketing Research, vol. 42, no. 4, pp. 415–430, 2005. doi: 10.1509/jmkr.2005.42.4.415.</w:t>
      </w:r>
    </w:p>
    <w:p>
      <w:r>
        <w:t>Available at: https://doi.org/10.1509/jmkr.2005.42.4.415</w:t>
      </w:r>
    </w:p>
    <w:p>
      <w:r>
        <w:t>[3] Mozilla Contributors, “FileReader,” MDN Web Docs. Available at: https://developer.mozilla.org/en-US/docs/Web/API/FileReader</w:t>
      </w:r>
    </w:p>
    <w:p>
      <w:r>
        <w:t>[4] Mozilla Contributors, “Canvas API,” MDN Web Docs. Available at: https://developer.mozilla.org/en-US/docs/Web/API/Canvas_API</w:t>
      </w:r>
    </w:p>
    <w:p>
      <w:r>
        <w:t>Accessed 22 October 2026. The two research sources support the analytical background; the technical documentation supports the browser capabilities used in the implementation.</w:t>
      </w:r>
    </w:p>
    <w:p>
      <w:r>
        <w:br w:type="page"/>
      </w:r>
    </w:p>
    <w:p>
      <w:pPr>
        <w:pStyle w:val="Heading1"/>
      </w:pPr>
      <w:r>
        <w:t>Appendix A  CSV Data Dictionary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656"/>
            <w:shd w:fill="184F45"/>
            <w:vAlign w:val="center"/>
            <w:tcMar>
              <w:top w:w="100" w:type="dxa"/>
              <w:start w:w="110" w:type="dxa"/>
              <w:bottom w:w="100" w:type="dxa"/>
              <w:end w:w="110" w:type="dxa"/>
            </w:tcMar>
          </w:tcPr>
          <w:p>
            <w:pPr>
              <w:spacing w:after="0"/>
              <w:jc w:val="left"/>
            </w:pPr>
            <w:r>
              <w:rPr>
                <w:rFonts w:ascii="Arial" w:hAnsi="Arial"/>
                <w:b/>
                <w:color w:val="FFFFFF"/>
                <w:sz w:val="16"/>
              </w:rPr>
              <w:t>Field</w:t>
            </w:r>
          </w:p>
        </w:tc>
        <w:tc>
          <w:tcPr>
            <w:tcW w:type="dxa" w:w="936"/>
            <w:shd w:fill="184F45"/>
            <w:vAlign w:val="center"/>
            <w:tcMar>
              <w:top w:w="100" w:type="dxa"/>
              <w:start w:w="110" w:type="dxa"/>
              <w:bottom w:w="100" w:type="dxa"/>
              <w:end w:w="110" w:type="dxa"/>
            </w:tcMar>
          </w:tcPr>
          <w:p>
            <w:pPr>
              <w:spacing w:after="0"/>
              <w:jc w:val="left"/>
            </w:pPr>
            <w:r>
              <w:rPr>
                <w:rFonts w:ascii="Arial" w:hAnsi="Arial"/>
                <w:b/>
                <w:color w:val="FFFFFF"/>
                <w:sz w:val="16"/>
              </w:rPr>
              <w:t>Required</w:t>
            </w:r>
          </w:p>
        </w:tc>
        <w:tc>
          <w:tcPr>
            <w:tcW w:type="dxa" w:w="5112"/>
            <w:shd w:fill="184F45"/>
            <w:vAlign w:val="center"/>
            <w:tcMar>
              <w:top w:w="100" w:type="dxa"/>
              <w:start w:w="110" w:type="dxa"/>
              <w:bottom w:w="100" w:type="dxa"/>
              <w:end w:w="110" w:type="dxa"/>
            </w:tcMar>
          </w:tcPr>
          <w:p>
            <w:pPr>
              <w:spacing w:after="0"/>
              <w:jc w:val="left"/>
            </w:pPr>
            <w:r>
              <w:rPr>
                <w:rFonts w:ascii="Arial" w:hAnsi="Arial"/>
                <w:b/>
                <w:color w:val="FFFFFF"/>
                <w:sz w:val="16"/>
              </w:rPr>
              <w:t>Description</w:t>
            </w:r>
          </w:p>
        </w:tc>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6"/>
              </w:rPr>
              <w:t>Example</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date</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Order-line date in YYYY-MM-DD form</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2026-04-15</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order_id</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Identifier shared by all item lines in one order</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ORD-00001</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customer_id</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Stable pseudonymous customer identifier</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C00214</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region</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Sales region label</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North</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channel</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Sales channel label</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Mobile app</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category</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Product category</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Electronics</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product</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Product name</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Wireless Earbuds</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quantity</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Units on this item line</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1</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unit_price</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Unit price in one currency</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79.00</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discount_pct</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No</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Discount percent from 0 to 100; defaults to 0</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10</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payment_method</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No</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Payment method label</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Card</w:t>
            </w:r>
          </w:p>
        </w:tc>
      </w:tr>
    </w:tbl>
    <w:p>
      <w:pPr>
        <w:spacing w:after="20"/>
      </w:pPr>
    </w:p>
    <w:p>
      <w:r>
        <w:t>The Excel workbook adds a calculated net_revenue column using the documented line-revenue formula. The web CSV importer does not require this derived field.</w:t>
      </w:r>
    </w:p>
    <w:p>
      <w:r>
        <w:br w:type="page"/>
      </w:r>
    </w:p>
    <w:p>
      <w:pPr>
        <w:pStyle w:val="Heading1"/>
      </w:pPr>
      <w:r>
        <w:t>Appendix B  User Guide</w:t>
      </w:r>
    </w:p>
    <w:p>
      <w:pPr>
        <w:pStyle w:val="Heading2"/>
      </w:pPr>
      <w:r>
        <w:t>B.1 Start the app</w:t>
      </w:r>
    </w:p>
    <w:p>
      <w:r>
        <w:t>Open index.html in a recent browser. The dashboard starts with illustrative sample data and a clear demo-data label. No account or installation is needed.</w:t>
      </w:r>
    </w:p>
    <w:p>
      <w:pPr>
        <w:pStyle w:val="Heading2"/>
      </w:pPr>
      <w:r>
        <w:t>B.2 Import a CSV</w:t>
      </w:r>
    </w:p>
    <w:p>
      <w:pPr>
        <w:pStyle w:val="ListNumber"/>
      </w:pPr>
      <w:r>
        <w:t>Prepare one row per order-item line.</w:t>
      </w:r>
    </w:p>
    <w:p>
      <w:pPr>
        <w:pStyle w:val="ListNumber"/>
      </w:pPr>
      <w:r>
        <w:t>Include date, order_id, customer_id, region, channel, category, product, quantity, and unit_price columns.</w:t>
      </w:r>
    </w:p>
    <w:p>
      <w:pPr>
        <w:pStyle w:val="ListNumber"/>
      </w:pPr>
      <w:r>
        <w:t>Optionally include discount_pct and payment_method.</w:t>
      </w:r>
    </w:p>
    <w:p>
      <w:pPr>
        <w:pStyle w:val="ListNumber"/>
      </w:pPr>
      <w:r>
        <w:t>Choose Import CSV and select the file.</w:t>
      </w:r>
    </w:p>
    <w:p>
      <w:pPr>
        <w:pStyle w:val="ListNumber"/>
      </w:pPr>
      <w:r>
        <w:t>If the file is accepted, the dataset label changes and the item-record count is reported. Resolve missing required headers and choose the file again if import fails.</w:t>
      </w:r>
    </w:p>
    <w:p>
      <w:pPr>
        <w:pStyle w:val="Heading2"/>
      </w:pPr>
      <w:r>
        <w:t>B.3 Read the analysis</w:t>
      </w:r>
    </w:p>
    <w:p>
      <w:pPr>
        <w:pStyle w:val="ListBullet"/>
      </w:pPr>
      <w:r>
        <w:t>Overview: headline measures, trend, category mix, channel revenue, and customer mix.</w:t>
      </w:r>
    </w:p>
    <w:p>
      <w:pPr>
        <w:pStyle w:val="ListBullet"/>
      </w:pPr>
      <w:r>
        <w:t>Product intelligence: sort products by net revenue, units, or order count.</w:t>
      </w:r>
    </w:p>
    <w:p>
      <w:pPr>
        <w:pStyle w:val="ListBullet"/>
      </w:pPr>
      <w:r>
        <w:t>Customer segments: read group sizes and the fixed RFM rule descriptions.</w:t>
      </w:r>
    </w:p>
    <w:p>
      <w:pPr>
        <w:pStyle w:val="ListBullet"/>
      </w:pPr>
      <w:r>
        <w:t>Basket analysis: inspect category pairs and the share of orders containing each pair.</w:t>
      </w:r>
    </w:p>
    <w:p>
      <w:pPr>
        <w:pStyle w:val="ListBullet"/>
      </w:pPr>
      <w:r>
        <w:t>Business insights: review descriptive observations and possible experiments.</w:t>
      </w:r>
    </w:p>
    <w:p>
      <w:pPr>
        <w:pStyle w:val="Heading2"/>
      </w:pPr>
      <w:r>
        <w:t>B.4 Export data</w:t>
      </w:r>
    </w:p>
    <w:p>
      <w:r>
        <w:t>Choose Export data from the overview. The downloaded CSV contains rows matching the selected date and category filters. The exported file is an item-level extract, not a summary report.</w:t>
      </w:r>
    </w:p>
    <w:p>
      <w:pPr>
        <w:pStyle w:val="Heading2"/>
      </w:pPr>
      <w:r>
        <w:t>B.5 Common import issue</w:t>
      </w:r>
    </w:p>
    <w:p>
      <w:r>
        <w:t>A file with only order totals cannot support product or basket analysis. Convert it to item-line grain or use a different source extract. Keep all unit prices in one currency and use stable order and customer identifiers.</w:t>
      </w:r>
    </w:p>
    <w:p>
      <w:r>
        <w:br w:type="page"/>
      </w:r>
    </w:p>
    <w:p>
      <w:pPr>
        <w:pStyle w:val="Heading1"/>
      </w:pPr>
      <w:r>
        <w:t>Appendix C  Submission Completion Checklist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4F45"/>
            <w:vAlign w:val="center"/>
            <w:tcMar>
              <w:top w:w="100" w:type="dxa"/>
              <w:start w:w="110" w:type="dxa"/>
              <w:bottom w:w="100" w:type="dxa"/>
              <w:end w:w="110" w:type="dxa"/>
            </w:tcMar>
          </w:tcPr>
          <w:p>
            <w:pPr>
              <w:spacing w:after="0"/>
              <w:jc w:val="left"/>
            </w:pPr>
            <w:r>
              <w:rPr>
                <w:rFonts w:ascii="Arial" w:hAnsi="Arial"/>
                <w:b/>
                <w:color w:val="FFFFFF"/>
                <w:sz w:val="17"/>
              </w:rPr>
              <w:t>Review area</w:t>
            </w:r>
          </w:p>
        </w:tc>
        <w:tc>
          <w:tcPr>
            <w:tcW w:type="dxa" w:w="6840"/>
            <w:shd w:fill="184F45"/>
            <w:vAlign w:val="center"/>
            <w:tcMar>
              <w:top w:w="100" w:type="dxa"/>
              <w:start w:w="110" w:type="dxa"/>
              <w:bottom w:w="100" w:type="dxa"/>
              <w:end w:w="110" w:type="dxa"/>
            </w:tcMar>
          </w:tcPr>
          <w:p>
            <w:pPr>
              <w:spacing w:after="0"/>
              <w:jc w:val="left"/>
            </w:pPr>
            <w:r>
              <w:rPr>
                <w:rFonts w:ascii="Arial" w:hAnsi="Arial"/>
                <w:b/>
                <w:color w:val="FFFFFF"/>
                <w:sz w:val="17"/>
              </w:rPr>
              <w:t>Completion check</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7"/>
              </w:rPr>
              <w:t>Internal test format</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7"/>
              </w:rPr>
              <w:t>Check the report and slides against the current Innovative Internal Test rubric and department requirements.</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7"/>
              </w:rPr>
              <w:t>Academic integrity</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7"/>
              </w:rPr>
              <w:t>Follow the institution’s AI-use and citation rules; disclose assistance wherever required.</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7"/>
              </w:rPr>
              <w:t>Project demonstration</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7"/>
              </w:rPr>
              <w:t>Run the app and explain the source CSV fields, filters, revenue formula, RFM rules, and basket counts.</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7"/>
              </w:rPr>
              <w:t>Dataset disclosure</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7"/>
              </w:rPr>
              <w:t>State clearly that the included dataset and its results are synthetic and illustrative.</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7"/>
              </w:rPr>
              <w:t>Evidence</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7"/>
              </w:rPr>
              <w:t>Use only screenshots and evaluation results that were actually produced.</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7"/>
              </w:rPr>
              <w:t>Final review</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7"/>
              </w:rPr>
              <w:t>Proofread the report and slides, then confirm the final files open on the submission computer.</w:t>
            </w:r>
          </w:p>
        </w:tc>
      </w:tr>
    </w:tbl>
    <w:p>
      <w:pPr>
        <w:spacing w:after="20"/>
      </w:pPr>
    </w:p>
    <w:sectPr w:rsidR="00FC693F" w:rsidRPr="0006063C" w:rsidSect="00034616">
      <w:headerReference w:type="default" r:id="rId9"/>
      <w:footerReference w:type="default" r:id="rId10"/>
      <w:pgSz w:w="12240" w:h="15840"/>
      <w:pgMar w:top="1037" w:right="1181" w:bottom="1008"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E7A"/>
        <w:sz w:val="16"/>
      </w:rPr>
      <w:t xml:space="preserve">Project 29  ·  Online Shopping Data Analysis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84F45"/>
        <w:sz w:val="16"/>
      </w:rPr>
      <w:t>COMMERCELENS  /  INNOVATIVE INTERNAL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b w:val="0"/>
      <w:color w:val="2C3B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83D37"/>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84F4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84F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83D3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b w:val="0"/>
      <w:i/>
      <w:iCs/>
      <w:color w:val="6E7E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b w:val="0"/>
      <w:color w:val="2C3B39"/>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b w:val="0"/>
      <w:color w:val="2C3B39"/>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CommerceLens Online Shopping Intelligence Dashboard</dc:title>
  <dc:subject>Project 29 technical report for the Innovative Internal Test</dc:subject>
  <dc:creator>CommerceLens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