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 Stack Rationale for Document Migration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Rationale</w:t>
            </w:r>
          </w:p>
        </w:tc>
        <w:tc>
          <w:tcPr>
            <w:tcW w:type="dxa" w:w="2880"/>
          </w:tcPr>
          <w:p>
            <w:r>
              <w:t>Why Chosen</w:t>
            </w:r>
          </w:p>
        </w:tc>
      </w:tr>
      <w:tr>
        <w:tc>
          <w:tcPr>
            <w:tcW w:type="dxa" w:w="2880"/>
          </w:tcPr>
          <w:p>
            <w:r>
              <w:t>Spring Boot Batch</w:t>
            </w:r>
          </w:p>
        </w:tc>
        <w:tc>
          <w:tcPr>
            <w:tcW w:type="dxa" w:w="2880"/>
          </w:tcPr>
          <w:p>
            <w:r>
              <w:t>A robust framework for batch processing, suitable for migrating large datasets in manageable chunks.</w:t>
            </w:r>
          </w:p>
        </w:tc>
        <w:tc>
          <w:tcPr>
            <w:tcW w:type="dxa" w:w="2880"/>
          </w:tcPr>
          <w:p>
            <w:r>
              <w:t>- Scalability: Handles large datasets efficiently.</w:t>
              <w:br/>
              <w:t>- Flexibility: Customizable workflows.</w:t>
              <w:br/>
              <w:t>- Integration: Easy integration with Oracle DB and other Spring components.</w:t>
            </w:r>
          </w:p>
        </w:tc>
      </w:tr>
      <w:tr>
        <w:tc>
          <w:tcPr>
            <w:tcW w:type="dxa" w:w="2880"/>
          </w:tcPr>
          <w:p>
            <w:r>
              <w:t>API-C (On-Prem)</w:t>
            </w:r>
          </w:p>
        </w:tc>
        <w:tc>
          <w:tcPr>
            <w:tcW w:type="dxa" w:w="2880"/>
          </w:tcPr>
          <w:p>
            <w:r>
              <w:t>Acts as an API management layer for routing requests between on-premises systems and AWS services, ensuring secure communication.</w:t>
            </w:r>
          </w:p>
        </w:tc>
        <w:tc>
          <w:tcPr>
            <w:tcW w:type="dxa" w:w="2880"/>
          </w:tcPr>
          <w:p>
            <w:r>
              <w:t>- Security: Ensures secure communication via Direct Connect and API Gateway.</w:t>
              <w:br/>
              <w:t>- Routing: Centralized management of API requests.</w:t>
              <w:br/>
              <w:t>- Legacy Integration: Minimizes learning curve by leveraging existing infrastructure.</w:t>
            </w:r>
          </w:p>
        </w:tc>
      </w:tr>
      <w:tr>
        <w:tc>
          <w:tcPr>
            <w:tcW w:type="dxa" w:w="2880"/>
          </w:tcPr>
          <w:p>
            <w:r>
              <w:t>AWS Direct Connect</w:t>
            </w:r>
          </w:p>
        </w:tc>
        <w:tc>
          <w:tcPr>
            <w:tcW w:type="dxa" w:w="2880"/>
          </w:tcPr>
          <w:p>
            <w:r>
              <w:t>Provides dedicated, high-bandwidth, low-latency connectivity between on-premises infrastructure and AWS, ensuring fast and stable data transfer.</w:t>
            </w:r>
          </w:p>
        </w:tc>
        <w:tc>
          <w:tcPr>
            <w:tcW w:type="dxa" w:w="2880"/>
          </w:tcPr>
          <w:p>
            <w:r>
              <w:t>- High Bandwidth: Handles large volumes of data (6TB).</w:t>
              <w:br/>
              <w:t>- Reliability: Stable and low-latency communication between on-prem and AWS.</w:t>
            </w:r>
          </w:p>
        </w:tc>
      </w:tr>
      <w:tr>
        <w:tc>
          <w:tcPr>
            <w:tcW w:type="dxa" w:w="2880"/>
          </w:tcPr>
          <w:p>
            <w:r>
              <w:t>AWS API Gateway</w:t>
            </w:r>
          </w:p>
        </w:tc>
        <w:tc>
          <w:tcPr>
            <w:tcW w:type="dxa" w:w="2880"/>
          </w:tcPr>
          <w:p>
            <w:r>
              <w:t>Manages the HTTP requests from on-premises systems (via API-C) to AWS services (Lambda), providing security, scalability, and monitoring features.</w:t>
            </w:r>
          </w:p>
        </w:tc>
        <w:tc>
          <w:tcPr>
            <w:tcW w:type="dxa" w:w="2880"/>
          </w:tcPr>
          <w:p>
            <w:r>
              <w:t>- Scalability: Automatically handles variable traffic.</w:t>
              <w:br/>
              <w:t>- Security: Integrates with IAM for secure access.</w:t>
              <w:br/>
              <w:t>- Cost-effective: Managed service reduces overhead.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Serverless compute service for processing document metadata, uploading BLOBs to S3, and interacting with DynamoDB for metadata storage.</w:t>
            </w:r>
          </w:p>
        </w:tc>
        <w:tc>
          <w:tcPr>
            <w:tcW w:type="dxa" w:w="2880"/>
          </w:tcPr>
          <w:p>
            <w:r>
              <w:t>- Serverless: No infrastructure management required.</w:t>
              <w:br/>
              <w:t>- Scalability: Handles multiple concurrent executions efficiently.</w:t>
              <w:br/>
              <w:t>- Cost-effective: Pay only for compute time used.</w:t>
            </w:r>
          </w:p>
        </w:tc>
      </w:tr>
      <w:tr>
        <w:tc>
          <w:tcPr>
            <w:tcW w:type="dxa" w:w="2880"/>
          </w:tcPr>
          <w:p>
            <w:r>
              <w:t>AWS S3</w:t>
            </w:r>
          </w:p>
        </w:tc>
        <w:tc>
          <w:tcPr>
            <w:tcW w:type="dxa" w:w="2880"/>
          </w:tcPr>
          <w:p>
            <w:r>
              <w:t>Provides durable, scalable, and cost-effective storage for document BLOBs.</w:t>
            </w:r>
          </w:p>
        </w:tc>
        <w:tc>
          <w:tcPr>
            <w:tcW w:type="dxa" w:w="2880"/>
          </w:tcPr>
          <w:p>
            <w:r>
              <w:t>- Durability: 99.999999999% durability.</w:t>
              <w:br/>
              <w:t>- Scalability: Can store large amounts of data.</w:t>
              <w:br/>
              <w:t>- Cost-effective: Reduces storage costs for large data.</w:t>
            </w:r>
          </w:p>
        </w:tc>
      </w:tr>
      <w:tr>
        <w:tc>
          <w:tcPr>
            <w:tcW w:type="dxa" w:w="2880"/>
          </w:tcPr>
          <w:p>
            <w:r>
              <w:t>AWS DynamoDB</w:t>
            </w:r>
          </w:p>
        </w:tc>
        <w:tc>
          <w:tcPr>
            <w:tcW w:type="dxa" w:w="2880"/>
          </w:tcPr>
          <w:p>
            <w:r>
              <w:t>NoSQL database for storing metadata (e.g., GUID, S3 URL) associated with documents, offering low-latency reads and writes.</w:t>
            </w:r>
          </w:p>
        </w:tc>
        <w:tc>
          <w:tcPr>
            <w:tcW w:type="dxa" w:w="2880"/>
          </w:tcPr>
          <w:p>
            <w:r>
              <w:t>- Scalable: Handles large metadata with low latency.</w:t>
              <w:br/>
              <w:t>- Fully Managed: No need to manage infrastructure.</w:t>
              <w:br/>
              <w:t>- On-Demand Mode: Scales automatically without manual intervention.</w:t>
            </w:r>
          </w:p>
        </w:tc>
      </w:tr>
      <w:tr>
        <w:tc>
          <w:tcPr>
            <w:tcW w:type="dxa" w:w="2880"/>
          </w:tcPr>
          <w:p>
            <w:r>
              <w:t>Oracle DB (On-Prem)</w:t>
            </w:r>
          </w:p>
        </w:tc>
        <w:tc>
          <w:tcPr>
            <w:tcW w:type="dxa" w:w="2880"/>
          </w:tcPr>
          <w:p>
            <w:r>
              <w:t>The source database for the original document metadata and BLOBs that need to be migrated, used for tracking and updating records with the new GUID.</w:t>
            </w:r>
          </w:p>
        </w:tc>
        <w:tc>
          <w:tcPr>
            <w:tcW w:type="dxa" w:w="2880"/>
          </w:tcPr>
          <w:p>
            <w:r>
              <w:t>- Existing Infrastructure: Already houses relevant data.</w:t>
              <w:br/>
              <w:t>- Data Integrity: Ensures accurate migration and GUID stamping in the Oracle database.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