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89" w:rsidRPr="00C70689" w:rsidRDefault="00C70689" w:rsidP="00C7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689">
        <w:rPr>
          <w:rFonts w:ascii="Times New Roman" w:eastAsia="Times New Roman" w:hAnsi="Times New Roman" w:cs="Times New Roman"/>
          <w:sz w:val="24"/>
          <w:szCs w:val="24"/>
        </w:rPr>
        <w:t xml:space="preserve">Here’s the updated table structure with separate columns for </w:t>
      </w:r>
      <w:r w:rsidRPr="00C70689">
        <w:rPr>
          <w:rFonts w:ascii="Times New Roman" w:eastAsia="Times New Roman" w:hAnsi="Times New Roman" w:cs="Times New Roman"/>
          <w:b/>
          <w:bCs/>
          <w:sz w:val="24"/>
          <w:szCs w:val="24"/>
        </w:rPr>
        <w:t>Decision</w:t>
      </w:r>
      <w:r w:rsidRPr="00C706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70689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</w:t>
      </w:r>
      <w:r w:rsidRPr="00C7068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70689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C70689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243"/>
        <w:gridCol w:w="2315"/>
        <w:gridCol w:w="3107"/>
      </w:tblGrid>
      <w:tr w:rsidR="00C70689" w:rsidRPr="00C70689" w:rsidTr="00C70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Justification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</w:tr>
      <w:tr w:rsidR="00C70689" w:rsidRPr="00C70689" w:rsidTr="00C70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Risks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encryption for data at rest and in transit using AWS KMS and TLS.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 ensures that sensitive data is protected from unauthorized access.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security but may add slight overhead due to encryption/decryption processes.</w:t>
            </w:r>
          </w:p>
        </w:tc>
      </w:tr>
      <w:tr w:rsidR="00C70689" w:rsidRPr="00C70689" w:rsidTr="00C70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Bottlenecks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Use AWS Lambda for sc</w:t>
            </w:r>
            <w:bookmarkStart w:id="0" w:name="_GoBack"/>
            <w:bookmarkEnd w:id="0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alable, stateless processing.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Lambda functions automatically scale based on demand and can process data concurrently.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scalability, but may face cold start latency during infrequent invocations.</w:t>
            </w:r>
          </w:p>
        </w:tc>
      </w:tr>
      <w:tr w:rsidR="00C70689" w:rsidRPr="00C70689" w:rsidTr="00C70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Fault Tolerance and Resiliency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Deploy across multiple availability zones and use cross-region replication for S3 and </w:t>
            </w:r>
            <w:proofErr w:type="spellStart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DynamoDB</w:t>
            </w:r>
            <w:proofErr w:type="spellEnd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Ensures high availability and minimizes downtime in case of regional failure.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Enhances fault tolerance but increases costs for cross-region replication and resource deployment.</w:t>
            </w:r>
          </w:p>
        </w:tc>
      </w:tr>
      <w:tr w:rsidR="00C70689" w:rsidRPr="00C70689" w:rsidTr="00C70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Monitoring and Observability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AWS </w:t>
            </w:r>
            <w:proofErr w:type="spellStart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CloudWatch</w:t>
            </w:r>
            <w:proofErr w:type="spellEnd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logging, metrics, and alerts.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CloudWatch</w:t>
            </w:r>
            <w:proofErr w:type="spellEnd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real-time monitoring and visibility into the system’s performance and health.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Facilitates proactive issue detection and troubleshooting but may generate additional cost for logging and metrics.</w:t>
            </w:r>
          </w:p>
        </w:tc>
      </w:tr>
      <w:tr w:rsidR="00C70689" w:rsidRPr="00C70689" w:rsidTr="00C706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Compliance and Retention Policies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data retention policies for compliance with GDPR, using S3 lifecycle policies and </w:t>
            </w:r>
            <w:proofErr w:type="spellStart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DynamoDB</w:t>
            </w:r>
            <w:proofErr w:type="spellEnd"/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TTL.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Ensures compliance with data retention laws and reduces storage costs by automatically deleting outdated data.</w:t>
            </w:r>
          </w:p>
        </w:tc>
        <w:tc>
          <w:tcPr>
            <w:tcW w:w="0" w:type="auto"/>
            <w:vAlign w:val="center"/>
            <w:hideMark/>
          </w:tcPr>
          <w:p w:rsidR="00C70689" w:rsidRPr="00C70689" w:rsidRDefault="00C70689" w:rsidP="00C7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689">
              <w:rPr>
                <w:rFonts w:ascii="Times New Roman" w:eastAsia="Times New Roman" w:hAnsi="Times New Roman" w:cs="Times New Roman"/>
                <w:sz w:val="24"/>
                <w:szCs w:val="24"/>
              </w:rPr>
              <w:t>Ensures legal compliance and cost efficiency but requires careful planning to avoid accidental data loss or breaches.</w:t>
            </w:r>
          </w:p>
        </w:tc>
      </w:tr>
    </w:tbl>
    <w:p w:rsidR="00C70689" w:rsidRPr="00C70689" w:rsidRDefault="00C70689" w:rsidP="00C70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689">
        <w:rPr>
          <w:rFonts w:ascii="Times New Roman" w:eastAsia="Times New Roman" w:hAnsi="Times New Roman" w:cs="Times New Roman"/>
          <w:sz w:val="24"/>
          <w:szCs w:val="24"/>
        </w:rPr>
        <w:t>This format provides a clearer breakdown of each decision, its justification, and the resulting impact. Let me know if you need further modifications!</w:t>
      </w:r>
    </w:p>
    <w:p w:rsidR="00AE766C" w:rsidRDefault="00AE766C"/>
    <w:sectPr w:rsidR="00AE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89"/>
    <w:rsid w:val="00AE766C"/>
    <w:rsid w:val="00C7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65729-33C1-43FA-986D-EB07E0A2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</cp:revision>
  <dcterms:created xsi:type="dcterms:W3CDTF">2025-02-17T09:06:00Z</dcterms:created>
  <dcterms:modified xsi:type="dcterms:W3CDTF">2025-02-17T09:07:00Z</dcterms:modified>
</cp:coreProperties>
</file>