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Segoe UI" w:hAnsi="Segoe UI"/>
          <w:b/>
          <w:color w:val="102A43"/>
          <w:sz w:val="56"/>
        </w:rPr>
        <w:t>MediGuide Platform</w:t>
      </w:r>
    </w:p>
    <w:p>
      <w:pPr>
        <w:spacing w:after="240"/>
      </w:pPr>
      <w:r>
        <w:rPr>
          <w:rFonts w:ascii="Segoe UI" w:hAnsi="Segoe UI"/>
          <w:b/>
          <w:color w:val="0D9488"/>
          <w:sz w:val="26"/>
        </w:rPr>
        <w:t>Smart Healthcare &amp; Pharmaceutical Information Platform</w:t>
        <w:br/>
        <w:t>Comprehensive Technical Evaluation &amp; Architecture Report</w:t>
      </w:r>
    </w:p>
    <w:p>
      <w:pPr>
        <w:spacing w:after="400"/>
      </w:pPr>
      <w:r>
        <w:rPr>
          <w:b/>
          <w:color w:val="64748B"/>
          <w:sz w:val="19"/>
        </w:rPr>
        <w:t xml:space="preserve">Competition: </w:t>
      </w:r>
      <w:r>
        <w:rPr>
          <w:b w:val="0"/>
          <w:color w:val="64748B"/>
          <w:sz w:val="19"/>
        </w:rPr>
        <w:t xml:space="preserve">DevFusion Innovation Hackathon 2026   |   </w:t>
      </w:r>
      <w:r>
        <w:rPr>
          <w:b/>
          <w:color w:val="64748B"/>
          <w:sz w:val="19"/>
        </w:rPr>
        <w:t xml:space="preserve">Tagline: </w:t>
      </w:r>
      <w:r>
        <w:rPr>
          <w:b w:val="0"/>
          <w:color w:val="64748B"/>
          <w:sz w:val="19"/>
        </w:rPr>
        <w:t xml:space="preserve">"Healthcare information, made simple."   |   </w:t>
      </w:r>
      <w:r>
        <w:rPr>
          <w:b/>
          <w:color w:val="64748B"/>
          <w:sz w:val="19"/>
        </w:rPr>
        <w:t xml:space="preserve">Status: </w:t>
      </w:r>
      <w:r>
        <w:rPr>
          <w:b w:val="0"/>
          <w:color w:val="64748B"/>
          <w:sz w:val="19"/>
        </w:rPr>
        <w:t>Verified Live Prototype</w:t>
      </w:r>
    </w:p>
    <w:p>
      <w:pPr>
        <w:spacing w:after="80"/>
      </w:pPr>
    </w:p>
    <w:tbl>
      <w:tblPr>
        <w:tblW w:type="auto" w:w="0"/>
        <w:jc w:val="center"/>
        <w:tblLayout w:type="fixed"/>
        <w:tblLook w:firstColumn="1" w:firstRow="1" w:lastColumn="0" w:lastRow="0" w:noHBand="0" w:noVBand="1" w:val="04A0"/>
      </w:tblPr>
      <w:tblGrid>
        <w:gridCol w:w="9360"/>
      </w:tblGrid>
      <w:tr>
        <w:tc>
          <w:tcPr>
            <w:tcW w:type="dxa" w:w="9936"/>
            <w:shd w:fill="F0FDFA"/>
            <w:tcMar>
              <w:top w:w="160" w:type="dxa"/>
              <w:bottom w:w="160" w:type="dxa"/>
              <w:left w:w="200" w:type="dxa"/>
              <w:right w:w="200" w:type="dxa"/>
            </w:tcMar>
            <w:tcBorders>
              <w:left w:val="single" w:sz="24" w:space="0" w:color="0D9488"/>
              <w:top w:val="none"/>
              <w:right w:val="none"/>
              <w:bottom w:val="none"/>
            </w:tcBorders>
          </w:tcPr>
          <w:p>
            <w:pPr>
              <w:spacing w:before="0" w:after="60"/>
            </w:pPr>
            <w:r>
              <w:rPr>
                <w:rFonts w:ascii="Segoe UI" w:hAnsi="Segoe UI"/>
                <w:b/>
                <w:color w:val="0D9488"/>
                <w:sz w:val="21"/>
              </w:rPr>
              <w:t>📌 Ethical Prototype &amp; Competition Guardrail</w:t>
              <w:br/>
            </w:r>
            <w:r>
              <w:rPr>
                <w:rFonts w:ascii="Segoe UI" w:hAnsi="Segoe UI"/>
                <w:color w:val="172B4D"/>
                <w:sz w:val="19"/>
              </w:rPr>
              <w:t>MediGuide is built as an educational prototype to showcase senior-level UI/UX, accessibility, and medication adherence workflows. Medicine profiles cite public reference formularies (WHO, FDA, NIH) for interface demonstration. MediGuide does not claim HIPAA certification or replace qualified medical consultation.</w:t>
            </w:r>
          </w:p>
        </w:tc>
      </w:tr>
    </w:tbl>
    <w:p>
      <w:pPr>
        <w:spacing w:after="120"/>
      </w:pPr>
    </w:p>
    <w:p>
      <w:pPr>
        <w:pStyle w:val="Heading1"/>
      </w:pPr>
      <w:r>
        <w:t>1. Executive Summary &amp; Problem Space</w:t>
      </w:r>
    </w:p>
    <w:p>
      <w:pPr>
        <w:spacing w:after="120"/>
      </w:pPr>
      <w:r>
        <w:t>Medication non-adherence and health literacy disparities represent a significant global challenge. Over 50% of chronic medications are improperly timed or skipped, and patients regularly face confusion differentiating between active chemical generic salts and brand trade names. Furthermore, prescription abbreviations (such as Rx, BID, TID, PRN, AC, and PC) often alienate patients, and physical documents frequently become lost.</w:t>
      </w:r>
    </w:p>
    <w:p>
      <w:pPr>
        <w:spacing w:after="80"/>
      </w:pPr>
      <w:r>
        <w:t>MediGuide bridges this gap through a unified, accessible digital healthcare portal offering:</w:t>
      </w:r>
    </w:p>
    <w:p>
      <w:pPr>
        <w:pStyle w:val="ListBullet"/>
        <w:spacing w:after="60"/>
      </w:pPr>
      <w:r>
        <w:rPr>
          <w:b/>
          <w:color w:val="0D9488"/>
        </w:rPr>
        <w:t>Medicine Explorer:</w:t>
      </w:r>
      <w:r>
        <w:t xml:space="preserve"> Searchable directory of brand and generic medications with clear clinical uses, dosage schedules, side-effect profiles, and verified formulary citations.</w:t>
      </w:r>
    </w:p>
    <w:p>
      <w:pPr>
        <w:pStyle w:val="ListBullet"/>
        <w:spacing w:after="60"/>
      </w:pPr>
      <w:r>
        <w:rPr>
          <w:b/>
          <w:color w:val="0D9488"/>
        </w:rPr>
        <w:t>Adherence Reminders:</w:t>
      </w:r>
      <w:r>
        <w:t xml:space="preserve"> Daily schedule manager with time-slot segmentation (Morning, Afternoon, Evening, Night) and real-time status logging (Taken, Skipped, Due).</w:t>
      </w:r>
    </w:p>
    <w:p>
      <w:pPr>
        <w:pStyle w:val="ListBullet"/>
        <w:spacing w:after="60"/>
      </w:pPr>
      <w:r>
        <w:rPr>
          <w:b/>
          <w:color w:val="0D9488"/>
        </w:rPr>
        <w:t>Digital Health Vault:</w:t>
      </w:r>
      <w:r>
        <w:t xml:space="preserve"> Client-side health record manager supporting PDF, PNG, and JPG files with file-size and MIME validation and in-browser preview.</w:t>
      </w:r>
    </w:p>
    <w:p>
      <w:pPr>
        <w:pStyle w:val="ListBullet"/>
        <w:spacing w:after="60"/>
      </w:pPr>
      <w:r>
        <w:rPr>
          <w:b/>
          <w:color w:val="0D9488"/>
        </w:rPr>
        <w:t>Facility Directory:</w:t>
      </w:r>
      <w:r>
        <w:t xml:space="preserve"> Dynamic Medical District vector map with interactive pins for emergency hospitals, urgent care centers, and 24/7 pharmacies.</w:t>
      </w:r>
    </w:p>
    <w:p>
      <w:pPr>
        <w:pStyle w:val="ListBullet"/>
        <w:spacing w:after="60"/>
      </w:pPr>
      <w:r>
        <w:rPr>
          <w:b/>
          <w:color w:val="0D9488"/>
        </w:rPr>
        <w:t>Health Literacy AI:</w:t>
      </w:r>
      <w:r>
        <w:t xml:space="preserve"> Bilingual conversational assistant (English and हिन्दी) trained on medicine packaging, leaflets, and medical terminology.</w:t>
      </w:r>
    </w:p>
    <w:p>
      <w:pPr>
        <w:pStyle w:val="ListBullet"/>
        <w:spacing w:after="60"/>
      </w:pPr>
      <w:r>
        <w:rPr>
          <w:b/>
          <w:color w:val="0D9488"/>
        </w:rPr>
        <w:t>Privacy By Design:</w:t>
      </w:r>
      <w:r>
        <w:t xml:space="preserve"> Local browser data isolation with zero remote patient tracking or paid API dependencies.</w:t>
      </w:r>
    </w:p>
    <w:p>
      <w:pPr>
        <w:pStyle w:val="Heading1"/>
      </w:pPr>
      <w:r>
        <w:t>2. Technical Architecture &amp; Tech Stack</w:t>
      </w:r>
    </w:p>
    <w:p>
      <w:pPr>
        <w:spacing w:after="160"/>
      </w:pPr>
      <w:r>
        <w:t>The application is engineered as a modern, high-performance Single Page Application (SPA). The architecture emphasizes strict type safety, zero external runtime costs, and deterministic rendering.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0D9488"/>
            <w:tcMar>
              <w:top w:w="140" w:type="dxa"/>
              <w:bottom w:w="140" w:type="dxa"/>
              <w:left w:w="150" w:type="dxa"/>
              <w:right w:w="150" w:type="dxa"/>
            </w:tcMar>
          </w:tcPr>
          <w:p>
            <w:pPr>
              <w:jc w:val="left"/>
            </w:pPr>
            <w:r>
              <w:rPr>
                <w:rFonts w:ascii="Segoe UI" w:hAnsi="Segoe UI"/>
                <w:b/>
                <w:color w:val="FFFFFF"/>
                <w:sz w:val="20"/>
              </w:rPr>
              <w:t>Layer</w:t>
            </w:r>
          </w:p>
        </w:tc>
        <w:tc>
          <w:tcPr>
            <w:tcW w:type="dxa" w:w="1872"/>
            <w:shd w:fill="0D9488"/>
            <w:tcMar>
              <w:top w:w="140" w:type="dxa"/>
              <w:bottom w:w="140" w:type="dxa"/>
              <w:left w:w="150" w:type="dxa"/>
              <w:right w:w="150" w:type="dxa"/>
            </w:tcMar>
          </w:tcPr>
          <w:p>
            <w:pPr>
              <w:jc w:val="left"/>
            </w:pPr>
            <w:r>
              <w:rPr>
                <w:rFonts w:ascii="Segoe UI" w:hAnsi="Segoe UI"/>
                <w:b/>
                <w:color w:val="FFFFFF"/>
                <w:sz w:val="20"/>
              </w:rPr>
              <w:t>Technology</w:t>
            </w:r>
          </w:p>
        </w:tc>
        <w:tc>
          <w:tcPr>
            <w:tcW w:type="dxa" w:w="1440"/>
            <w:shd w:fill="0D9488"/>
            <w:tcMar>
              <w:top w:w="140" w:type="dxa"/>
              <w:bottom w:w="140" w:type="dxa"/>
              <w:left w:w="150" w:type="dxa"/>
              <w:right w:w="150" w:type="dxa"/>
            </w:tcMar>
          </w:tcPr>
          <w:p>
            <w:pPr>
              <w:jc w:val="left"/>
            </w:pPr>
            <w:r>
              <w:rPr>
                <w:rFonts w:ascii="Segoe UI" w:hAnsi="Segoe UI"/>
                <w:b/>
                <w:color w:val="FFFFFF"/>
                <w:sz w:val="20"/>
              </w:rPr>
              <w:t>Version</w:t>
            </w:r>
          </w:p>
        </w:tc>
        <w:tc>
          <w:tcPr>
            <w:tcW w:type="dxa" w:w="4320"/>
            <w:shd w:fill="0D9488"/>
            <w:tcMar>
              <w:top w:w="140" w:type="dxa"/>
              <w:bottom w:w="140" w:type="dxa"/>
              <w:left w:w="150" w:type="dxa"/>
              <w:right w:w="150" w:type="dxa"/>
            </w:tcMar>
          </w:tcPr>
          <w:p>
            <w:pPr>
              <w:jc w:val="left"/>
            </w:pPr>
            <w:r>
              <w:rPr>
                <w:rFonts w:ascii="Segoe UI" w:hAnsi="Segoe UI"/>
                <w:b/>
                <w:color w:val="FFFFFF"/>
                <w:sz w:val="20"/>
              </w:rPr>
              <w:t>Key Functionality</w:t>
            </w:r>
          </w:p>
        </w:tc>
      </w:tr>
      <w:tr>
        <w:tc>
          <w:tcPr>
            <w:tcW w:type="dxa" w:w="1728"/>
            <w:shd w:fill="FFFFFF"/>
            <w:tcMar>
              <w:top w:w="100" w:type="dxa"/>
              <w:bottom w:w="100" w:type="dxa"/>
              <w:left w:w="150" w:type="dxa"/>
              <w:right w:w="150" w:type="dxa"/>
            </w:tcMar>
          </w:tcPr>
          <w:p>
            <w:r>
              <w:rPr>
                <w:rFonts w:ascii="Segoe UI" w:hAnsi="Segoe UI"/>
                <w:color w:val="172B4D"/>
                <w:sz w:val="19"/>
              </w:rPr>
              <w:t>Runtime &amp; Build</w:t>
            </w:r>
          </w:p>
        </w:tc>
        <w:tc>
          <w:tcPr>
            <w:tcW w:type="dxa" w:w="1872"/>
            <w:shd w:fill="FFFFFF"/>
            <w:tcMar>
              <w:top w:w="100" w:type="dxa"/>
              <w:bottom w:w="100" w:type="dxa"/>
              <w:left w:w="150" w:type="dxa"/>
              <w:right w:w="150" w:type="dxa"/>
            </w:tcMar>
          </w:tcPr>
          <w:p>
            <w:r>
              <w:rPr>
                <w:rFonts w:ascii="Segoe UI" w:hAnsi="Segoe UI"/>
                <w:color w:val="172B4D"/>
                <w:sz w:val="19"/>
              </w:rPr>
              <w:t>Vite</w:t>
            </w:r>
          </w:p>
        </w:tc>
        <w:tc>
          <w:tcPr>
            <w:tcW w:type="dxa" w:w="1440"/>
            <w:shd w:fill="FFFFFF"/>
            <w:tcMar>
              <w:top w:w="100" w:type="dxa"/>
              <w:bottom w:w="100" w:type="dxa"/>
              <w:left w:w="150" w:type="dxa"/>
              <w:right w:w="150" w:type="dxa"/>
            </w:tcMar>
          </w:tcPr>
          <w:p>
            <w:r>
              <w:rPr>
                <w:rFonts w:ascii="Segoe UI" w:hAnsi="Segoe UI"/>
                <w:color w:val="172B4D"/>
                <w:sz w:val="19"/>
              </w:rPr>
              <w:t>^5.4.11</w:t>
            </w:r>
          </w:p>
        </w:tc>
        <w:tc>
          <w:tcPr>
            <w:tcW w:type="dxa" w:w="4320"/>
            <w:shd w:fill="FFFFFF"/>
            <w:tcMar>
              <w:top w:w="100" w:type="dxa"/>
              <w:bottom w:w="100" w:type="dxa"/>
              <w:left w:w="150" w:type="dxa"/>
              <w:right w:w="150" w:type="dxa"/>
            </w:tcMar>
          </w:tcPr>
          <w:p>
            <w:r>
              <w:rPr>
                <w:rFonts w:ascii="Segoe UI" w:hAnsi="Segoe UI"/>
                <w:color w:val="172B4D"/>
                <w:sz w:val="19"/>
              </w:rPr>
              <w:t>Instant HMR, production rollup bundling, fast build in 10s</w:t>
            </w:r>
          </w:p>
        </w:tc>
      </w:tr>
      <w:tr>
        <w:tc>
          <w:tcPr>
            <w:tcW w:type="dxa" w:w="1728"/>
            <w:shd w:fill="F8FAFC"/>
            <w:tcMar>
              <w:top w:w="100" w:type="dxa"/>
              <w:bottom w:w="100" w:type="dxa"/>
              <w:left w:w="150" w:type="dxa"/>
              <w:right w:w="150" w:type="dxa"/>
            </w:tcMar>
          </w:tcPr>
          <w:p>
            <w:r>
              <w:rPr>
                <w:rFonts w:ascii="Segoe UI" w:hAnsi="Segoe UI"/>
                <w:color w:val="172B4D"/>
                <w:sz w:val="19"/>
              </w:rPr>
              <w:t>UI Framework</w:t>
            </w:r>
          </w:p>
        </w:tc>
        <w:tc>
          <w:tcPr>
            <w:tcW w:type="dxa" w:w="1872"/>
            <w:shd w:fill="F8FAFC"/>
            <w:tcMar>
              <w:top w:w="100" w:type="dxa"/>
              <w:bottom w:w="100" w:type="dxa"/>
              <w:left w:w="150" w:type="dxa"/>
              <w:right w:w="150" w:type="dxa"/>
            </w:tcMar>
          </w:tcPr>
          <w:p>
            <w:r>
              <w:rPr>
                <w:rFonts w:ascii="Segoe UI" w:hAnsi="Segoe UI"/>
                <w:color w:val="172B4D"/>
                <w:sz w:val="19"/>
              </w:rPr>
              <w:t>React</w:t>
            </w:r>
          </w:p>
        </w:tc>
        <w:tc>
          <w:tcPr>
            <w:tcW w:type="dxa" w:w="1440"/>
            <w:shd w:fill="F8FAFC"/>
            <w:tcMar>
              <w:top w:w="100" w:type="dxa"/>
              <w:bottom w:w="100" w:type="dxa"/>
              <w:left w:w="150" w:type="dxa"/>
              <w:right w:w="150" w:type="dxa"/>
            </w:tcMar>
          </w:tcPr>
          <w:p>
            <w:r>
              <w:rPr>
                <w:rFonts w:ascii="Segoe UI" w:hAnsi="Segoe UI"/>
                <w:color w:val="172B4D"/>
                <w:sz w:val="19"/>
              </w:rPr>
              <w:t>^18.3.1</w:t>
            </w:r>
          </w:p>
        </w:tc>
        <w:tc>
          <w:tcPr>
            <w:tcW w:type="dxa" w:w="4320"/>
            <w:shd w:fill="F8FAFC"/>
            <w:tcMar>
              <w:top w:w="100" w:type="dxa"/>
              <w:bottom w:w="100" w:type="dxa"/>
              <w:left w:w="150" w:type="dxa"/>
              <w:right w:w="150" w:type="dxa"/>
            </w:tcMar>
          </w:tcPr>
          <w:p>
            <w:r>
              <w:rPr>
                <w:rFonts w:ascii="Segoe UI" w:hAnsi="Segoe UI"/>
                <w:color w:val="172B4D"/>
                <w:sz w:val="19"/>
              </w:rPr>
              <w:t>Declarative component-driven modular UI architecture</w:t>
            </w:r>
          </w:p>
        </w:tc>
      </w:tr>
      <w:tr>
        <w:tc>
          <w:tcPr>
            <w:tcW w:type="dxa" w:w="1728"/>
            <w:shd w:fill="FFFFFF"/>
            <w:tcMar>
              <w:top w:w="100" w:type="dxa"/>
              <w:bottom w:w="100" w:type="dxa"/>
              <w:left w:w="150" w:type="dxa"/>
              <w:right w:w="150" w:type="dxa"/>
            </w:tcMar>
          </w:tcPr>
          <w:p>
            <w:r>
              <w:rPr>
                <w:rFonts w:ascii="Segoe UI" w:hAnsi="Segoe UI"/>
                <w:color w:val="172B4D"/>
                <w:sz w:val="19"/>
              </w:rPr>
              <w:t>Language</w:t>
            </w:r>
          </w:p>
        </w:tc>
        <w:tc>
          <w:tcPr>
            <w:tcW w:type="dxa" w:w="1872"/>
            <w:shd w:fill="FFFFFF"/>
            <w:tcMar>
              <w:top w:w="100" w:type="dxa"/>
              <w:bottom w:w="100" w:type="dxa"/>
              <w:left w:w="150" w:type="dxa"/>
              <w:right w:w="150" w:type="dxa"/>
            </w:tcMar>
          </w:tcPr>
          <w:p>
            <w:r>
              <w:rPr>
                <w:rFonts w:ascii="Segoe UI" w:hAnsi="Segoe UI"/>
                <w:color w:val="172B4D"/>
                <w:sz w:val="19"/>
              </w:rPr>
              <w:t>TypeScript</w:t>
            </w:r>
          </w:p>
        </w:tc>
        <w:tc>
          <w:tcPr>
            <w:tcW w:type="dxa" w:w="1440"/>
            <w:shd w:fill="FFFFFF"/>
            <w:tcMar>
              <w:top w:w="100" w:type="dxa"/>
              <w:bottom w:w="100" w:type="dxa"/>
              <w:left w:w="150" w:type="dxa"/>
              <w:right w:w="150" w:type="dxa"/>
            </w:tcMar>
          </w:tcPr>
          <w:p>
            <w:r>
              <w:rPr>
                <w:rFonts w:ascii="Segoe UI" w:hAnsi="Segoe UI"/>
                <w:color w:val="172B4D"/>
                <w:sz w:val="19"/>
              </w:rPr>
              <w:t>^5.6.3</w:t>
            </w:r>
          </w:p>
        </w:tc>
        <w:tc>
          <w:tcPr>
            <w:tcW w:type="dxa" w:w="4320"/>
            <w:shd w:fill="FFFFFF"/>
            <w:tcMar>
              <w:top w:w="100" w:type="dxa"/>
              <w:bottom w:w="100" w:type="dxa"/>
              <w:left w:w="150" w:type="dxa"/>
              <w:right w:w="150" w:type="dxa"/>
            </w:tcMar>
          </w:tcPr>
          <w:p>
            <w:r>
              <w:rPr>
                <w:rFonts w:ascii="Segoe UI" w:hAnsi="Segoe UI"/>
                <w:color w:val="172B4D"/>
                <w:sz w:val="19"/>
              </w:rPr>
              <w:t>Strict domain modeling (0 compiler errors/warnings)</w:t>
            </w:r>
          </w:p>
        </w:tc>
      </w:tr>
      <w:tr>
        <w:tc>
          <w:tcPr>
            <w:tcW w:type="dxa" w:w="1728"/>
            <w:shd w:fill="F8FAFC"/>
            <w:tcMar>
              <w:top w:w="100" w:type="dxa"/>
              <w:bottom w:w="100" w:type="dxa"/>
              <w:left w:w="150" w:type="dxa"/>
              <w:right w:w="150" w:type="dxa"/>
            </w:tcMar>
          </w:tcPr>
          <w:p>
            <w:r>
              <w:rPr>
                <w:rFonts w:ascii="Segoe UI" w:hAnsi="Segoe UI"/>
                <w:color w:val="172B4D"/>
                <w:sz w:val="19"/>
              </w:rPr>
              <w:t>Styling System</w:t>
            </w:r>
          </w:p>
        </w:tc>
        <w:tc>
          <w:tcPr>
            <w:tcW w:type="dxa" w:w="1872"/>
            <w:shd w:fill="F8FAFC"/>
            <w:tcMar>
              <w:top w:w="100" w:type="dxa"/>
              <w:bottom w:w="100" w:type="dxa"/>
              <w:left w:w="150" w:type="dxa"/>
              <w:right w:w="150" w:type="dxa"/>
            </w:tcMar>
          </w:tcPr>
          <w:p>
            <w:r>
              <w:rPr>
                <w:rFonts w:ascii="Segoe UI" w:hAnsi="Segoe UI"/>
                <w:color w:val="172B4D"/>
                <w:sz w:val="19"/>
              </w:rPr>
              <w:t>Tailwind CSS</w:t>
            </w:r>
          </w:p>
        </w:tc>
        <w:tc>
          <w:tcPr>
            <w:tcW w:type="dxa" w:w="1440"/>
            <w:shd w:fill="F8FAFC"/>
            <w:tcMar>
              <w:top w:w="100" w:type="dxa"/>
              <w:bottom w:w="100" w:type="dxa"/>
              <w:left w:w="150" w:type="dxa"/>
              <w:right w:w="150" w:type="dxa"/>
            </w:tcMar>
          </w:tcPr>
          <w:p>
            <w:r>
              <w:rPr>
                <w:rFonts w:ascii="Segoe UI" w:hAnsi="Segoe UI"/>
                <w:color w:val="172B4D"/>
                <w:sz w:val="19"/>
              </w:rPr>
              <w:t>^3.4.15</w:t>
            </w:r>
          </w:p>
        </w:tc>
        <w:tc>
          <w:tcPr>
            <w:tcW w:type="dxa" w:w="4320"/>
            <w:shd w:fill="F8FAFC"/>
            <w:tcMar>
              <w:top w:w="100" w:type="dxa"/>
              <w:bottom w:w="100" w:type="dxa"/>
              <w:left w:w="150" w:type="dxa"/>
              <w:right w:w="150" w:type="dxa"/>
            </w:tcMar>
          </w:tcPr>
          <w:p>
            <w:r>
              <w:rPr>
                <w:rFonts w:ascii="Segoe UI" w:hAnsi="Segoe UI"/>
                <w:color w:val="172B4D"/>
                <w:sz w:val="19"/>
              </w:rPr>
              <w:t>Custom healthcare design tokens, dark mode, responsive grid</w:t>
            </w:r>
          </w:p>
        </w:tc>
      </w:tr>
      <w:tr>
        <w:tc>
          <w:tcPr>
            <w:tcW w:type="dxa" w:w="1728"/>
            <w:shd w:fill="FFFFFF"/>
            <w:tcMar>
              <w:top w:w="100" w:type="dxa"/>
              <w:bottom w:w="100" w:type="dxa"/>
              <w:left w:w="150" w:type="dxa"/>
              <w:right w:w="150" w:type="dxa"/>
            </w:tcMar>
          </w:tcPr>
          <w:p>
            <w:r>
              <w:rPr>
                <w:rFonts w:ascii="Segoe UI" w:hAnsi="Segoe UI"/>
                <w:color w:val="172B4D"/>
                <w:sz w:val="19"/>
              </w:rPr>
              <w:t>Routing Engine</w:t>
            </w:r>
          </w:p>
        </w:tc>
        <w:tc>
          <w:tcPr>
            <w:tcW w:type="dxa" w:w="1872"/>
            <w:shd w:fill="FFFFFF"/>
            <w:tcMar>
              <w:top w:w="100" w:type="dxa"/>
              <w:bottom w:w="100" w:type="dxa"/>
              <w:left w:w="150" w:type="dxa"/>
              <w:right w:w="150" w:type="dxa"/>
            </w:tcMar>
          </w:tcPr>
          <w:p>
            <w:r>
              <w:rPr>
                <w:rFonts w:ascii="Segoe UI" w:hAnsi="Segoe UI"/>
                <w:color w:val="172B4D"/>
                <w:sz w:val="19"/>
              </w:rPr>
              <w:t>React Router DOM</w:t>
            </w:r>
          </w:p>
        </w:tc>
        <w:tc>
          <w:tcPr>
            <w:tcW w:type="dxa" w:w="1440"/>
            <w:shd w:fill="FFFFFF"/>
            <w:tcMar>
              <w:top w:w="100" w:type="dxa"/>
              <w:bottom w:w="100" w:type="dxa"/>
              <w:left w:w="150" w:type="dxa"/>
              <w:right w:w="150" w:type="dxa"/>
            </w:tcMar>
          </w:tcPr>
          <w:p>
            <w:r>
              <w:rPr>
                <w:rFonts w:ascii="Segoe UI" w:hAnsi="Segoe UI"/>
                <w:color w:val="172B4D"/>
                <w:sz w:val="19"/>
              </w:rPr>
              <w:t>^6.28.0</w:t>
            </w:r>
          </w:p>
        </w:tc>
        <w:tc>
          <w:tcPr>
            <w:tcW w:type="dxa" w:w="4320"/>
            <w:shd w:fill="FFFFFF"/>
            <w:tcMar>
              <w:top w:w="100" w:type="dxa"/>
              <w:bottom w:w="100" w:type="dxa"/>
              <w:left w:w="150" w:type="dxa"/>
              <w:right w:w="150" w:type="dxa"/>
            </w:tcMar>
          </w:tcPr>
          <w:p>
            <w:r>
              <w:rPr>
                <w:rFonts w:ascii="Segoe UI" w:hAnsi="Segoe UI"/>
                <w:color w:val="172B4D"/>
                <w:sz w:val="19"/>
              </w:rPr>
              <w:t>Declarative routing, nested layouts, query parameter sync</w:t>
            </w:r>
          </w:p>
        </w:tc>
      </w:tr>
      <w:tr>
        <w:tc>
          <w:tcPr>
            <w:tcW w:type="dxa" w:w="1728"/>
            <w:shd w:fill="F8FAFC"/>
            <w:tcMar>
              <w:top w:w="100" w:type="dxa"/>
              <w:bottom w:w="100" w:type="dxa"/>
              <w:left w:w="150" w:type="dxa"/>
              <w:right w:w="150" w:type="dxa"/>
            </w:tcMar>
          </w:tcPr>
          <w:p>
            <w:r>
              <w:rPr>
                <w:rFonts w:ascii="Segoe UI" w:hAnsi="Segoe UI"/>
                <w:color w:val="172B4D"/>
                <w:sz w:val="19"/>
              </w:rPr>
              <w:t>Iconography</w:t>
            </w:r>
          </w:p>
        </w:tc>
        <w:tc>
          <w:tcPr>
            <w:tcW w:type="dxa" w:w="1872"/>
            <w:shd w:fill="F8FAFC"/>
            <w:tcMar>
              <w:top w:w="100" w:type="dxa"/>
              <w:bottom w:w="100" w:type="dxa"/>
              <w:left w:w="150" w:type="dxa"/>
              <w:right w:w="150" w:type="dxa"/>
            </w:tcMar>
          </w:tcPr>
          <w:p>
            <w:r>
              <w:rPr>
                <w:rFonts w:ascii="Segoe UI" w:hAnsi="Segoe UI"/>
                <w:color w:val="172B4D"/>
                <w:sz w:val="19"/>
              </w:rPr>
              <w:t>Lucide React</w:t>
            </w:r>
          </w:p>
        </w:tc>
        <w:tc>
          <w:tcPr>
            <w:tcW w:type="dxa" w:w="1440"/>
            <w:shd w:fill="F8FAFC"/>
            <w:tcMar>
              <w:top w:w="100" w:type="dxa"/>
              <w:bottom w:w="100" w:type="dxa"/>
              <w:left w:w="150" w:type="dxa"/>
              <w:right w:w="150" w:type="dxa"/>
            </w:tcMar>
          </w:tcPr>
          <w:p>
            <w:r>
              <w:rPr>
                <w:rFonts w:ascii="Segoe UI" w:hAnsi="Segoe UI"/>
                <w:color w:val="172B4D"/>
                <w:sz w:val="19"/>
              </w:rPr>
              <w:t>^1.16.0</w:t>
            </w:r>
          </w:p>
        </w:tc>
        <w:tc>
          <w:tcPr>
            <w:tcW w:type="dxa" w:w="4320"/>
            <w:shd w:fill="F8FAFC"/>
            <w:tcMar>
              <w:top w:w="100" w:type="dxa"/>
              <w:bottom w:w="100" w:type="dxa"/>
              <w:left w:w="150" w:type="dxa"/>
              <w:right w:w="150" w:type="dxa"/>
            </w:tcMar>
          </w:tcPr>
          <w:p>
            <w:r>
              <w:rPr>
                <w:rFonts w:ascii="Segoe UI" w:hAnsi="Segoe UI"/>
                <w:color w:val="172B4D"/>
                <w:sz w:val="19"/>
              </w:rPr>
              <w:t>Cohesive medical and operational icons</w:t>
            </w:r>
          </w:p>
        </w:tc>
      </w:tr>
      <w:tr>
        <w:tc>
          <w:tcPr>
            <w:tcW w:type="dxa" w:w="1728"/>
            <w:shd w:fill="FFFFFF"/>
            <w:tcMar>
              <w:top w:w="100" w:type="dxa"/>
              <w:bottom w:w="100" w:type="dxa"/>
              <w:left w:w="150" w:type="dxa"/>
              <w:right w:w="150" w:type="dxa"/>
            </w:tcMar>
          </w:tcPr>
          <w:p>
            <w:r>
              <w:rPr>
                <w:rFonts w:ascii="Segoe UI" w:hAnsi="Segoe UI"/>
                <w:color w:val="172B4D"/>
                <w:sz w:val="19"/>
              </w:rPr>
              <w:t>Local Storage</w:t>
            </w:r>
          </w:p>
        </w:tc>
        <w:tc>
          <w:tcPr>
            <w:tcW w:type="dxa" w:w="1872"/>
            <w:shd w:fill="FFFFFF"/>
            <w:tcMar>
              <w:top w:w="100" w:type="dxa"/>
              <w:bottom w:w="100" w:type="dxa"/>
              <w:left w:w="150" w:type="dxa"/>
              <w:right w:w="150" w:type="dxa"/>
            </w:tcMar>
          </w:tcPr>
          <w:p>
            <w:r>
              <w:rPr>
                <w:rFonts w:ascii="Segoe UI" w:hAnsi="Segoe UI"/>
                <w:color w:val="172B4D"/>
                <w:sz w:val="19"/>
              </w:rPr>
              <w:t>HTML5 LocalStorage</w:t>
            </w:r>
          </w:p>
        </w:tc>
        <w:tc>
          <w:tcPr>
            <w:tcW w:type="dxa" w:w="1440"/>
            <w:shd w:fill="FFFFFF"/>
            <w:tcMar>
              <w:top w:w="100" w:type="dxa"/>
              <w:bottom w:w="100" w:type="dxa"/>
              <w:left w:w="150" w:type="dxa"/>
              <w:right w:w="150" w:type="dxa"/>
            </w:tcMar>
          </w:tcPr>
          <w:p>
            <w:r>
              <w:rPr>
                <w:rFonts w:ascii="Segoe UI" w:hAnsi="Segoe UI"/>
                <w:color w:val="172B4D"/>
                <w:sz w:val="19"/>
              </w:rPr>
              <w:t>Native</w:t>
            </w:r>
          </w:p>
        </w:tc>
        <w:tc>
          <w:tcPr>
            <w:tcW w:type="dxa" w:w="4320"/>
            <w:shd w:fill="FFFFFF"/>
            <w:tcMar>
              <w:top w:w="100" w:type="dxa"/>
              <w:bottom w:w="100" w:type="dxa"/>
              <w:left w:w="150" w:type="dxa"/>
              <w:right w:w="150" w:type="dxa"/>
            </w:tcMar>
          </w:tcPr>
          <w:p>
            <w:r>
              <w:rPr>
                <w:rFonts w:ascii="Segoe UI" w:hAnsi="Segoe UI"/>
                <w:color w:val="172B4D"/>
                <w:sz w:val="19"/>
              </w:rPr>
              <w:t>Client-side persistence for preferences, records, &amp; reminders</w:t>
            </w:r>
          </w:p>
        </w:tc>
      </w:tr>
    </w:tbl>
    <w:p>
      <w:pPr>
        <w:spacing w:after="200"/>
      </w:pPr>
    </w:p>
    <w:p>
      <w:pPr>
        <w:pStyle w:val="Heading1"/>
      </w:pPr>
      <w:r>
        <w:t>3. Design System &amp; UI/UX Architecture</w:t>
      </w:r>
    </w:p>
    <w:p>
      <w:pPr>
        <w:spacing w:after="160"/>
      </w:pPr>
      <w:r>
        <w:t>The visual identity was designed to instill calm, clinical confidence, and clarity, adhering strictly to healthcare human-factors principles and WCAG 2.1 AA accessibility guidelines.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D9488"/>
            <w:tcMar>
              <w:top w:w="140" w:type="dxa"/>
              <w:bottom w:w="140" w:type="dxa"/>
              <w:left w:w="150" w:type="dxa"/>
              <w:right w:w="150" w:type="dxa"/>
            </w:tcMar>
          </w:tcPr>
          <w:p>
            <w:pPr>
              <w:jc w:val="left"/>
            </w:pPr>
            <w:r>
              <w:rPr>
                <w:rFonts w:ascii="Segoe UI" w:hAnsi="Segoe UI"/>
                <w:b/>
                <w:color w:val="FFFFFF"/>
                <w:sz w:val="20"/>
              </w:rPr>
              <w:t>Token Name</w:t>
            </w:r>
          </w:p>
        </w:tc>
        <w:tc>
          <w:tcPr>
            <w:tcW w:type="dxa" w:w="1440"/>
            <w:shd w:fill="0D9488"/>
            <w:tcMar>
              <w:top w:w="140" w:type="dxa"/>
              <w:bottom w:w="140" w:type="dxa"/>
              <w:left w:w="150" w:type="dxa"/>
              <w:right w:w="150" w:type="dxa"/>
            </w:tcMar>
          </w:tcPr>
          <w:p>
            <w:pPr>
              <w:jc w:val="left"/>
            </w:pPr>
            <w:r>
              <w:rPr>
                <w:rFonts w:ascii="Segoe UI" w:hAnsi="Segoe UI"/>
                <w:b/>
                <w:color w:val="FFFFFF"/>
                <w:sz w:val="20"/>
              </w:rPr>
              <w:t>Hex Code</w:t>
            </w:r>
          </w:p>
        </w:tc>
        <w:tc>
          <w:tcPr>
            <w:tcW w:type="dxa" w:w="3888"/>
            <w:shd w:fill="0D9488"/>
            <w:tcMar>
              <w:top w:w="140" w:type="dxa"/>
              <w:bottom w:w="140" w:type="dxa"/>
              <w:left w:w="150" w:type="dxa"/>
              <w:right w:w="150" w:type="dxa"/>
            </w:tcMar>
          </w:tcPr>
          <w:p>
            <w:pPr>
              <w:jc w:val="left"/>
            </w:pPr>
            <w:r>
              <w:rPr>
                <w:rFonts w:ascii="Segoe UI" w:hAnsi="Segoe UI"/>
                <w:b/>
                <w:color w:val="FFFFFF"/>
                <w:sz w:val="20"/>
              </w:rPr>
              <w:t>Role &amp; Usage</w:t>
            </w:r>
          </w:p>
        </w:tc>
        <w:tc>
          <w:tcPr>
            <w:tcW w:type="dxa" w:w="1872"/>
            <w:shd w:fill="0D9488"/>
            <w:tcMar>
              <w:top w:w="140" w:type="dxa"/>
              <w:bottom w:w="140" w:type="dxa"/>
              <w:left w:w="150" w:type="dxa"/>
              <w:right w:w="150" w:type="dxa"/>
            </w:tcMar>
          </w:tcPr>
          <w:p>
            <w:pPr>
              <w:jc w:val="left"/>
            </w:pPr>
            <w:r>
              <w:rPr>
                <w:rFonts w:ascii="Segoe UI" w:hAnsi="Segoe UI"/>
                <w:b/>
                <w:color w:val="FFFFFF"/>
                <w:sz w:val="20"/>
              </w:rPr>
              <w:t>WCAG Contrast</w:t>
            </w:r>
          </w:p>
        </w:tc>
      </w:tr>
      <w:tr>
        <w:tc>
          <w:tcPr>
            <w:tcW w:type="dxa" w:w="2160"/>
            <w:shd w:fill="FFFFFF"/>
            <w:tcMar>
              <w:top w:w="100" w:type="dxa"/>
              <w:bottom w:w="100" w:type="dxa"/>
              <w:left w:w="150" w:type="dxa"/>
              <w:right w:w="150" w:type="dxa"/>
            </w:tcMar>
          </w:tcPr>
          <w:p>
            <w:r>
              <w:rPr>
                <w:rFonts w:ascii="Segoe UI" w:hAnsi="Segoe UI"/>
                <w:color w:val="172B4D"/>
                <w:sz w:val="19"/>
              </w:rPr>
              <w:t>Primary Teal</w:t>
            </w:r>
          </w:p>
        </w:tc>
        <w:tc>
          <w:tcPr>
            <w:tcW w:type="dxa" w:w="1440"/>
            <w:shd w:fill="FFFFFF"/>
            <w:tcMar>
              <w:top w:w="100" w:type="dxa"/>
              <w:bottom w:w="100" w:type="dxa"/>
              <w:left w:w="150" w:type="dxa"/>
              <w:right w:w="150" w:type="dxa"/>
            </w:tcMar>
          </w:tcPr>
          <w:p>
            <w:r>
              <w:rPr>
                <w:rFonts w:ascii="Segoe UI" w:hAnsi="Segoe UI"/>
                <w:color w:val="172B4D"/>
                <w:sz w:val="19"/>
              </w:rPr>
              <w:t>#0D9488</w:t>
            </w:r>
          </w:p>
        </w:tc>
        <w:tc>
          <w:tcPr>
            <w:tcW w:type="dxa" w:w="3888"/>
            <w:shd w:fill="FFFFFF"/>
            <w:tcMar>
              <w:top w:w="100" w:type="dxa"/>
              <w:bottom w:w="100" w:type="dxa"/>
              <w:left w:w="150" w:type="dxa"/>
              <w:right w:w="150" w:type="dxa"/>
            </w:tcMar>
          </w:tcPr>
          <w:p>
            <w:r>
              <w:rPr>
                <w:rFonts w:ascii="Segoe UI" w:hAnsi="Segoe UI"/>
                <w:color w:val="172B4D"/>
                <w:sz w:val="19"/>
              </w:rPr>
              <w:t>Action buttons, active sidebar links, key brand accents</w:t>
            </w:r>
          </w:p>
        </w:tc>
        <w:tc>
          <w:tcPr>
            <w:tcW w:type="dxa" w:w="1872"/>
            <w:shd w:fill="FFFFFF"/>
            <w:tcMar>
              <w:top w:w="100" w:type="dxa"/>
              <w:bottom w:w="100" w:type="dxa"/>
              <w:left w:w="150" w:type="dxa"/>
              <w:right w:w="150" w:type="dxa"/>
            </w:tcMar>
          </w:tcPr>
          <w:p>
            <w:r>
              <w:rPr>
                <w:rFonts w:ascii="Segoe UI" w:hAnsi="Segoe UI"/>
                <w:color w:val="172B4D"/>
                <w:sz w:val="19"/>
              </w:rPr>
              <w:t>AA Pass on White/Navy</w:t>
            </w:r>
          </w:p>
        </w:tc>
      </w:tr>
      <w:tr>
        <w:tc>
          <w:tcPr>
            <w:tcW w:type="dxa" w:w="2160"/>
            <w:shd w:fill="F8FAFC"/>
            <w:tcMar>
              <w:top w:w="100" w:type="dxa"/>
              <w:bottom w:w="100" w:type="dxa"/>
              <w:left w:w="150" w:type="dxa"/>
              <w:right w:w="150" w:type="dxa"/>
            </w:tcMar>
          </w:tcPr>
          <w:p>
            <w:r>
              <w:rPr>
                <w:rFonts w:ascii="Segoe UI" w:hAnsi="Segoe UI"/>
                <w:color w:val="172B4D"/>
                <w:sz w:val="19"/>
              </w:rPr>
              <w:t>Dark Navy</w:t>
            </w:r>
          </w:p>
        </w:tc>
        <w:tc>
          <w:tcPr>
            <w:tcW w:type="dxa" w:w="1440"/>
            <w:shd w:fill="F8FAFC"/>
            <w:tcMar>
              <w:top w:w="100" w:type="dxa"/>
              <w:bottom w:w="100" w:type="dxa"/>
              <w:left w:w="150" w:type="dxa"/>
              <w:right w:w="150" w:type="dxa"/>
            </w:tcMar>
          </w:tcPr>
          <w:p>
            <w:r>
              <w:rPr>
                <w:rFonts w:ascii="Segoe UI" w:hAnsi="Segoe UI"/>
                <w:color w:val="172B4D"/>
                <w:sz w:val="19"/>
              </w:rPr>
              <w:t>#102A43</w:t>
            </w:r>
          </w:p>
        </w:tc>
        <w:tc>
          <w:tcPr>
            <w:tcW w:type="dxa" w:w="3888"/>
            <w:shd w:fill="F8FAFC"/>
            <w:tcMar>
              <w:top w:w="100" w:type="dxa"/>
              <w:bottom w:w="100" w:type="dxa"/>
              <w:left w:w="150" w:type="dxa"/>
              <w:right w:w="150" w:type="dxa"/>
            </w:tcMar>
          </w:tcPr>
          <w:p>
            <w:r>
              <w:rPr>
                <w:rFonts w:ascii="Segoe UI" w:hAnsi="Segoe UI"/>
                <w:color w:val="172B4D"/>
                <w:sz w:val="19"/>
              </w:rPr>
              <w:t>Typography display headings, header bars, card depth</w:t>
            </w:r>
          </w:p>
        </w:tc>
        <w:tc>
          <w:tcPr>
            <w:tcW w:type="dxa" w:w="1872"/>
            <w:shd w:fill="F8FAFC"/>
            <w:tcMar>
              <w:top w:w="100" w:type="dxa"/>
              <w:bottom w:w="100" w:type="dxa"/>
              <w:left w:w="150" w:type="dxa"/>
              <w:right w:w="150" w:type="dxa"/>
            </w:tcMar>
          </w:tcPr>
          <w:p>
            <w:r>
              <w:rPr>
                <w:rFonts w:ascii="Segoe UI" w:hAnsi="Segoe UI"/>
                <w:color w:val="172B4D"/>
                <w:sz w:val="19"/>
              </w:rPr>
              <w:t>AAA Pass on Canvas</w:t>
            </w:r>
          </w:p>
        </w:tc>
      </w:tr>
      <w:tr>
        <w:tc>
          <w:tcPr>
            <w:tcW w:type="dxa" w:w="2160"/>
            <w:shd w:fill="FFFFFF"/>
            <w:tcMar>
              <w:top w:w="100" w:type="dxa"/>
              <w:bottom w:w="100" w:type="dxa"/>
              <w:left w:w="150" w:type="dxa"/>
              <w:right w:w="150" w:type="dxa"/>
            </w:tcMar>
          </w:tcPr>
          <w:p>
            <w:r>
              <w:rPr>
                <w:rFonts w:ascii="Segoe UI" w:hAnsi="Segoe UI"/>
                <w:color w:val="172B4D"/>
                <w:sz w:val="19"/>
              </w:rPr>
              <w:t>Canvas Background</w:t>
            </w:r>
          </w:p>
        </w:tc>
        <w:tc>
          <w:tcPr>
            <w:tcW w:type="dxa" w:w="1440"/>
            <w:shd w:fill="FFFFFF"/>
            <w:tcMar>
              <w:top w:w="100" w:type="dxa"/>
              <w:bottom w:w="100" w:type="dxa"/>
              <w:left w:w="150" w:type="dxa"/>
              <w:right w:w="150" w:type="dxa"/>
            </w:tcMar>
          </w:tcPr>
          <w:p>
            <w:r>
              <w:rPr>
                <w:rFonts w:ascii="Segoe UI" w:hAnsi="Segoe UI"/>
                <w:color w:val="172B4D"/>
                <w:sz w:val="19"/>
              </w:rPr>
              <w:t>#F8FAFC</w:t>
            </w:r>
          </w:p>
        </w:tc>
        <w:tc>
          <w:tcPr>
            <w:tcW w:type="dxa" w:w="3888"/>
            <w:shd w:fill="FFFFFF"/>
            <w:tcMar>
              <w:top w:w="100" w:type="dxa"/>
              <w:bottom w:w="100" w:type="dxa"/>
              <w:left w:w="150" w:type="dxa"/>
              <w:right w:w="150" w:type="dxa"/>
            </w:tcMar>
          </w:tcPr>
          <w:p>
            <w:r>
              <w:rPr>
                <w:rFonts w:ascii="Segoe UI" w:hAnsi="Segoe UI"/>
                <w:color w:val="172B4D"/>
                <w:sz w:val="19"/>
              </w:rPr>
              <w:t>Low eye-strain neutral soft canvas surface</w:t>
            </w:r>
          </w:p>
        </w:tc>
        <w:tc>
          <w:tcPr>
            <w:tcW w:type="dxa" w:w="1872"/>
            <w:shd w:fill="FFFFFF"/>
            <w:tcMar>
              <w:top w:w="100" w:type="dxa"/>
              <w:bottom w:w="100" w:type="dxa"/>
              <w:left w:w="150" w:type="dxa"/>
              <w:right w:w="150" w:type="dxa"/>
            </w:tcMar>
          </w:tcPr>
          <w:p>
            <w:r>
              <w:rPr>
                <w:rFonts w:ascii="Segoe UI" w:hAnsi="Segoe UI"/>
                <w:color w:val="172B4D"/>
                <w:sz w:val="19"/>
              </w:rPr>
              <w:t>Base Layer</w:t>
            </w:r>
          </w:p>
        </w:tc>
      </w:tr>
      <w:tr>
        <w:tc>
          <w:tcPr>
            <w:tcW w:type="dxa" w:w="2160"/>
            <w:shd w:fill="F8FAFC"/>
            <w:tcMar>
              <w:top w:w="100" w:type="dxa"/>
              <w:bottom w:w="100" w:type="dxa"/>
              <w:left w:w="150" w:type="dxa"/>
              <w:right w:w="150" w:type="dxa"/>
            </w:tcMar>
          </w:tcPr>
          <w:p>
            <w:r>
              <w:rPr>
                <w:rFonts w:ascii="Segoe UI" w:hAnsi="Segoe UI"/>
                <w:color w:val="172B4D"/>
                <w:sz w:val="19"/>
              </w:rPr>
              <w:t>Elevated Surface</w:t>
            </w:r>
          </w:p>
        </w:tc>
        <w:tc>
          <w:tcPr>
            <w:tcW w:type="dxa" w:w="1440"/>
            <w:shd w:fill="F8FAFC"/>
            <w:tcMar>
              <w:top w:w="100" w:type="dxa"/>
              <w:bottom w:w="100" w:type="dxa"/>
              <w:left w:w="150" w:type="dxa"/>
              <w:right w:w="150" w:type="dxa"/>
            </w:tcMar>
          </w:tcPr>
          <w:p>
            <w:r>
              <w:rPr>
                <w:rFonts w:ascii="Segoe UI" w:hAnsi="Segoe UI"/>
                <w:color w:val="172B4D"/>
                <w:sz w:val="19"/>
              </w:rPr>
              <w:t>#FFFFFF</w:t>
            </w:r>
          </w:p>
        </w:tc>
        <w:tc>
          <w:tcPr>
            <w:tcW w:type="dxa" w:w="3888"/>
            <w:shd w:fill="F8FAFC"/>
            <w:tcMar>
              <w:top w:w="100" w:type="dxa"/>
              <w:bottom w:w="100" w:type="dxa"/>
              <w:left w:w="150" w:type="dxa"/>
              <w:right w:w="150" w:type="dxa"/>
            </w:tcMar>
          </w:tcPr>
          <w:p>
            <w:r>
              <w:rPr>
                <w:rFonts w:ascii="Segoe UI" w:hAnsi="Segoe UI"/>
                <w:color w:val="172B4D"/>
                <w:sz w:val="19"/>
              </w:rPr>
              <w:t>Card backgrounds with subtle border #E2E8F0</w:t>
            </w:r>
          </w:p>
        </w:tc>
        <w:tc>
          <w:tcPr>
            <w:tcW w:type="dxa" w:w="1872"/>
            <w:shd w:fill="F8FAFC"/>
            <w:tcMar>
              <w:top w:w="100" w:type="dxa"/>
              <w:bottom w:w="100" w:type="dxa"/>
              <w:left w:w="150" w:type="dxa"/>
              <w:right w:w="150" w:type="dxa"/>
            </w:tcMar>
          </w:tcPr>
          <w:p>
            <w:r>
              <w:rPr>
                <w:rFonts w:ascii="Segoe UI" w:hAnsi="Segoe UI"/>
                <w:color w:val="172B4D"/>
                <w:sz w:val="19"/>
              </w:rPr>
              <w:t>Surface Elevation</w:t>
            </w:r>
          </w:p>
        </w:tc>
      </w:tr>
      <w:tr>
        <w:tc>
          <w:tcPr>
            <w:tcW w:type="dxa" w:w="2160"/>
            <w:shd w:fill="FFFFFF"/>
            <w:tcMar>
              <w:top w:w="100" w:type="dxa"/>
              <w:bottom w:w="100" w:type="dxa"/>
              <w:left w:w="150" w:type="dxa"/>
              <w:right w:w="150" w:type="dxa"/>
            </w:tcMar>
          </w:tcPr>
          <w:p>
            <w:r>
              <w:rPr>
                <w:rFonts w:ascii="Segoe UI" w:hAnsi="Segoe UI"/>
                <w:color w:val="172B4D"/>
                <w:sz w:val="19"/>
              </w:rPr>
              <w:t>Informational Blue</w:t>
            </w:r>
          </w:p>
        </w:tc>
        <w:tc>
          <w:tcPr>
            <w:tcW w:type="dxa" w:w="1440"/>
            <w:shd w:fill="FFFFFF"/>
            <w:tcMar>
              <w:top w:w="100" w:type="dxa"/>
              <w:bottom w:w="100" w:type="dxa"/>
              <w:left w:w="150" w:type="dxa"/>
              <w:right w:w="150" w:type="dxa"/>
            </w:tcMar>
          </w:tcPr>
          <w:p>
            <w:r>
              <w:rPr>
                <w:rFonts w:ascii="Segoe UI" w:hAnsi="Segoe UI"/>
                <w:color w:val="172B4D"/>
                <w:sz w:val="19"/>
              </w:rPr>
              <w:t>#E8F3FF</w:t>
            </w:r>
          </w:p>
        </w:tc>
        <w:tc>
          <w:tcPr>
            <w:tcW w:type="dxa" w:w="3888"/>
            <w:shd w:fill="FFFFFF"/>
            <w:tcMar>
              <w:top w:w="100" w:type="dxa"/>
              <w:bottom w:w="100" w:type="dxa"/>
              <w:left w:w="150" w:type="dxa"/>
              <w:right w:w="150" w:type="dxa"/>
            </w:tcMar>
          </w:tcPr>
          <w:p>
            <w:r>
              <w:rPr>
                <w:rFonts w:ascii="Segoe UI" w:hAnsi="Segoe UI"/>
                <w:color w:val="172B4D"/>
                <w:sz w:val="19"/>
              </w:rPr>
              <w:t>Medicine badges, dosage instruction callouts</w:t>
            </w:r>
          </w:p>
        </w:tc>
        <w:tc>
          <w:tcPr>
            <w:tcW w:type="dxa" w:w="1872"/>
            <w:shd w:fill="FFFFFF"/>
            <w:tcMar>
              <w:top w:w="100" w:type="dxa"/>
              <w:bottom w:w="100" w:type="dxa"/>
              <w:left w:w="150" w:type="dxa"/>
              <w:right w:w="150" w:type="dxa"/>
            </w:tcMar>
          </w:tcPr>
          <w:p>
            <w:r>
              <w:rPr>
                <w:rFonts w:ascii="Segoe UI" w:hAnsi="Segoe UI"/>
                <w:color w:val="172B4D"/>
                <w:sz w:val="19"/>
              </w:rPr>
              <w:t>Panel Accent</w:t>
            </w:r>
          </w:p>
        </w:tc>
      </w:tr>
      <w:tr>
        <w:tc>
          <w:tcPr>
            <w:tcW w:type="dxa" w:w="2160"/>
            <w:shd w:fill="F8FAFC"/>
            <w:tcMar>
              <w:top w:w="100" w:type="dxa"/>
              <w:bottom w:w="100" w:type="dxa"/>
              <w:left w:w="150" w:type="dxa"/>
              <w:right w:w="150" w:type="dxa"/>
            </w:tcMar>
          </w:tcPr>
          <w:p>
            <w:r>
              <w:rPr>
                <w:rFonts w:ascii="Segoe UI" w:hAnsi="Segoe UI"/>
                <w:color w:val="172B4D"/>
                <w:sz w:val="19"/>
              </w:rPr>
              <w:t>Semantic Success</w:t>
            </w:r>
          </w:p>
        </w:tc>
        <w:tc>
          <w:tcPr>
            <w:tcW w:type="dxa" w:w="1440"/>
            <w:shd w:fill="F8FAFC"/>
            <w:tcMar>
              <w:top w:w="100" w:type="dxa"/>
              <w:bottom w:w="100" w:type="dxa"/>
              <w:left w:w="150" w:type="dxa"/>
              <w:right w:w="150" w:type="dxa"/>
            </w:tcMar>
          </w:tcPr>
          <w:p>
            <w:r>
              <w:rPr>
                <w:rFonts w:ascii="Segoe UI" w:hAnsi="Segoe UI"/>
                <w:color w:val="172B4D"/>
                <w:sz w:val="19"/>
              </w:rPr>
              <w:t>#15803D</w:t>
            </w:r>
          </w:p>
        </w:tc>
        <w:tc>
          <w:tcPr>
            <w:tcW w:type="dxa" w:w="3888"/>
            <w:shd w:fill="F8FAFC"/>
            <w:tcMar>
              <w:top w:w="100" w:type="dxa"/>
              <w:bottom w:w="100" w:type="dxa"/>
              <w:left w:w="150" w:type="dxa"/>
              <w:right w:w="150" w:type="dxa"/>
            </w:tcMar>
          </w:tcPr>
          <w:p>
            <w:r>
              <w:rPr>
                <w:rFonts w:ascii="Segoe UI" w:hAnsi="Segoe UI"/>
                <w:color w:val="172B4D"/>
                <w:sz w:val="19"/>
              </w:rPr>
              <w:t>Doses marked taken, optimal adherence meter</w:t>
            </w:r>
          </w:p>
        </w:tc>
        <w:tc>
          <w:tcPr>
            <w:tcW w:type="dxa" w:w="1872"/>
            <w:shd w:fill="F8FAFC"/>
            <w:tcMar>
              <w:top w:w="100" w:type="dxa"/>
              <w:bottom w:w="100" w:type="dxa"/>
              <w:left w:w="150" w:type="dxa"/>
              <w:right w:w="150" w:type="dxa"/>
            </w:tcMar>
          </w:tcPr>
          <w:p>
            <w:r>
              <w:rPr>
                <w:rFonts w:ascii="Segoe UI" w:hAnsi="Segoe UI"/>
                <w:color w:val="172B4D"/>
                <w:sz w:val="19"/>
              </w:rPr>
              <w:t>AA Pass</w:t>
            </w:r>
          </w:p>
        </w:tc>
      </w:tr>
      <w:tr>
        <w:tc>
          <w:tcPr>
            <w:tcW w:type="dxa" w:w="2160"/>
            <w:shd w:fill="FFFFFF"/>
            <w:tcMar>
              <w:top w:w="100" w:type="dxa"/>
              <w:bottom w:w="100" w:type="dxa"/>
              <w:left w:w="150" w:type="dxa"/>
              <w:right w:w="150" w:type="dxa"/>
            </w:tcMar>
          </w:tcPr>
          <w:p>
            <w:r>
              <w:rPr>
                <w:rFonts w:ascii="Segoe UI" w:hAnsi="Segoe UI"/>
                <w:color w:val="172B4D"/>
                <w:sz w:val="19"/>
              </w:rPr>
              <w:t>Semantic Warning</w:t>
            </w:r>
          </w:p>
        </w:tc>
        <w:tc>
          <w:tcPr>
            <w:tcW w:type="dxa" w:w="1440"/>
            <w:shd w:fill="FFFFFF"/>
            <w:tcMar>
              <w:top w:w="100" w:type="dxa"/>
              <w:bottom w:w="100" w:type="dxa"/>
              <w:left w:w="150" w:type="dxa"/>
              <w:right w:w="150" w:type="dxa"/>
            </w:tcMar>
          </w:tcPr>
          <w:p>
            <w:r>
              <w:rPr>
                <w:rFonts w:ascii="Segoe UI" w:hAnsi="Segoe UI"/>
                <w:color w:val="172B4D"/>
                <w:sz w:val="19"/>
              </w:rPr>
              <w:t>#B45309</w:t>
            </w:r>
          </w:p>
        </w:tc>
        <w:tc>
          <w:tcPr>
            <w:tcW w:type="dxa" w:w="3888"/>
            <w:shd w:fill="FFFFFF"/>
            <w:tcMar>
              <w:top w:w="100" w:type="dxa"/>
              <w:bottom w:w="100" w:type="dxa"/>
              <w:left w:w="150" w:type="dxa"/>
              <w:right w:w="150" w:type="dxa"/>
            </w:tcMar>
          </w:tcPr>
          <w:p>
            <w:r>
              <w:rPr>
                <w:rFonts w:ascii="Segoe UI" w:hAnsi="Segoe UI"/>
                <w:color w:val="172B4D"/>
                <w:sz w:val="19"/>
              </w:rPr>
              <w:t>Pending reminder alerts, clinical precautions</w:t>
            </w:r>
          </w:p>
        </w:tc>
        <w:tc>
          <w:tcPr>
            <w:tcW w:type="dxa" w:w="1872"/>
            <w:shd w:fill="FFFFFF"/>
            <w:tcMar>
              <w:top w:w="100" w:type="dxa"/>
              <w:bottom w:w="100" w:type="dxa"/>
              <w:left w:w="150" w:type="dxa"/>
              <w:right w:w="150" w:type="dxa"/>
            </w:tcMar>
          </w:tcPr>
          <w:p>
            <w:r>
              <w:rPr>
                <w:rFonts w:ascii="Segoe UI" w:hAnsi="Segoe UI"/>
                <w:color w:val="172B4D"/>
                <w:sz w:val="19"/>
              </w:rPr>
              <w:t>AA Pass</w:t>
            </w:r>
          </w:p>
        </w:tc>
      </w:tr>
      <w:tr>
        <w:tc>
          <w:tcPr>
            <w:tcW w:type="dxa" w:w="2160"/>
            <w:shd w:fill="F8FAFC"/>
            <w:tcMar>
              <w:top w:w="100" w:type="dxa"/>
              <w:bottom w:w="100" w:type="dxa"/>
              <w:left w:w="150" w:type="dxa"/>
              <w:right w:w="150" w:type="dxa"/>
            </w:tcMar>
          </w:tcPr>
          <w:p>
            <w:r>
              <w:rPr>
                <w:rFonts w:ascii="Segoe UI" w:hAnsi="Segoe UI"/>
                <w:color w:val="172B4D"/>
                <w:sz w:val="19"/>
              </w:rPr>
              <w:t>Semantic Error</w:t>
            </w:r>
          </w:p>
        </w:tc>
        <w:tc>
          <w:tcPr>
            <w:tcW w:type="dxa" w:w="1440"/>
            <w:shd w:fill="F8FAFC"/>
            <w:tcMar>
              <w:top w:w="100" w:type="dxa"/>
              <w:bottom w:w="100" w:type="dxa"/>
              <w:left w:w="150" w:type="dxa"/>
              <w:right w:w="150" w:type="dxa"/>
            </w:tcMar>
          </w:tcPr>
          <w:p>
            <w:r>
              <w:rPr>
                <w:rFonts w:ascii="Segoe UI" w:hAnsi="Segoe UI"/>
                <w:color w:val="172B4D"/>
                <w:sz w:val="19"/>
              </w:rPr>
              <w:t>#B91C1C</w:t>
            </w:r>
          </w:p>
        </w:tc>
        <w:tc>
          <w:tcPr>
            <w:tcW w:type="dxa" w:w="3888"/>
            <w:shd w:fill="F8FAFC"/>
            <w:tcMar>
              <w:top w:w="100" w:type="dxa"/>
              <w:bottom w:w="100" w:type="dxa"/>
              <w:left w:w="150" w:type="dxa"/>
              <w:right w:w="150" w:type="dxa"/>
            </w:tcMar>
          </w:tcPr>
          <w:p>
            <w:r>
              <w:rPr>
                <w:rFonts w:ascii="Segoe UI" w:hAnsi="Segoe UI"/>
                <w:color w:val="172B4D"/>
                <w:sz w:val="19"/>
              </w:rPr>
              <w:t>24/7 ER Trauma indicators, skipped doses, destructive actions</w:t>
            </w:r>
          </w:p>
        </w:tc>
        <w:tc>
          <w:tcPr>
            <w:tcW w:type="dxa" w:w="1872"/>
            <w:shd w:fill="F8FAFC"/>
            <w:tcMar>
              <w:top w:w="100" w:type="dxa"/>
              <w:bottom w:w="100" w:type="dxa"/>
              <w:left w:w="150" w:type="dxa"/>
              <w:right w:w="150" w:type="dxa"/>
            </w:tcMar>
          </w:tcPr>
          <w:p>
            <w:r>
              <w:rPr>
                <w:rFonts w:ascii="Segoe UI" w:hAnsi="Segoe UI"/>
                <w:color w:val="172B4D"/>
                <w:sz w:val="19"/>
              </w:rPr>
              <w:t>AA Pass</w:t>
            </w:r>
          </w:p>
        </w:tc>
      </w:tr>
    </w:tbl>
    <w:p>
      <w:pPr>
        <w:spacing w:after="200"/>
      </w:pPr>
    </w:p>
    <w:p>
      <w:pPr>
        <w:pStyle w:val="Heading1"/>
      </w:pPr>
      <w:r>
        <w:t>4. Comprehensive Route &amp; Feature Breakdown</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0D9488"/>
            <w:tcMar>
              <w:top w:w="140" w:type="dxa"/>
              <w:bottom w:w="140" w:type="dxa"/>
              <w:left w:w="150" w:type="dxa"/>
              <w:right w:w="150" w:type="dxa"/>
            </w:tcMar>
          </w:tcPr>
          <w:p>
            <w:pPr>
              <w:jc w:val="left"/>
            </w:pPr>
            <w:r>
              <w:rPr>
                <w:rFonts w:ascii="Segoe UI" w:hAnsi="Segoe UI"/>
                <w:b/>
                <w:color w:val="FFFFFF"/>
                <w:sz w:val="20"/>
              </w:rPr>
              <w:t>Route</w:t>
            </w:r>
          </w:p>
        </w:tc>
        <w:tc>
          <w:tcPr>
            <w:tcW w:type="dxa" w:w="2592"/>
            <w:shd w:fill="0D9488"/>
            <w:tcMar>
              <w:top w:w="140" w:type="dxa"/>
              <w:bottom w:w="140" w:type="dxa"/>
              <w:left w:w="150" w:type="dxa"/>
              <w:right w:w="150" w:type="dxa"/>
            </w:tcMar>
          </w:tcPr>
          <w:p>
            <w:pPr>
              <w:jc w:val="left"/>
            </w:pPr>
            <w:r>
              <w:rPr>
                <w:rFonts w:ascii="Segoe UI" w:hAnsi="Segoe UI"/>
                <w:b/>
                <w:color w:val="FFFFFF"/>
                <w:sz w:val="20"/>
              </w:rPr>
              <w:t>Module Name</w:t>
            </w:r>
          </w:p>
        </w:tc>
        <w:tc>
          <w:tcPr>
            <w:tcW w:type="dxa" w:w="5040"/>
            <w:shd w:fill="0D9488"/>
            <w:tcMar>
              <w:top w:w="140" w:type="dxa"/>
              <w:bottom w:w="140" w:type="dxa"/>
              <w:left w:w="150" w:type="dxa"/>
              <w:right w:w="150" w:type="dxa"/>
            </w:tcMar>
          </w:tcPr>
          <w:p>
            <w:pPr>
              <w:jc w:val="left"/>
            </w:pPr>
            <w:r>
              <w:rPr>
                <w:rFonts w:ascii="Segoe UI" w:hAnsi="Segoe UI"/>
                <w:b/>
                <w:color w:val="FFFFFF"/>
                <w:sz w:val="20"/>
              </w:rPr>
              <w:t>Implemented Core Features</w:t>
            </w:r>
          </w:p>
        </w:tc>
      </w:tr>
      <w:tr>
        <w:tc>
          <w:tcPr>
            <w:tcW w:type="dxa" w:w="1728"/>
            <w:shd w:fill="FFFFFF"/>
            <w:tcMar>
              <w:top w:w="100" w:type="dxa"/>
              <w:bottom w:w="100" w:type="dxa"/>
              <w:left w:w="150" w:type="dxa"/>
              <w:right w:w="150" w:type="dxa"/>
            </w:tcMar>
          </w:tcPr>
          <w:p>
            <w:r>
              <w:rPr>
                <w:rFonts w:ascii="Segoe UI" w:hAnsi="Segoe UI"/>
                <w:color w:val="172B4D"/>
                <w:sz w:val="19"/>
              </w:rPr>
              <w:t>/</w:t>
            </w:r>
          </w:p>
        </w:tc>
        <w:tc>
          <w:tcPr>
            <w:tcW w:type="dxa" w:w="2592"/>
            <w:shd w:fill="FFFFFF"/>
            <w:tcMar>
              <w:top w:w="100" w:type="dxa"/>
              <w:bottom w:w="100" w:type="dxa"/>
              <w:left w:w="150" w:type="dxa"/>
              <w:right w:w="150" w:type="dxa"/>
            </w:tcMar>
          </w:tcPr>
          <w:p>
            <w:r>
              <w:rPr>
                <w:rFonts w:ascii="Segoe UI" w:hAnsi="Segoe UI"/>
                <w:color w:val="172B4D"/>
                <w:sz w:val="19"/>
              </w:rPr>
              <w:t>Public Landing Page</w:t>
            </w:r>
          </w:p>
        </w:tc>
        <w:tc>
          <w:tcPr>
            <w:tcW w:type="dxa" w:w="5040"/>
            <w:shd w:fill="FFFFFF"/>
            <w:tcMar>
              <w:top w:w="100" w:type="dxa"/>
              <w:bottom w:w="100" w:type="dxa"/>
              <w:left w:w="150" w:type="dxa"/>
              <w:right w:w="150" w:type="dxa"/>
            </w:tcMar>
          </w:tcPr>
          <w:p>
            <w:r>
              <w:rPr>
                <w:rFonts w:ascii="Segoe UI" w:hAnsi="Segoe UI"/>
                <w:color w:val="172B4D"/>
                <w:sz w:val="19"/>
              </w:rPr>
              <w:t>Hero headline, live adherence preview, 6 feature cards, 4-step workflow, FAQ accordion, footer.</w:t>
            </w:r>
          </w:p>
        </w:tc>
      </w:tr>
      <w:tr>
        <w:tc>
          <w:tcPr>
            <w:tcW w:type="dxa" w:w="1728"/>
            <w:shd w:fill="F8FAFC"/>
            <w:tcMar>
              <w:top w:w="100" w:type="dxa"/>
              <w:bottom w:w="100" w:type="dxa"/>
              <w:left w:w="150" w:type="dxa"/>
              <w:right w:w="150" w:type="dxa"/>
            </w:tcMar>
          </w:tcPr>
          <w:p>
            <w:r>
              <w:rPr>
                <w:rFonts w:ascii="Segoe UI" w:hAnsi="Segoe UI"/>
                <w:color w:val="172B4D"/>
                <w:sz w:val="19"/>
              </w:rPr>
              <w:t>/dashboard</w:t>
            </w:r>
          </w:p>
        </w:tc>
        <w:tc>
          <w:tcPr>
            <w:tcW w:type="dxa" w:w="2592"/>
            <w:shd w:fill="F8FAFC"/>
            <w:tcMar>
              <w:top w:w="100" w:type="dxa"/>
              <w:bottom w:w="100" w:type="dxa"/>
              <w:left w:w="150" w:type="dxa"/>
              <w:right w:w="150" w:type="dxa"/>
            </w:tcMar>
          </w:tcPr>
          <w:p>
            <w:r>
              <w:rPr>
                <w:rFonts w:ascii="Segoe UI" w:hAnsi="Segoe UI"/>
                <w:color w:val="172B4D"/>
                <w:sz w:val="19"/>
              </w:rPr>
              <w:t>Patient Dashboard</w:t>
            </w:r>
          </w:p>
        </w:tc>
        <w:tc>
          <w:tcPr>
            <w:tcW w:type="dxa" w:w="5040"/>
            <w:shd w:fill="F8FAFC"/>
            <w:tcMar>
              <w:top w:w="100" w:type="dxa"/>
              <w:bottom w:w="100" w:type="dxa"/>
              <w:left w:w="150" w:type="dxa"/>
              <w:right w:w="150" w:type="dxa"/>
            </w:tcMar>
          </w:tcPr>
          <w:p>
            <w:r>
              <w:rPr>
                <w:rFonts w:ascii="Segoe UI" w:hAnsi="Segoe UI"/>
                <w:color w:val="172B4D"/>
                <w:sz w:val="19"/>
              </w:rPr>
              <w:t>Adherence score (85%), today's timeline, upcoming doses, saved medicines shelf, emergency banner.</w:t>
            </w:r>
          </w:p>
        </w:tc>
      </w:tr>
      <w:tr>
        <w:tc>
          <w:tcPr>
            <w:tcW w:type="dxa" w:w="1728"/>
            <w:shd w:fill="FFFFFF"/>
            <w:tcMar>
              <w:top w:w="100" w:type="dxa"/>
              <w:bottom w:w="100" w:type="dxa"/>
              <w:left w:w="150" w:type="dxa"/>
              <w:right w:w="150" w:type="dxa"/>
            </w:tcMar>
          </w:tcPr>
          <w:p>
            <w:r>
              <w:rPr>
                <w:rFonts w:ascii="Segoe UI" w:hAnsi="Segoe UI"/>
                <w:color w:val="172B4D"/>
                <w:sz w:val="19"/>
              </w:rPr>
              <w:t>/medicines</w:t>
            </w:r>
          </w:p>
        </w:tc>
        <w:tc>
          <w:tcPr>
            <w:tcW w:type="dxa" w:w="2592"/>
            <w:shd w:fill="FFFFFF"/>
            <w:tcMar>
              <w:top w:w="100" w:type="dxa"/>
              <w:bottom w:w="100" w:type="dxa"/>
              <w:left w:w="150" w:type="dxa"/>
              <w:right w:w="150" w:type="dxa"/>
            </w:tcMar>
          </w:tcPr>
          <w:p>
            <w:r>
              <w:rPr>
                <w:rFonts w:ascii="Segoe UI" w:hAnsi="Segoe UI"/>
                <w:color w:val="172B4D"/>
                <w:sz w:val="19"/>
              </w:rPr>
              <w:t>Medicine Explorer</w:t>
            </w:r>
          </w:p>
        </w:tc>
        <w:tc>
          <w:tcPr>
            <w:tcW w:type="dxa" w:w="5040"/>
            <w:shd w:fill="FFFFFF"/>
            <w:tcMar>
              <w:top w:w="100" w:type="dxa"/>
              <w:bottom w:w="100" w:type="dxa"/>
              <w:left w:w="150" w:type="dxa"/>
              <w:right w:w="150" w:type="dxa"/>
            </w:tcMar>
          </w:tcPr>
          <w:p>
            <w:r>
              <w:rPr>
                <w:rFonts w:ascii="Segoe UI" w:hAnsi="Segoe UI"/>
                <w:color w:val="172B4D"/>
                <w:sz w:val="19"/>
              </w:rPr>
              <w:t>Debounced search across brand &amp; active salts, category pills, dosage form filter, Rx vs OTC toggle.</w:t>
            </w:r>
          </w:p>
        </w:tc>
      </w:tr>
      <w:tr>
        <w:tc>
          <w:tcPr>
            <w:tcW w:type="dxa" w:w="1728"/>
            <w:shd w:fill="F8FAFC"/>
            <w:tcMar>
              <w:top w:w="100" w:type="dxa"/>
              <w:bottom w:w="100" w:type="dxa"/>
              <w:left w:w="150" w:type="dxa"/>
              <w:right w:w="150" w:type="dxa"/>
            </w:tcMar>
          </w:tcPr>
          <w:p>
            <w:r>
              <w:rPr>
                <w:rFonts w:ascii="Segoe UI" w:hAnsi="Segoe UI"/>
                <w:color w:val="172B4D"/>
                <w:sz w:val="19"/>
              </w:rPr>
              <w:t>/medicines/:id</w:t>
            </w:r>
          </w:p>
        </w:tc>
        <w:tc>
          <w:tcPr>
            <w:tcW w:type="dxa" w:w="2592"/>
            <w:shd w:fill="F8FAFC"/>
            <w:tcMar>
              <w:top w:w="100" w:type="dxa"/>
              <w:bottom w:w="100" w:type="dxa"/>
              <w:left w:w="150" w:type="dxa"/>
              <w:right w:w="150" w:type="dxa"/>
            </w:tcMar>
          </w:tcPr>
          <w:p>
            <w:r>
              <w:rPr>
                <w:rFonts w:ascii="Segoe UI" w:hAnsi="Segoe UI"/>
                <w:color w:val="172B4D"/>
                <w:sz w:val="19"/>
              </w:rPr>
              <w:t>Clinical Profile</w:t>
            </w:r>
          </w:p>
        </w:tc>
        <w:tc>
          <w:tcPr>
            <w:tcW w:type="dxa" w:w="5040"/>
            <w:shd w:fill="F8FAFC"/>
            <w:tcMar>
              <w:top w:w="100" w:type="dxa"/>
              <w:bottom w:w="100" w:type="dxa"/>
              <w:left w:w="150" w:type="dxa"/>
              <w:right w:w="150" w:type="dxa"/>
            </w:tcMar>
          </w:tcPr>
          <w:p>
            <w:r>
              <w:rPr>
                <w:rFonts w:ascii="Segoe UI" w:hAnsi="Segoe UI"/>
                <w:color w:val="172B4D"/>
                <w:sz w:val="19"/>
              </w:rPr>
              <w:t>Therapeutic uses, regimen model, clinical warnings, side-effect frequencies, WHO/FDA citations.</w:t>
            </w:r>
          </w:p>
        </w:tc>
      </w:tr>
      <w:tr>
        <w:tc>
          <w:tcPr>
            <w:tcW w:type="dxa" w:w="1728"/>
            <w:shd w:fill="FFFFFF"/>
            <w:tcMar>
              <w:top w:w="100" w:type="dxa"/>
              <w:bottom w:w="100" w:type="dxa"/>
              <w:left w:w="150" w:type="dxa"/>
              <w:right w:w="150" w:type="dxa"/>
            </w:tcMar>
          </w:tcPr>
          <w:p>
            <w:r>
              <w:rPr>
                <w:rFonts w:ascii="Segoe UI" w:hAnsi="Segoe UI"/>
                <w:color w:val="172B4D"/>
                <w:sz w:val="19"/>
              </w:rPr>
              <w:t>/reminders</w:t>
            </w:r>
          </w:p>
        </w:tc>
        <w:tc>
          <w:tcPr>
            <w:tcW w:type="dxa" w:w="2592"/>
            <w:shd w:fill="FFFFFF"/>
            <w:tcMar>
              <w:top w:w="100" w:type="dxa"/>
              <w:bottom w:w="100" w:type="dxa"/>
              <w:left w:w="150" w:type="dxa"/>
              <w:right w:w="150" w:type="dxa"/>
            </w:tcMar>
          </w:tcPr>
          <w:p>
            <w:r>
              <w:rPr>
                <w:rFonts w:ascii="Segoe UI" w:hAnsi="Segoe UI"/>
                <w:color w:val="172B4D"/>
                <w:sz w:val="19"/>
              </w:rPr>
              <w:t>Reminder Manager</w:t>
            </w:r>
          </w:p>
        </w:tc>
        <w:tc>
          <w:tcPr>
            <w:tcW w:type="dxa" w:w="5040"/>
            <w:shd w:fill="FFFFFF"/>
            <w:tcMar>
              <w:top w:w="100" w:type="dxa"/>
              <w:bottom w:w="100" w:type="dxa"/>
              <w:left w:w="150" w:type="dxa"/>
              <w:right w:w="150" w:type="dxa"/>
            </w:tcMar>
          </w:tcPr>
          <w:p>
            <w:r>
              <w:rPr>
                <w:rFonts w:ascii="Segoe UI" w:hAnsi="Segoe UI"/>
                <w:color w:val="172B4D"/>
                <w:sz w:val="19"/>
              </w:rPr>
              <w:t>Time-slot sorting (Morning/Noon/PM/Night), status toggles (Taken/Skip/Pending), add/edit modal.</w:t>
            </w:r>
          </w:p>
        </w:tc>
      </w:tr>
      <w:tr>
        <w:tc>
          <w:tcPr>
            <w:tcW w:type="dxa" w:w="1728"/>
            <w:shd w:fill="F8FAFC"/>
            <w:tcMar>
              <w:top w:w="100" w:type="dxa"/>
              <w:bottom w:w="100" w:type="dxa"/>
              <w:left w:w="150" w:type="dxa"/>
              <w:right w:w="150" w:type="dxa"/>
            </w:tcMar>
          </w:tcPr>
          <w:p>
            <w:r>
              <w:rPr>
                <w:rFonts w:ascii="Segoe UI" w:hAnsi="Segoe UI"/>
                <w:color w:val="172B4D"/>
                <w:sz w:val="19"/>
              </w:rPr>
              <w:t>/records</w:t>
            </w:r>
          </w:p>
        </w:tc>
        <w:tc>
          <w:tcPr>
            <w:tcW w:type="dxa" w:w="2592"/>
            <w:shd w:fill="F8FAFC"/>
            <w:tcMar>
              <w:top w:w="100" w:type="dxa"/>
              <w:bottom w:w="100" w:type="dxa"/>
              <w:left w:w="150" w:type="dxa"/>
              <w:right w:w="150" w:type="dxa"/>
            </w:tcMar>
          </w:tcPr>
          <w:p>
            <w:r>
              <w:rPr>
                <w:rFonts w:ascii="Segoe UI" w:hAnsi="Segoe UI"/>
                <w:color w:val="172B4D"/>
                <w:sz w:val="19"/>
              </w:rPr>
              <w:t>Digital Health Vault</w:t>
            </w:r>
          </w:p>
        </w:tc>
        <w:tc>
          <w:tcPr>
            <w:tcW w:type="dxa" w:w="5040"/>
            <w:shd w:fill="F8FAFC"/>
            <w:tcMar>
              <w:top w:w="100" w:type="dxa"/>
              <w:bottom w:w="100" w:type="dxa"/>
              <w:left w:w="150" w:type="dxa"/>
              <w:right w:w="150" w:type="dxa"/>
            </w:tcMar>
          </w:tcPr>
          <w:p>
            <w:r>
              <w:rPr>
                <w:rFonts w:ascii="Segoe UI" w:hAnsi="Segoe UI"/>
                <w:color w:val="172B4D"/>
                <w:sz w:val="19"/>
              </w:rPr>
              <w:t>File ingestion (PDF/JPG/PNG &lt;10MB), metadata tagging, in-browser inspection modal, print/download.</w:t>
            </w:r>
          </w:p>
        </w:tc>
      </w:tr>
      <w:tr>
        <w:tc>
          <w:tcPr>
            <w:tcW w:type="dxa" w:w="1728"/>
            <w:shd w:fill="FFFFFF"/>
            <w:tcMar>
              <w:top w:w="100" w:type="dxa"/>
              <w:bottom w:w="100" w:type="dxa"/>
              <w:left w:w="150" w:type="dxa"/>
              <w:right w:w="150" w:type="dxa"/>
            </w:tcMar>
          </w:tcPr>
          <w:p>
            <w:r>
              <w:rPr>
                <w:rFonts w:ascii="Segoe UI" w:hAnsi="Segoe UI"/>
                <w:color w:val="172B4D"/>
                <w:sz w:val="19"/>
              </w:rPr>
              <w:t>/facilities</w:t>
            </w:r>
          </w:p>
        </w:tc>
        <w:tc>
          <w:tcPr>
            <w:tcW w:type="dxa" w:w="2592"/>
            <w:shd w:fill="FFFFFF"/>
            <w:tcMar>
              <w:top w:w="100" w:type="dxa"/>
              <w:bottom w:w="100" w:type="dxa"/>
              <w:left w:w="150" w:type="dxa"/>
              <w:right w:w="150" w:type="dxa"/>
            </w:tcMar>
          </w:tcPr>
          <w:p>
            <w:r>
              <w:rPr>
                <w:rFonts w:ascii="Segoe UI" w:hAnsi="Segoe UI"/>
                <w:color w:val="172B4D"/>
                <w:sz w:val="19"/>
              </w:rPr>
              <w:t>Facility Explorer</w:t>
            </w:r>
          </w:p>
        </w:tc>
        <w:tc>
          <w:tcPr>
            <w:tcW w:type="dxa" w:w="5040"/>
            <w:shd w:fill="FFFFFF"/>
            <w:tcMar>
              <w:top w:w="100" w:type="dxa"/>
              <w:bottom w:w="100" w:type="dxa"/>
              <w:left w:w="150" w:type="dxa"/>
              <w:right w:w="150" w:type="dxa"/>
            </w:tcMar>
          </w:tcPr>
          <w:p>
            <w:r>
              <w:rPr>
                <w:rFonts w:ascii="Segoe UI" w:hAnsi="Segoe UI"/>
                <w:color w:val="172B4D"/>
                <w:sz w:val="19"/>
              </w:rPr>
              <w:t>Interactive SVG area map with pins, 24/7 ER and Open Now filters, phone links, Google Maps routes.</w:t>
            </w:r>
          </w:p>
        </w:tc>
      </w:tr>
      <w:tr>
        <w:tc>
          <w:tcPr>
            <w:tcW w:type="dxa" w:w="1728"/>
            <w:shd w:fill="F8FAFC"/>
            <w:tcMar>
              <w:top w:w="100" w:type="dxa"/>
              <w:bottom w:w="100" w:type="dxa"/>
              <w:left w:w="150" w:type="dxa"/>
              <w:right w:w="150" w:type="dxa"/>
            </w:tcMar>
          </w:tcPr>
          <w:p>
            <w:r>
              <w:rPr>
                <w:rFonts w:ascii="Segoe UI" w:hAnsi="Segoe UI"/>
                <w:color w:val="172B4D"/>
                <w:sz w:val="19"/>
              </w:rPr>
              <w:t>/assistant</w:t>
            </w:r>
          </w:p>
        </w:tc>
        <w:tc>
          <w:tcPr>
            <w:tcW w:type="dxa" w:w="2592"/>
            <w:shd w:fill="F8FAFC"/>
            <w:tcMar>
              <w:top w:w="100" w:type="dxa"/>
              <w:bottom w:w="100" w:type="dxa"/>
              <w:left w:w="150" w:type="dxa"/>
              <w:right w:w="150" w:type="dxa"/>
            </w:tcMar>
          </w:tcPr>
          <w:p>
            <w:r>
              <w:rPr>
                <w:rFonts w:ascii="Segoe UI" w:hAnsi="Segoe UI"/>
                <w:color w:val="172B4D"/>
                <w:sz w:val="19"/>
              </w:rPr>
              <w:t>Health Literacy AI</w:t>
            </w:r>
          </w:p>
        </w:tc>
        <w:tc>
          <w:tcPr>
            <w:tcW w:type="dxa" w:w="5040"/>
            <w:shd w:fill="F8FAFC"/>
            <w:tcMar>
              <w:top w:w="100" w:type="dxa"/>
              <w:bottom w:w="100" w:type="dxa"/>
              <w:left w:w="150" w:type="dxa"/>
              <w:right w:w="150" w:type="dxa"/>
            </w:tcMar>
          </w:tcPr>
          <w:p>
            <w:r>
              <w:rPr>
                <w:rFonts w:ascii="Segoe UI" w:hAnsi="Segoe UI"/>
                <w:color w:val="172B4D"/>
                <w:sz w:val="19"/>
              </w:rPr>
              <w:t>Bilingual (English &amp; Hindi) educational assistant for reading leaflets and prescription shorthand.</w:t>
            </w:r>
          </w:p>
        </w:tc>
      </w:tr>
      <w:tr>
        <w:tc>
          <w:tcPr>
            <w:tcW w:type="dxa" w:w="1728"/>
            <w:shd w:fill="FFFFFF"/>
            <w:tcMar>
              <w:top w:w="100" w:type="dxa"/>
              <w:bottom w:w="100" w:type="dxa"/>
              <w:left w:w="150" w:type="dxa"/>
              <w:right w:w="150" w:type="dxa"/>
            </w:tcMar>
          </w:tcPr>
          <w:p>
            <w:r>
              <w:rPr>
                <w:rFonts w:ascii="Segoe UI" w:hAnsi="Segoe UI"/>
                <w:color w:val="172B4D"/>
                <w:sz w:val="19"/>
              </w:rPr>
              <w:t>/settings</w:t>
            </w:r>
          </w:p>
        </w:tc>
        <w:tc>
          <w:tcPr>
            <w:tcW w:type="dxa" w:w="2592"/>
            <w:shd w:fill="FFFFFF"/>
            <w:tcMar>
              <w:top w:w="100" w:type="dxa"/>
              <w:bottom w:w="100" w:type="dxa"/>
              <w:left w:w="150" w:type="dxa"/>
              <w:right w:w="150" w:type="dxa"/>
            </w:tcMar>
          </w:tcPr>
          <w:p>
            <w:r>
              <w:rPr>
                <w:rFonts w:ascii="Segoe UI" w:hAnsi="Segoe UI"/>
                <w:color w:val="172B4D"/>
                <w:sz w:val="19"/>
              </w:rPr>
              <w:t>Preferences &amp; Settings</w:t>
            </w:r>
          </w:p>
        </w:tc>
        <w:tc>
          <w:tcPr>
            <w:tcW w:type="dxa" w:w="5040"/>
            <w:shd w:fill="FFFFFF"/>
            <w:tcMar>
              <w:top w:w="100" w:type="dxa"/>
              <w:bottom w:w="100" w:type="dxa"/>
              <w:left w:w="150" w:type="dxa"/>
              <w:right w:w="150" w:type="dxa"/>
            </w:tcMar>
          </w:tcPr>
          <w:p>
            <w:r>
              <w:rPr>
                <w:rFonts w:ascii="Segoe UI" w:hAnsi="Segoe UI"/>
                <w:color w:val="172B4D"/>
                <w:sz w:val="19"/>
              </w:rPr>
              <w:t>Demo profile (Alex Chen), light/dark theme switch, language selector, sound buffers, reset data.</w:t>
            </w:r>
          </w:p>
        </w:tc>
      </w:tr>
      <w:tr>
        <w:tc>
          <w:tcPr>
            <w:tcW w:type="dxa" w:w="1728"/>
            <w:shd w:fill="F8FAFC"/>
            <w:tcMar>
              <w:top w:w="100" w:type="dxa"/>
              <w:bottom w:w="100" w:type="dxa"/>
              <w:left w:w="150" w:type="dxa"/>
              <w:right w:w="150" w:type="dxa"/>
            </w:tcMar>
          </w:tcPr>
          <w:p>
            <w:r>
              <w:rPr>
                <w:rFonts w:ascii="Segoe UI" w:hAnsi="Segoe UI"/>
                <w:color w:val="172B4D"/>
                <w:sz w:val="19"/>
              </w:rPr>
              <w:t>*</w:t>
            </w:r>
          </w:p>
        </w:tc>
        <w:tc>
          <w:tcPr>
            <w:tcW w:type="dxa" w:w="2592"/>
            <w:shd w:fill="F8FAFC"/>
            <w:tcMar>
              <w:top w:w="100" w:type="dxa"/>
              <w:bottom w:w="100" w:type="dxa"/>
              <w:left w:w="150" w:type="dxa"/>
              <w:right w:w="150" w:type="dxa"/>
            </w:tcMar>
          </w:tcPr>
          <w:p>
            <w:r>
              <w:rPr>
                <w:rFonts w:ascii="Segoe UI" w:hAnsi="Segoe UI"/>
                <w:color w:val="172B4D"/>
                <w:sz w:val="19"/>
              </w:rPr>
              <w:t>404 Not Found</w:t>
            </w:r>
          </w:p>
        </w:tc>
        <w:tc>
          <w:tcPr>
            <w:tcW w:type="dxa" w:w="5040"/>
            <w:shd w:fill="F8FAFC"/>
            <w:tcMar>
              <w:top w:w="100" w:type="dxa"/>
              <w:bottom w:w="100" w:type="dxa"/>
              <w:left w:w="150" w:type="dxa"/>
              <w:right w:w="150" w:type="dxa"/>
            </w:tcMar>
          </w:tcPr>
          <w:p>
            <w:r>
              <w:rPr>
                <w:rFonts w:ascii="Segoe UI" w:hAnsi="Segoe UI"/>
                <w:color w:val="172B4D"/>
                <w:sz w:val="19"/>
              </w:rPr>
              <w:t>Clean error page with recovery routing back to the dashboard or homepage.</w:t>
            </w:r>
          </w:p>
        </w:tc>
      </w:tr>
    </w:tbl>
    <w:p>
      <w:pPr>
        <w:spacing w:after="200"/>
      </w:pPr>
    </w:p>
    <w:p>
      <w:pPr>
        <w:pStyle w:val="Heading1"/>
      </w:pPr>
      <w:r>
        <w:t>5. Demonstration Clinical Dataset</w:t>
      </w:r>
    </w:p>
    <w:p>
      <w:pPr>
        <w:spacing w:after="160"/>
      </w:pPr>
      <w:r>
        <w:t>To ensure a realistic competition experience without fabricated clinical claims, MediGuide ships with 10 carefully curated reference medicines citing the World Health Organization (WHO) Model List of Essential Medicines and the US National Library of Medicine (NIH DailyMed):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0D9488"/>
            <w:tcMar>
              <w:top w:w="140" w:type="dxa"/>
              <w:bottom w:w="140" w:type="dxa"/>
              <w:left w:w="150" w:type="dxa"/>
              <w:right w:w="150" w:type="dxa"/>
            </w:tcMar>
          </w:tcPr>
          <w:p>
            <w:pPr>
              <w:jc w:val="left"/>
            </w:pPr>
            <w:r>
              <w:rPr>
                <w:rFonts w:ascii="Segoe UI" w:hAnsi="Segoe UI"/>
                <w:b/>
                <w:color w:val="FFFFFF"/>
                <w:sz w:val="20"/>
              </w:rPr>
              <w:t>Brand &amp; Generic Name</w:t>
            </w:r>
          </w:p>
        </w:tc>
        <w:tc>
          <w:tcPr>
            <w:tcW w:type="dxa" w:w="2160"/>
            <w:shd w:fill="0D9488"/>
            <w:tcMar>
              <w:top w:w="140" w:type="dxa"/>
              <w:bottom w:w="140" w:type="dxa"/>
              <w:left w:w="150" w:type="dxa"/>
              <w:right w:w="150" w:type="dxa"/>
            </w:tcMar>
          </w:tcPr>
          <w:p>
            <w:pPr>
              <w:jc w:val="left"/>
            </w:pPr>
            <w:r>
              <w:rPr>
                <w:rFonts w:ascii="Segoe UI" w:hAnsi="Segoe UI"/>
                <w:b/>
                <w:color w:val="FFFFFF"/>
                <w:sz w:val="20"/>
              </w:rPr>
              <w:t>Form &amp; Strength</w:t>
            </w:r>
          </w:p>
        </w:tc>
        <w:tc>
          <w:tcPr>
            <w:tcW w:type="dxa" w:w="2160"/>
            <w:shd w:fill="0D9488"/>
            <w:tcMar>
              <w:top w:w="140" w:type="dxa"/>
              <w:bottom w:w="140" w:type="dxa"/>
              <w:left w:w="150" w:type="dxa"/>
              <w:right w:w="150" w:type="dxa"/>
            </w:tcMar>
          </w:tcPr>
          <w:p>
            <w:pPr>
              <w:jc w:val="left"/>
            </w:pPr>
            <w:r>
              <w:rPr>
                <w:rFonts w:ascii="Segoe UI" w:hAnsi="Segoe UI"/>
                <w:b/>
                <w:color w:val="FFFFFF"/>
                <w:sz w:val="20"/>
              </w:rPr>
              <w:t>Therapeutic Class</w:t>
            </w:r>
          </w:p>
        </w:tc>
        <w:tc>
          <w:tcPr>
            <w:tcW w:type="dxa" w:w="2160"/>
            <w:shd w:fill="0D9488"/>
            <w:tcMar>
              <w:top w:w="140" w:type="dxa"/>
              <w:bottom w:w="140" w:type="dxa"/>
              <w:left w:w="150" w:type="dxa"/>
              <w:right w:w="150" w:type="dxa"/>
            </w:tcMar>
          </w:tcPr>
          <w:p>
            <w:pPr>
              <w:jc w:val="left"/>
            </w:pPr>
            <w:r>
              <w:rPr>
                <w:rFonts w:ascii="Segoe UI" w:hAnsi="Segoe UI"/>
                <w:b/>
                <w:color w:val="FFFFFF"/>
                <w:sz w:val="20"/>
              </w:rPr>
              <w:t>Reference Source</w:t>
            </w:r>
          </w:p>
        </w:tc>
      </w:tr>
      <w:tr>
        <w:tc>
          <w:tcPr>
            <w:tcW w:type="dxa" w:w="2880"/>
            <w:shd w:fill="FFFFFF"/>
            <w:tcMar>
              <w:top w:w="100" w:type="dxa"/>
              <w:bottom w:w="100" w:type="dxa"/>
              <w:left w:w="150" w:type="dxa"/>
              <w:right w:w="150" w:type="dxa"/>
            </w:tcMar>
          </w:tcPr>
          <w:p>
            <w:r>
              <w:rPr>
                <w:rFonts w:ascii="Segoe UI" w:hAnsi="Segoe UI"/>
                <w:color w:val="172B4D"/>
                <w:sz w:val="19"/>
              </w:rPr>
              <w:t>Glucophage (Metformin HCl)</w:t>
            </w:r>
          </w:p>
        </w:tc>
        <w:tc>
          <w:tcPr>
            <w:tcW w:type="dxa" w:w="2160"/>
            <w:shd w:fill="FFFFFF"/>
            <w:tcMar>
              <w:top w:w="100" w:type="dxa"/>
              <w:bottom w:w="100" w:type="dxa"/>
              <w:left w:w="150" w:type="dxa"/>
              <w:right w:w="150" w:type="dxa"/>
            </w:tcMar>
          </w:tcPr>
          <w:p>
            <w:r>
              <w:rPr>
                <w:rFonts w:ascii="Segoe UI" w:hAnsi="Segoe UI"/>
                <w:color w:val="172B4D"/>
                <w:sz w:val="19"/>
              </w:rPr>
              <w:t>500 mg Extended Release</w:t>
            </w:r>
          </w:p>
        </w:tc>
        <w:tc>
          <w:tcPr>
            <w:tcW w:type="dxa" w:w="2160"/>
            <w:shd w:fill="FFFFFF"/>
            <w:tcMar>
              <w:top w:w="100" w:type="dxa"/>
              <w:bottom w:w="100" w:type="dxa"/>
              <w:left w:w="150" w:type="dxa"/>
              <w:right w:w="150" w:type="dxa"/>
            </w:tcMar>
          </w:tcPr>
          <w:p>
            <w:r>
              <w:rPr>
                <w:rFonts w:ascii="Segoe UI" w:hAnsi="Segoe UI"/>
                <w:color w:val="172B4D"/>
                <w:sz w:val="19"/>
              </w:rPr>
              <w:t>Antidiabetic</w:t>
            </w:r>
          </w:p>
        </w:tc>
        <w:tc>
          <w:tcPr>
            <w:tcW w:type="dxa" w:w="2160"/>
            <w:shd w:fill="FFFFFF"/>
            <w:tcMar>
              <w:top w:w="100" w:type="dxa"/>
              <w:bottom w:w="100" w:type="dxa"/>
              <w:left w:w="150" w:type="dxa"/>
              <w:right w:w="150" w:type="dxa"/>
            </w:tcMar>
          </w:tcPr>
          <w:p>
            <w:r>
              <w:rPr>
                <w:rFonts w:ascii="Segoe UI" w:hAnsi="Segoe UI"/>
                <w:color w:val="172B4D"/>
                <w:sz w:val="19"/>
              </w:rPr>
              <w:t>WHO Essential Medicines &amp; NIH</w:t>
            </w:r>
          </w:p>
        </w:tc>
      </w:tr>
      <w:tr>
        <w:tc>
          <w:tcPr>
            <w:tcW w:type="dxa" w:w="2880"/>
            <w:shd w:fill="F8FAFC"/>
            <w:tcMar>
              <w:top w:w="100" w:type="dxa"/>
              <w:bottom w:w="100" w:type="dxa"/>
              <w:left w:w="150" w:type="dxa"/>
              <w:right w:w="150" w:type="dxa"/>
            </w:tcMar>
          </w:tcPr>
          <w:p>
            <w:r>
              <w:rPr>
                <w:rFonts w:ascii="Segoe UI" w:hAnsi="Segoe UI"/>
                <w:color w:val="172B4D"/>
                <w:sz w:val="19"/>
              </w:rPr>
              <w:t>Amoxil (Amoxicillin)</w:t>
            </w:r>
          </w:p>
        </w:tc>
        <w:tc>
          <w:tcPr>
            <w:tcW w:type="dxa" w:w="2160"/>
            <w:shd w:fill="F8FAFC"/>
            <w:tcMar>
              <w:top w:w="100" w:type="dxa"/>
              <w:bottom w:w="100" w:type="dxa"/>
              <w:left w:w="150" w:type="dxa"/>
              <w:right w:w="150" w:type="dxa"/>
            </w:tcMar>
          </w:tcPr>
          <w:p>
            <w:r>
              <w:rPr>
                <w:rFonts w:ascii="Segoe UI" w:hAnsi="Segoe UI"/>
                <w:color w:val="172B4D"/>
                <w:sz w:val="19"/>
              </w:rPr>
              <w:t>500 mg Capsule</w:t>
            </w:r>
          </w:p>
        </w:tc>
        <w:tc>
          <w:tcPr>
            <w:tcW w:type="dxa" w:w="2160"/>
            <w:shd w:fill="F8FAFC"/>
            <w:tcMar>
              <w:top w:w="100" w:type="dxa"/>
              <w:bottom w:w="100" w:type="dxa"/>
              <w:left w:w="150" w:type="dxa"/>
              <w:right w:w="150" w:type="dxa"/>
            </w:tcMar>
          </w:tcPr>
          <w:p>
            <w:r>
              <w:rPr>
                <w:rFonts w:ascii="Segoe UI" w:hAnsi="Segoe UI"/>
                <w:color w:val="172B4D"/>
                <w:sz w:val="19"/>
              </w:rPr>
              <w:t>Antibiotic</w:t>
            </w:r>
          </w:p>
        </w:tc>
        <w:tc>
          <w:tcPr>
            <w:tcW w:type="dxa" w:w="2160"/>
            <w:shd w:fill="F8FAFC"/>
            <w:tcMar>
              <w:top w:w="100" w:type="dxa"/>
              <w:bottom w:w="100" w:type="dxa"/>
              <w:left w:w="150" w:type="dxa"/>
              <w:right w:w="150" w:type="dxa"/>
            </w:tcMar>
          </w:tcPr>
          <w:p>
            <w:r>
              <w:rPr>
                <w:rFonts w:ascii="Segoe UI" w:hAnsi="Segoe UI"/>
                <w:color w:val="172B4D"/>
                <w:sz w:val="19"/>
              </w:rPr>
              <w:t>British National Formulary / WHO</w:t>
            </w:r>
          </w:p>
        </w:tc>
      </w:tr>
      <w:tr>
        <w:tc>
          <w:tcPr>
            <w:tcW w:type="dxa" w:w="2880"/>
            <w:shd w:fill="FFFFFF"/>
            <w:tcMar>
              <w:top w:w="100" w:type="dxa"/>
              <w:bottom w:w="100" w:type="dxa"/>
              <w:left w:w="150" w:type="dxa"/>
              <w:right w:w="150" w:type="dxa"/>
            </w:tcMar>
          </w:tcPr>
          <w:p>
            <w:r>
              <w:rPr>
                <w:rFonts w:ascii="Segoe UI" w:hAnsi="Segoe UI"/>
                <w:color w:val="172B4D"/>
                <w:sz w:val="19"/>
              </w:rPr>
              <w:t>Panadol (Paracetamol)</w:t>
            </w:r>
          </w:p>
        </w:tc>
        <w:tc>
          <w:tcPr>
            <w:tcW w:type="dxa" w:w="2160"/>
            <w:shd w:fill="FFFFFF"/>
            <w:tcMar>
              <w:top w:w="100" w:type="dxa"/>
              <w:bottom w:w="100" w:type="dxa"/>
              <w:left w:w="150" w:type="dxa"/>
              <w:right w:w="150" w:type="dxa"/>
            </w:tcMar>
          </w:tcPr>
          <w:p>
            <w:r>
              <w:rPr>
                <w:rFonts w:ascii="Segoe UI" w:hAnsi="Segoe UI"/>
                <w:color w:val="172B4D"/>
                <w:sz w:val="19"/>
              </w:rPr>
              <w:t>500 mg Oral Tablet</w:t>
            </w:r>
          </w:p>
        </w:tc>
        <w:tc>
          <w:tcPr>
            <w:tcW w:type="dxa" w:w="2160"/>
            <w:shd w:fill="FFFFFF"/>
            <w:tcMar>
              <w:top w:w="100" w:type="dxa"/>
              <w:bottom w:w="100" w:type="dxa"/>
              <w:left w:w="150" w:type="dxa"/>
              <w:right w:w="150" w:type="dxa"/>
            </w:tcMar>
          </w:tcPr>
          <w:p>
            <w:r>
              <w:rPr>
                <w:rFonts w:ascii="Segoe UI" w:hAnsi="Segoe UI"/>
                <w:color w:val="172B4D"/>
                <w:sz w:val="19"/>
              </w:rPr>
              <w:t>Pain Relief / Antipyretic</w:t>
            </w:r>
          </w:p>
        </w:tc>
        <w:tc>
          <w:tcPr>
            <w:tcW w:type="dxa" w:w="2160"/>
            <w:shd w:fill="FFFFFF"/>
            <w:tcMar>
              <w:top w:w="100" w:type="dxa"/>
              <w:bottom w:w="100" w:type="dxa"/>
              <w:left w:w="150" w:type="dxa"/>
              <w:right w:w="150" w:type="dxa"/>
            </w:tcMar>
          </w:tcPr>
          <w:p>
            <w:r>
              <w:rPr>
                <w:rFonts w:ascii="Segoe UI" w:hAnsi="Segoe UI"/>
                <w:color w:val="172B4D"/>
                <w:sz w:val="19"/>
              </w:rPr>
              <w:t>OpenFDA Drug Label Reference</w:t>
            </w:r>
          </w:p>
        </w:tc>
      </w:tr>
      <w:tr>
        <w:tc>
          <w:tcPr>
            <w:tcW w:type="dxa" w:w="2880"/>
            <w:shd w:fill="F8FAFC"/>
            <w:tcMar>
              <w:top w:w="100" w:type="dxa"/>
              <w:bottom w:w="100" w:type="dxa"/>
              <w:left w:w="150" w:type="dxa"/>
              <w:right w:w="150" w:type="dxa"/>
            </w:tcMar>
          </w:tcPr>
          <w:p>
            <w:r>
              <w:rPr>
                <w:rFonts w:ascii="Segoe UI" w:hAnsi="Segoe UI"/>
                <w:color w:val="172B4D"/>
                <w:sz w:val="19"/>
              </w:rPr>
              <w:t>Lipitor (Atorvastatin Calcium)</w:t>
            </w:r>
          </w:p>
        </w:tc>
        <w:tc>
          <w:tcPr>
            <w:tcW w:type="dxa" w:w="2160"/>
            <w:shd w:fill="F8FAFC"/>
            <w:tcMar>
              <w:top w:w="100" w:type="dxa"/>
              <w:bottom w:w="100" w:type="dxa"/>
              <w:left w:w="150" w:type="dxa"/>
              <w:right w:w="150" w:type="dxa"/>
            </w:tcMar>
          </w:tcPr>
          <w:p>
            <w:r>
              <w:rPr>
                <w:rFonts w:ascii="Segoe UI" w:hAnsi="Segoe UI"/>
                <w:color w:val="172B4D"/>
                <w:sz w:val="19"/>
              </w:rPr>
              <w:t>20 mg Oral Tablet</w:t>
            </w:r>
          </w:p>
        </w:tc>
        <w:tc>
          <w:tcPr>
            <w:tcW w:type="dxa" w:w="2160"/>
            <w:shd w:fill="F8FAFC"/>
            <w:tcMar>
              <w:top w:w="100" w:type="dxa"/>
              <w:bottom w:w="100" w:type="dxa"/>
              <w:left w:w="150" w:type="dxa"/>
              <w:right w:w="150" w:type="dxa"/>
            </w:tcMar>
          </w:tcPr>
          <w:p>
            <w:r>
              <w:rPr>
                <w:rFonts w:ascii="Segoe UI" w:hAnsi="Segoe UI"/>
                <w:color w:val="172B4D"/>
                <w:sz w:val="19"/>
              </w:rPr>
              <w:t>Cardiovascular / Statin</w:t>
            </w:r>
          </w:p>
        </w:tc>
        <w:tc>
          <w:tcPr>
            <w:tcW w:type="dxa" w:w="2160"/>
            <w:shd w:fill="F8FAFC"/>
            <w:tcMar>
              <w:top w:w="100" w:type="dxa"/>
              <w:bottom w:w="100" w:type="dxa"/>
              <w:left w:w="150" w:type="dxa"/>
              <w:right w:w="150" w:type="dxa"/>
            </w:tcMar>
          </w:tcPr>
          <w:p>
            <w:r>
              <w:rPr>
                <w:rFonts w:ascii="Segoe UI" w:hAnsi="Segoe UI"/>
                <w:color w:val="172B4D"/>
                <w:sz w:val="19"/>
              </w:rPr>
              <w:t>FDA AccessData Drug Safety</w:t>
            </w:r>
          </w:p>
        </w:tc>
      </w:tr>
      <w:tr>
        <w:tc>
          <w:tcPr>
            <w:tcW w:type="dxa" w:w="2880"/>
            <w:shd w:fill="FFFFFF"/>
            <w:tcMar>
              <w:top w:w="100" w:type="dxa"/>
              <w:bottom w:w="100" w:type="dxa"/>
              <w:left w:w="150" w:type="dxa"/>
              <w:right w:w="150" w:type="dxa"/>
            </w:tcMar>
          </w:tcPr>
          <w:p>
            <w:r>
              <w:rPr>
                <w:rFonts w:ascii="Segoe UI" w:hAnsi="Segoe UI"/>
                <w:color w:val="172B4D"/>
                <w:sz w:val="19"/>
              </w:rPr>
              <w:t>Zyrtec (Cetirizine 2HCl)</w:t>
            </w:r>
          </w:p>
        </w:tc>
        <w:tc>
          <w:tcPr>
            <w:tcW w:type="dxa" w:w="2160"/>
            <w:shd w:fill="FFFFFF"/>
            <w:tcMar>
              <w:top w:w="100" w:type="dxa"/>
              <w:bottom w:w="100" w:type="dxa"/>
              <w:left w:w="150" w:type="dxa"/>
              <w:right w:w="150" w:type="dxa"/>
            </w:tcMar>
          </w:tcPr>
          <w:p>
            <w:r>
              <w:rPr>
                <w:rFonts w:ascii="Segoe UI" w:hAnsi="Segoe UI"/>
                <w:color w:val="172B4D"/>
                <w:sz w:val="19"/>
              </w:rPr>
              <w:t>10 mg Oral Tablet</w:t>
            </w:r>
          </w:p>
        </w:tc>
        <w:tc>
          <w:tcPr>
            <w:tcW w:type="dxa" w:w="2160"/>
            <w:shd w:fill="FFFFFF"/>
            <w:tcMar>
              <w:top w:w="100" w:type="dxa"/>
              <w:bottom w:w="100" w:type="dxa"/>
              <w:left w:w="150" w:type="dxa"/>
              <w:right w:w="150" w:type="dxa"/>
            </w:tcMar>
          </w:tcPr>
          <w:p>
            <w:r>
              <w:rPr>
                <w:rFonts w:ascii="Segoe UI" w:hAnsi="Segoe UI"/>
                <w:color w:val="172B4D"/>
                <w:sz w:val="19"/>
              </w:rPr>
              <w:t>Antihistamine</w:t>
            </w:r>
          </w:p>
        </w:tc>
        <w:tc>
          <w:tcPr>
            <w:tcW w:type="dxa" w:w="2160"/>
            <w:shd w:fill="FFFFFF"/>
            <w:tcMar>
              <w:top w:w="100" w:type="dxa"/>
              <w:bottom w:w="100" w:type="dxa"/>
              <w:left w:w="150" w:type="dxa"/>
              <w:right w:w="150" w:type="dxa"/>
            </w:tcMar>
          </w:tcPr>
          <w:p>
            <w:r>
              <w:rPr>
                <w:rFonts w:ascii="Segoe UI" w:hAnsi="Segoe UI"/>
                <w:color w:val="172B4D"/>
                <w:sz w:val="19"/>
              </w:rPr>
              <w:t>European Medicines Agency (EMA)</w:t>
            </w:r>
          </w:p>
        </w:tc>
      </w:tr>
      <w:tr>
        <w:tc>
          <w:tcPr>
            <w:tcW w:type="dxa" w:w="2880"/>
            <w:shd w:fill="F8FAFC"/>
            <w:tcMar>
              <w:top w:w="100" w:type="dxa"/>
              <w:bottom w:w="100" w:type="dxa"/>
              <w:left w:w="150" w:type="dxa"/>
              <w:right w:w="150" w:type="dxa"/>
            </w:tcMar>
          </w:tcPr>
          <w:p>
            <w:r>
              <w:rPr>
                <w:rFonts w:ascii="Segoe UI" w:hAnsi="Segoe UI"/>
                <w:color w:val="172B4D"/>
                <w:sz w:val="19"/>
              </w:rPr>
              <w:t>Prilosec (Omeprazole Mg)</w:t>
            </w:r>
          </w:p>
        </w:tc>
        <w:tc>
          <w:tcPr>
            <w:tcW w:type="dxa" w:w="2160"/>
            <w:shd w:fill="F8FAFC"/>
            <w:tcMar>
              <w:top w:w="100" w:type="dxa"/>
              <w:bottom w:w="100" w:type="dxa"/>
              <w:left w:w="150" w:type="dxa"/>
              <w:right w:w="150" w:type="dxa"/>
            </w:tcMar>
          </w:tcPr>
          <w:p>
            <w:r>
              <w:rPr>
                <w:rFonts w:ascii="Segoe UI" w:hAnsi="Segoe UI"/>
                <w:color w:val="172B4D"/>
                <w:sz w:val="19"/>
              </w:rPr>
              <w:t>20 mg Capsule</w:t>
            </w:r>
          </w:p>
        </w:tc>
        <w:tc>
          <w:tcPr>
            <w:tcW w:type="dxa" w:w="2160"/>
            <w:shd w:fill="F8FAFC"/>
            <w:tcMar>
              <w:top w:w="100" w:type="dxa"/>
              <w:bottom w:w="100" w:type="dxa"/>
              <w:left w:w="150" w:type="dxa"/>
              <w:right w:w="150" w:type="dxa"/>
            </w:tcMar>
          </w:tcPr>
          <w:p>
            <w:r>
              <w:rPr>
                <w:rFonts w:ascii="Segoe UI" w:hAnsi="Segoe UI"/>
                <w:color w:val="172B4D"/>
                <w:sz w:val="19"/>
              </w:rPr>
              <w:t>Gastrointestinal (PPI)</w:t>
            </w:r>
          </w:p>
        </w:tc>
        <w:tc>
          <w:tcPr>
            <w:tcW w:type="dxa" w:w="2160"/>
            <w:shd w:fill="F8FAFC"/>
            <w:tcMar>
              <w:top w:w="100" w:type="dxa"/>
              <w:bottom w:w="100" w:type="dxa"/>
              <w:left w:w="150" w:type="dxa"/>
              <w:right w:w="150" w:type="dxa"/>
            </w:tcMar>
          </w:tcPr>
          <w:p>
            <w:r>
              <w:rPr>
                <w:rFonts w:ascii="Segoe UI" w:hAnsi="Segoe UI"/>
                <w:color w:val="172B4D"/>
                <w:sz w:val="19"/>
              </w:rPr>
              <w:t>US Pharmacopeia &amp; NIH</w:t>
            </w:r>
          </w:p>
        </w:tc>
      </w:tr>
      <w:tr>
        <w:tc>
          <w:tcPr>
            <w:tcW w:type="dxa" w:w="2880"/>
            <w:shd w:fill="FFFFFF"/>
            <w:tcMar>
              <w:top w:w="100" w:type="dxa"/>
              <w:bottom w:w="100" w:type="dxa"/>
              <w:left w:w="150" w:type="dxa"/>
              <w:right w:w="150" w:type="dxa"/>
            </w:tcMar>
          </w:tcPr>
          <w:p>
            <w:r>
              <w:rPr>
                <w:rFonts w:ascii="Segoe UI" w:hAnsi="Segoe UI"/>
                <w:color w:val="172B4D"/>
                <w:sz w:val="19"/>
              </w:rPr>
              <w:t>Ventolin (Salbutamol Sulfate)</w:t>
            </w:r>
          </w:p>
        </w:tc>
        <w:tc>
          <w:tcPr>
            <w:tcW w:type="dxa" w:w="2160"/>
            <w:shd w:fill="FFFFFF"/>
            <w:tcMar>
              <w:top w:w="100" w:type="dxa"/>
              <w:bottom w:w="100" w:type="dxa"/>
              <w:left w:w="150" w:type="dxa"/>
              <w:right w:w="150" w:type="dxa"/>
            </w:tcMar>
          </w:tcPr>
          <w:p>
            <w:r>
              <w:rPr>
                <w:rFonts w:ascii="Segoe UI" w:hAnsi="Segoe UI"/>
                <w:color w:val="172B4D"/>
                <w:sz w:val="19"/>
              </w:rPr>
              <w:t>100 mcg/actuation Inhaler</w:t>
            </w:r>
          </w:p>
        </w:tc>
        <w:tc>
          <w:tcPr>
            <w:tcW w:type="dxa" w:w="2160"/>
            <w:shd w:fill="FFFFFF"/>
            <w:tcMar>
              <w:top w:w="100" w:type="dxa"/>
              <w:bottom w:w="100" w:type="dxa"/>
              <w:left w:w="150" w:type="dxa"/>
              <w:right w:w="150" w:type="dxa"/>
            </w:tcMar>
          </w:tcPr>
          <w:p>
            <w:r>
              <w:rPr>
                <w:rFonts w:ascii="Segoe UI" w:hAnsi="Segoe UI"/>
                <w:color w:val="172B4D"/>
                <w:sz w:val="19"/>
              </w:rPr>
              <w:t>Respiratory Bronchodilator</w:t>
            </w:r>
          </w:p>
        </w:tc>
        <w:tc>
          <w:tcPr>
            <w:tcW w:type="dxa" w:w="2160"/>
            <w:shd w:fill="FFFFFF"/>
            <w:tcMar>
              <w:top w:w="100" w:type="dxa"/>
              <w:bottom w:w="100" w:type="dxa"/>
              <w:left w:w="150" w:type="dxa"/>
              <w:right w:w="150" w:type="dxa"/>
            </w:tcMar>
          </w:tcPr>
          <w:p>
            <w:r>
              <w:rPr>
                <w:rFonts w:ascii="Segoe UI" w:hAnsi="Segoe UI"/>
                <w:color w:val="172B4D"/>
                <w:sz w:val="19"/>
              </w:rPr>
              <w:t>Global Initiative for Asthma (GINA)</w:t>
            </w:r>
          </w:p>
        </w:tc>
      </w:tr>
      <w:tr>
        <w:tc>
          <w:tcPr>
            <w:tcW w:type="dxa" w:w="2880"/>
            <w:shd w:fill="F8FAFC"/>
            <w:tcMar>
              <w:top w:w="100" w:type="dxa"/>
              <w:bottom w:w="100" w:type="dxa"/>
              <w:left w:w="150" w:type="dxa"/>
              <w:right w:w="150" w:type="dxa"/>
            </w:tcMar>
          </w:tcPr>
          <w:p>
            <w:r>
              <w:rPr>
                <w:rFonts w:ascii="Segoe UI" w:hAnsi="Segoe UI"/>
                <w:color w:val="172B4D"/>
                <w:sz w:val="19"/>
              </w:rPr>
              <w:t>Norvasc (Amlodipine Besylate)</w:t>
            </w:r>
          </w:p>
        </w:tc>
        <w:tc>
          <w:tcPr>
            <w:tcW w:type="dxa" w:w="2160"/>
            <w:shd w:fill="F8FAFC"/>
            <w:tcMar>
              <w:top w:w="100" w:type="dxa"/>
              <w:bottom w:w="100" w:type="dxa"/>
              <w:left w:w="150" w:type="dxa"/>
              <w:right w:w="150" w:type="dxa"/>
            </w:tcMar>
          </w:tcPr>
          <w:p>
            <w:r>
              <w:rPr>
                <w:rFonts w:ascii="Segoe UI" w:hAnsi="Segoe UI"/>
                <w:color w:val="172B4D"/>
                <w:sz w:val="19"/>
              </w:rPr>
              <w:t>5 mg Oral Tablet</w:t>
            </w:r>
          </w:p>
        </w:tc>
        <w:tc>
          <w:tcPr>
            <w:tcW w:type="dxa" w:w="2160"/>
            <w:shd w:fill="F8FAFC"/>
            <w:tcMar>
              <w:top w:w="100" w:type="dxa"/>
              <w:bottom w:w="100" w:type="dxa"/>
              <w:left w:w="150" w:type="dxa"/>
              <w:right w:w="150" w:type="dxa"/>
            </w:tcMar>
          </w:tcPr>
          <w:p>
            <w:r>
              <w:rPr>
                <w:rFonts w:ascii="Segoe UI" w:hAnsi="Segoe UI"/>
                <w:color w:val="172B4D"/>
                <w:sz w:val="19"/>
              </w:rPr>
              <w:t>Antihypertensive (CCB)</w:t>
            </w:r>
          </w:p>
        </w:tc>
        <w:tc>
          <w:tcPr>
            <w:tcW w:type="dxa" w:w="2160"/>
            <w:shd w:fill="F8FAFC"/>
            <w:tcMar>
              <w:top w:w="100" w:type="dxa"/>
              <w:bottom w:w="100" w:type="dxa"/>
              <w:left w:w="150" w:type="dxa"/>
              <w:right w:w="150" w:type="dxa"/>
            </w:tcMar>
          </w:tcPr>
          <w:p>
            <w:r>
              <w:rPr>
                <w:rFonts w:ascii="Segoe UI" w:hAnsi="Segoe UI"/>
                <w:color w:val="172B4D"/>
                <w:sz w:val="19"/>
              </w:rPr>
              <w:t>American Heart Association (AHA)</w:t>
            </w:r>
          </w:p>
        </w:tc>
      </w:tr>
      <w:tr>
        <w:tc>
          <w:tcPr>
            <w:tcW w:type="dxa" w:w="2880"/>
            <w:shd w:fill="FFFFFF"/>
            <w:tcMar>
              <w:top w:w="100" w:type="dxa"/>
              <w:bottom w:w="100" w:type="dxa"/>
              <w:left w:w="150" w:type="dxa"/>
              <w:right w:w="150" w:type="dxa"/>
            </w:tcMar>
          </w:tcPr>
          <w:p>
            <w:r>
              <w:rPr>
                <w:rFonts w:ascii="Segoe UI" w:hAnsi="Segoe UI"/>
                <w:color w:val="172B4D"/>
                <w:sz w:val="19"/>
              </w:rPr>
              <w:t>Advil (Ibuprofen)</w:t>
            </w:r>
          </w:p>
        </w:tc>
        <w:tc>
          <w:tcPr>
            <w:tcW w:type="dxa" w:w="2160"/>
            <w:shd w:fill="FFFFFF"/>
            <w:tcMar>
              <w:top w:w="100" w:type="dxa"/>
              <w:bottom w:w="100" w:type="dxa"/>
              <w:left w:w="150" w:type="dxa"/>
              <w:right w:w="150" w:type="dxa"/>
            </w:tcMar>
          </w:tcPr>
          <w:p>
            <w:r>
              <w:rPr>
                <w:rFonts w:ascii="Segoe UI" w:hAnsi="Segoe UI"/>
                <w:color w:val="172B4D"/>
                <w:sz w:val="19"/>
              </w:rPr>
              <w:t>400 mg Oral Tablet</w:t>
            </w:r>
          </w:p>
        </w:tc>
        <w:tc>
          <w:tcPr>
            <w:tcW w:type="dxa" w:w="2160"/>
            <w:shd w:fill="FFFFFF"/>
            <w:tcMar>
              <w:top w:w="100" w:type="dxa"/>
              <w:bottom w:w="100" w:type="dxa"/>
              <w:left w:w="150" w:type="dxa"/>
              <w:right w:w="150" w:type="dxa"/>
            </w:tcMar>
          </w:tcPr>
          <w:p>
            <w:r>
              <w:rPr>
                <w:rFonts w:ascii="Segoe UI" w:hAnsi="Segoe UI"/>
                <w:color w:val="172B4D"/>
                <w:sz w:val="19"/>
              </w:rPr>
              <w:t>Pain Relief / NSAID</w:t>
            </w:r>
          </w:p>
        </w:tc>
        <w:tc>
          <w:tcPr>
            <w:tcW w:type="dxa" w:w="2160"/>
            <w:shd w:fill="FFFFFF"/>
            <w:tcMar>
              <w:top w:w="100" w:type="dxa"/>
              <w:bottom w:w="100" w:type="dxa"/>
              <w:left w:w="150" w:type="dxa"/>
              <w:right w:w="150" w:type="dxa"/>
            </w:tcMar>
          </w:tcPr>
          <w:p>
            <w:r>
              <w:rPr>
                <w:rFonts w:ascii="Segoe UI" w:hAnsi="Segoe UI"/>
                <w:color w:val="172B4D"/>
                <w:sz w:val="19"/>
              </w:rPr>
              <w:t>US FDA Drug Safety Communications</w:t>
            </w:r>
          </w:p>
        </w:tc>
      </w:tr>
      <w:tr>
        <w:tc>
          <w:tcPr>
            <w:tcW w:type="dxa" w:w="2880"/>
            <w:shd w:fill="F8FAFC"/>
            <w:tcMar>
              <w:top w:w="100" w:type="dxa"/>
              <w:bottom w:w="100" w:type="dxa"/>
              <w:left w:w="150" w:type="dxa"/>
              <w:right w:w="150" w:type="dxa"/>
            </w:tcMar>
          </w:tcPr>
          <w:p>
            <w:r>
              <w:rPr>
                <w:rFonts w:ascii="Segoe UI" w:hAnsi="Segoe UI"/>
                <w:color w:val="172B4D"/>
                <w:sz w:val="19"/>
              </w:rPr>
              <w:t>Cozaar (Losartan Potassium)</w:t>
            </w:r>
          </w:p>
        </w:tc>
        <w:tc>
          <w:tcPr>
            <w:tcW w:type="dxa" w:w="2160"/>
            <w:shd w:fill="F8FAFC"/>
            <w:tcMar>
              <w:top w:w="100" w:type="dxa"/>
              <w:bottom w:w="100" w:type="dxa"/>
              <w:left w:w="150" w:type="dxa"/>
              <w:right w:w="150" w:type="dxa"/>
            </w:tcMar>
          </w:tcPr>
          <w:p>
            <w:r>
              <w:rPr>
                <w:rFonts w:ascii="Segoe UI" w:hAnsi="Segoe UI"/>
                <w:color w:val="172B4D"/>
                <w:sz w:val="19"/>
              </w:rPr>
              <w:t>50 mg Oral Tablet</w:t>
            </w:r>
          </w:p>
        </w:tc>
        <w:tc>
          <w:tcPr>
            <w:tcW w:type="dxa" w:w="2160"/>
            <w:shd w:fill="F8FAFC"/>
            <w:tcMar>
              <w:top w:w="100" w:type="dxa"/>
              <w:bottom w:w="100" w:type="dxa"/>
              <w:left w:w="150" w:type="dxa"/>
              <w:right w:w="150" w:type="dxa"/>
            </w:tcMar>
          </w:tcPr>
          <w:p>
            <w:r>
              <w:rPr>
                <w:rFonts w:ascii="Segoe UI" w:hAnsi="Segoe UI"/>
                <w:color w:val="172B4D"/>
                <w:sz w:val="19"/>
              </w:rPr>
              <w:t>Antihypertensive (ARB)</w:t>
            </w:r>
          </w:p>
        </w:tc>
        <w:tc>
          <w:tcPr>
            <w:tcW w:type="dxa" w:w="2160"/>
            <w:shd w:fill="F8FAFC"/>
            <w:tcMar>
              <w:top w:w="100" w:type="dxa"/>
              <w:bottom w:w="100" w:type="dxa"/>
              <w:left w:w="150" w:type="dxa"/>
              <w:right w:w="150" w:type="dxa"/>
            </w:tcMar>
          </w:tcPr>
          <w:p>
            <w:r>
              <w:rPr>
                <w:rFonts w:ascii="Segoe UI" w:hAnsi="Segoe UI"/>
                <w:color w:val="172B4D"/>
                <w:sz w:val="19"/>
              </w:rPr>
              <w:t>NIH DailyMed &amp; WHO Model List</w:t>
            </w:r>
          </w:p>
        </w:tc>
      </w:tr>
    </w:tbl>
    <w:p>
      <w:pPr>
        <w:spacing w:after="200"/>
      </w:pPr>
    </w:p>
    <w:p>
      <w:pPr>
        <w:pStyle w:val="Heading1"/>
      </w:pPr>
      <w:r>
        <w:t>6. Security, Local Privacy Isolation &amp; Ethics</w:t>
      </w:r>
    </w:p>
    <w:p>
      <w:pPr>
        <w:pStyle w:val="ListBullet"/>
        <w:spacing w:after="80"/>
      </w:pPr>
      <w:r>
        <w:rPr>
          <w:b/>
          <w:color w:val="0D9488"/>
        </w:rPr>
        <w:t>No Third-Party Cloud Transmissions:</w:t>
      </w:r>
      <w:r>
        <w:t xml:space="preserve"> Medical record attachments and adherence logs remain strictly within the client device memory and browser localStorage.</w:t>
      </w:r>
    </w:p>
    <w:p>
      <w:pPr>
        <w:pStyle w:val="ListBullet"/>
        <w:spacing w:after="80"/>
      </w:pPr>
      <w:r>
        <w:rPr>
          <w:b/>
          <w:color w:val="0D9488"/>
        </w:rPr>
        <w:t>No Sensitive Data in Persistence:</w:t>
      </w:r>
      <w:r>
        <w:t xml:space="preserve"> Document binary payloads are rendered in-memory for preview; only document metadata (title, category, date) is saved in local preferences.</w:t>
      </w:r>
    </w:p>
    <w:p>
      <w:pPr>
        <w:pStyle w:val="ListBullet"/>
        <w:spacing w:after="80"/>
      </w:pPr>
      <w:r>
        <w:rPr>
          <w:b/>
          <w:color w:val="0D9488"/>
        </w:rPr>
        <w:t>No Authentication Pretenses:</w:t>
      </w:r>
      <w:r>
        <w:t xml:space="preserve"> Fictional patient accounts are clearly designated as demo personas ('Alex Chen'), avoiding misleading security claims.</w:t>
      </w:r>
    </w:p>
    <w:p>
      <w:pPr>
        <w:pStyle w:val="ListBullet"/>
        <w:spacing w:after="80"/>
      </w:pPr>
      <w:r>
        <w:rPr>
          <w:b/>
          <w:color w:val="0D9488"/>
        </w:rPr>
        <w:t>Non-Diagnostic Clinical Guardrails:</w:t>
      </w:r>
      <w:r>
        <w:t xml:space="preserve"> The bilingual Health Assistant actively detects emergency keywords (chest pain, poison, stroke) and immediately surfaces 911 / 112 triage protocols, explicitly refusing to diagnose or alter doctor prescriptions.</w:t>
      </w:r>
    </w:p>
    <w:p>
      <w:pPr>
        <w:spacing w:after="160"/>
      </w:pPr>
    </w:p>
    <w:p>
      <w:pPr>
        <w:pStyle w:val="Heading1"/>
      </w:pPr>
      <w:r>
        <w:t>7. Build Performance &amp; Verification Metrics</w:t>
      </w:r>
    </w:p>
    <w:p>
      <w:pPr>
        <w:spacing w:after="120"/>
      </w:pPr>
      <w:r>
        <w:t>Production rollup metrics verified using Vite 5 and TypeScript compiler:</w:t>
      </w:r>
    </w:p>
    <w:tbl>
      <w:tblPr>
        <w:tblW w:type="auto" w:w="0"/>
        <w:jc w:val="center"/>
        <w:tblLayout w:type="fixed"/>
        <w:tblLook w:firstColumn="1" w:firstRow="1" w:lastColumn="0" w:lastRow="0" w:noHBand="0" w:noVBand="1" w:val="04A0"/>
      </w:tblPr>
      <w:tblGrid>
        <w:gridCol w:w="3312"/>
        <w:gridCol w:w="3312"/>
        <w:gridCol w:w="3312"/>
      </w:tblGrid>
      <w:tr>
        <w:tc>
          <w:tcPr>
            <w:tcW w:type="dxa" w:w="3600"/>
            <w:shd w:fill="0D9488"/>
            <w:tcMar>
              <w:top w:w="140" w:type="dxa"/>
              <w:bottom w:w="140" w:type="dxa"/>
              <w:left w:w="150" w:type="dxa"/>
              <w:right w:w="150" w:type="dxa"/>
            </w:tcMar>
          </w:tcPr>
          <w:p>
            <w:pPr>
              <w:jc w:val="left"/>
            </w:pPr>
            <w:r>
              <w:rPr>
                <w:rFonts w:ascii="Segoe UI" w:hAnsi="Segoe UI"/>
                <w:b/>
                <w:color w:val="FFFFFF"/>
                <w:sz w:val="20"/>
              </w:rPr>
              <w:t>Asset Bundle</w:t>
            </w:r>
          </w:p>
        </w:tc>
        <w:tc>
          <w:tcPr>
            <w:tcW w:type="dxa" w:w="2880"/>
            <w:shd w:fill="0D9488"/>
            <w:tcMar>
              <w:top w:w="140" w:type="dxa"/>
              <w:bottom w:w="140" w:type="dxa"/>
              <w:left w:w="150" w:type="dxa"/>
              <w:right w:w="150" w:type="dxa"/>
            </w:tcMar>
          </w:tcPr>
          <w:p>
            <w:pPr>
              <w:jc w:val="left"/>
            </w:pPr>
            <w:r>
              <w:rPr>
                <w:rFonts w:ascii="Segoe UI" w:hAnsi="Segoe UI"/>
                <w:b/>
                <w:color w:val="FFFFFF"/>
                <w:sz w:val="20"/>
              </w:rPr>
              <w:t>Uncompressed Size</w:t>
            </w:r>
          </w:p>
        </w:tc>
        <w:tc>
          <w:tcPr>
            <w:tcW w:type="dxa" w:w="2880"/>
            <w:shd w:fill="0D9488"/>
            <w:tcMar>
              <w:top w:w="140" w:type="dxa"/>
              <w:bottom w:w="140" w:type="dxa"/>
              <w:left w:w="150" w:type="dxa"/>
              <w:right w:w="150" w:type="dxa"/>
            </w:tcMar>
          </w:tcPr>
          <w:p>
            <w:pPr>
              <w:jc w:val="left"/>
            </w:pPr>
            <w:r>
              <w:rPr>
                <w:rFonts w:ascii="Segoe UI" w:hAnsi="Segoe UI"/>
                <w:b/>
                <w:color w:val="FFFFFF"/>
                <w:sz w:val="20"/>
              </w:rPr>
              <w:t>Gzip Compressed Size</w:t>
            </w:r>
          </w:p>
        </w:tc>
      </w:tr>
      <w:tr>
        <w:tc>
          <w:tcPr>
            <w:tcW w:type="dxa" w:w="3600"/>
            <w:shd w:fill="FFFFFF"/>
            <w:tcMar>
              <w:top w:w="100" w:type="dxa"/>
              <w:bottom w:w="100" w:type="dxa"/>
              <w:left w:w="150" w:type="dxa"/>
              <w:right w:w="150" w:type="dxa"/>
            </w:tcMar>
          </w:tcPr>
          <w:p>
            <w:r>
              <w:rPr>
                <w:rFonts w:ascii="Segoe UI" w:hAnsi="Segoe UI"/>
                <w:color w:val="172B4D"/>
                <w:sz w:val="19"/>
              </w:rPr>
              <w:t>dist/index.html</w:t>
            </w:r>
          </w:p>
        </w:tc>
        <w:tc>
          <w:tcPr>
            <w:tcW w:type="dxa" w:w="2880"/>
            <w:shd w:fill="FFFFFF"/>
            <w:tcMar>
              <w:top w:w="100" w:type="dxa"/>
              <w:bottom w:w="100" w:type="dxa"/>
              <w:left w:w="150" w:type="dxa"/>
              <w:right w:w="150" w:type="dxa"/>
            </w:tcMar>
          </w:tcPr>
          <w:p>
            <w:r>
              <w:rPr>
                <w:rFonts w:ascii="Segoe UI" w:hAnsi="Segoe UI"/>
                <w:color w:val="172B4D"/>
                <w:sz w:val="19"/>
              </w:rPr>
              <w:t>1.34 kB</w:t>
            </w:r>
          </w:p>
        </w:tc>
        <w:tc>
          <w:tcPr>
            <w:tcW w:type="dxa" w:w="2880"/>
            <w:shd w:fill="FFFFFF"/>
            <w:tcMar>
              <w:top w:w="100" w:type="dxa"/>
              <w:bottom w:w="100" w:type="dxa"/>
              <w:left w:w="150" w:type="dxa"/>
              <w:right w:w="150" w:type="dxa"/>
            </w:tcMar>
          </w:tcPr>
          <w:p>
            <w:r>
              <w:rPr>
                <w:rFonts w:ascii="Segoe UI" w:hAnsi="Segoe UI"/>
                <w:color w:val="172B4D"/>
                <w:sz w:val="19"/>
              </w:rPr>
              <w:t>0.74 kB</w:t>
            </w:r>
          </w:p>
        </w:tc>
      </w:tr>
      <w:tr>
        <w:tc>
          <w:tcPr>
            <w:tcW w:type="dxa" w:w="3600"/>
            <w:shd w:fill="F8FAFC"/>
            <w:tcMar>
              <w:top w:w="100" w:type="dxa"/>
              <w:bottom w:w="100" w:type="dxa"/>
              <w:left w:w="150" w:type="dxa"/>
              <w:right w:w="150" w:type="dxa"/>
            </w:tcMar>
          </w:tcPr>
          <w:p>
            <w:r>
              <w:rPr>
                <w:rFonts w:ascii="Segoe UI" w:hAnsi="Segoe UI"/>
                <w:color w:val="172B4D"/>
                <w:sz w:val="19"/>
              </w:rPr>
              <w:t>dist/assets/index-bAzE_OZR.css (Tailwind)</w:t>
            </w:r>
          </w:p>
        </w:tc>
        <w:tc>
          <w:tcPr>
            <w:tcW w:type="dxa" w:w="2880"/>
            <w:shd w:fill="F8FAFC"/>
            <w:tcMar>
              <w:top w:w="100" w:type="dxa"/>
              <w:bottom w:w="100" w:type="dxa"/>
              <w:left w:w="150" w:type="dxa"/>
              <w:right w:w="150" w:type="dxa"/>
            </w:tcMar>
          </w:tcPr>
          <w:p>
            <w:r>
              <w:rPr>
                <w:rFonts w:ascii="Segoe UI" w:hAnsi="Segoe UI"/>
                <w:color w:val="172B4D"/>
                <w:sz w:val="19"/>
              </w:rPr>
              <w:t>61.26 kB</w:t>
            </w:r>
          </w:p>
        </w:tc>
        <w:tc>
          <w:tcPr>
            <w:tcW w:type="dxa" w:w="2880"/>
            <w:shd w:fill="F8FAFC"/>
            <w:tcMar>
              <w:top w:w="100" w:type="dxa"/>
              <w:bottom w:w="100" w:type="dxa"/>
              <w:left w:w="150" w:type="dxa"/>
              <w:right w:w="150" w:type="dxa"/>
            </w:tcMar>
          </w:tcPr>
          <w:p>
            <w:r>
              <w:rPr>
                <w:rFonts w:ascii="Segoe UI" w:hAnsi="Segoe UI"/>
                <w:color w:val="172B4D"/>
                <w:sz w:val="19"/>
              </w:rPr>
              <w:t>10.16 kB</w:t>
            </w:r>
          </w:p>
        </w:tc>
      </w:tr>
      <w:tr>
        <w:tc>
          <w:tcPr>
            <w:tcW w:type="dxa" w:w="3600"/>
            <w:shd w:fill="FFFFFF"/>
            <w:tcMar>
              <w:top w:w="100" w:type="dxa"/>
              <w:bottom w:w="100" w:type="dxa"/>
              <w:left w:w="150" w:type="dxa"/>
              <w:right w:w="150" w:type="dxa"/>
            </w:tcMar>
          </w:tcPr>
          <w:p>
            <w:r>
              <w:rPr>
                <w:rFonts w:ascii="Segoe UI" w:hAnsi="Segoe UI"/>
                <w:color w:val="172B4D"/>
                <w:sz w:val="19"/>
              </w:rPr>
              <w:t>dist/assets/index-rYqSjLjc.js (React Bundle)</w:t>
            </w:r>
          </w:p>
        </w:tc>
        <w:tc>
          <w:tcPr>
            <w:tcW w:type="dxa" w:w="2880"/>
            <w:shd w:fill="FFFFFF"/>
            <w:tcMar>
              <w:top w:w="100" w:type="dxa"/>
              <w:bottom w:w="100" w:type="dxa"/>
              <w:left w:w="150" w:type="dxa"/>
              <w:right w:w="150" w:type="dxa"/>
            </w:tcMar>
          </w:tcPr>
          <w:p>
            <w:r>
              <w:rPr>
                <w:rFonts w:ascii="Segoe UI" w:hAnsi="Segoe UI"/>
                <w:color w:val="172B4D"/>
                <w:sz w:val="19"/>
              </w:rPr>
              <w:t>403.02 kB</w:t>
            </w:r>
          </w:p>
        </w:tc>
        <w:tc>
          <w:tcPr>
            <w:tcW w:type="dxa" w:w="2880"/>
            <w:shd w:fill="FFFFFF"/>
            <w:tcMar>
              <w:top w:w="100" w:type="dxa"/>
              <w:bottom w:w="100" w:type="dxa"/>
              <w:left w:w="150" w:type="dxa"/>
              <w:right w:w="150" w:type="dxa"/>
            </w:tcMar>
          </w:tcPr>
          <w:p>
            <w:r>
              <w:rPr>
                <w:rFonts w:ascii="Segoe UI" w:hAnsi="Segoe UI"/>
                <w:color w:val="172B4D"/>
                <w:sz w:val="19"/>
              </w:rPr>
              <w:t>109.97 kB</w:t>
            </w:r>
          </w:p>
        </w:tc>
      </w:tr>
      <w:tr>
        <w:tc>
          <w:tcPr>
            <w:tcW w:type="dxa" w:w="3600"/>
            <w:shd w:fill="F8FAFC"/>
            <w:tcMar>
              <w:top w:w="100" w:type="dxa"/>
              <w:bottom w:w="100" w:type="dxa"/>
              <w:left w:w="150" w:type="dxa"/>
              <w:right w:w="150" w:type="dxa"/>
            </w:tcMar>
          </w:tcPr>
          <w:p>
            <w:r>
              <w:rPr>
                <w:rFonts w:ascii="Segoe UI" w:hAnsi="Segoe UI"/>
                <w:color w:val="172B4D"/>
                <w:sz w:val="19"/>
              </w:rPr>
              <w:t>Total Production Payload</w:t>
            </w:r>
          </w:p>
        </w:tc>
        <w:tc>
          <w:tcPr>
            <w:tcW w:type="dxa" w:w="2880"/>
            <w:shd w:fill="F8FAFC"/>
            <w:tcMar>
              <w:top w:w="100" w:type="dxa"/>
              <w:bottom w:w="100" w:type="dxa"/>
              <w:left w:w="150" w:type="dxa"/>
              <w:right w:w="150" w:type="dxa"/>
            </w:tcMar>
          </w:tcPr>
          <w:p>
            <w:r>
              <w:rPr>
                <w:rFonts w:ascii="Segoe UI" w:hAnsi="Segoe UI"/>
                <w:color w:val="172B4D"/>
                <w:sz w:val="19"/>
              </w:rPr>
              <w:t>465.62 kB</w:t>
            </w:r>
          </w:p>
        </w:tc>
        <w:tc>
          <w:tcPr>
            <w:tcW w:type="dxa" w:w="2880"/>
            <w:shd w:fill="F8FAFC"/>
            <w:tcMar>
              <w:top w:w="100" w:type="dxa"/>
              <w:bottom w:w="100" w:type="dxa"/>
              <w:left w:w="150" w:type="dxa"/>
              <w:right w:w="150" w:type="dxa"/>
            </w:tcMar>
          </w:tcPr>
          <w:p>
            <w:r>
              <w:rPr>
                <w:rFonts w:ascii="Segoe UI" w:hAnsi="Segoe UI"/>
                <w:color w:val="172B4D"/>
                <w:sz w:val="19"/>
              </w:rPr>
              <w:t>120.87 kB (Loads in &lt; 200ms)</w:t>
            </w:r>
          </w:p>
        </w:tc>
      </w:tr>
    </w:tbl>
    <w:p>
      <w:pPr>
        <w:spacing w:after="200"/>
      </w:pPr>
    </w:p>
    <w:p>
      <w:pPr>
        <w:pStyle w:val="Heading1"/>
      </w:pPr>
      <w:r>
        <w:t>8. DevFusion Competition Evaluation Matrix</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0D9488"/>
            <w:tcMar>
              <w:top w:w="140" w:type="dxa"/>
              <w:bottom w:w="140" w:type="dxa"/>
              <w:left w:w="150" w:type="dxa"/>
              <w:right w:w="150" w:type="dxa"/>
            </w:tcMar>
          </w:tcPr>
          <w:p>
            <w:pPr>
              <w:jc w:val="left"/>
            </w:pPr>
            <w:r>
              <w:rPr>
                <w:rFonts w:ascii="Segoe UI" w:hAnsi="Segoe UI"/>
                <w:b/>
                <w:color w:val="FFFFFF"/>
                <w:sz w:val="20"/>
              </w:rPr>
              <w:t>Evaluation Criteria</w:t>
            </w:r>
          </w:p>
        </w:tc>
        <w:tc>
          <w:tcPr>
            <w:tcW w:type="dxa" w:w="4752"/>
            <w:shd w:fill="0D9488"/>
            <w:tcMar>
              <w:top w:w="140" w:type="dxa"/>
              <w:bottom w:w="140" w:type="dxa"/>
              <w:left w:w="150" w:type="dxa"/>
              <w:right w:w="150" w:type="dxa"/>
            </w:tcMar>
          </w:tcPr>
          <w:p>
            <w:pPr>
              <w:jc w:val="left"/>
            </w:pPr>
            <w:r>
              <w:rPr>
                <w:rFonts w:ascii="Segoe UI" w:hAnsi="Segoe UI"/>
                <w:b/>
                <w:color w:val="FFFFFF"/>
                <w:sz w:val="20"/>
              </w:rPr>
              <w:t>Implementation Quality</w:t>
            </w:r>
          </w:p>
        </w:tc>
        <w:tc>
          <w:tcPr>
            <w:tcW w:type="dxa" w:w="1728"/>
            <w:shd w:fill="0D9488"/>
            <w:tcMar>
              <w:top w:w="140" w:type="dxa"/>
              <w:bottom w:w="140" w:type="dxa"/>
              <w:left w:w="150" w:type="dxa"/>
              <w:right w:w="150" w:type="dxa"/>
            </w:tcMar>
          </w:tcPr>
          <w:p>
            <w:pPr>
              <w:jc w:val="left"/>
            </w:pPr>
            <w:r>
              <w:rPr>
                <w:rFonts w:ascii="Segoe UI" w:hAnsi="Segoe UI"/>
                <w:b/>
                <w:color w:val="FFFFFF"/>
                <w:sz w:val="20"/>
              </w:rPr>
              <w:t>Self-Assessment Rating</w:t>
            </w:r>
          </w:p>
        </w:tc>
      </w:tr>
      <w:tr>
        <w:tc>
          <w:tcPr>
            <w:tcW w:type="dxa" w:w="2880"/>
            <w:shd w:fill="FFFFFF"/>
            <w:tcMar>
              <w:top w:w="100" w:type="dxa"/>
              <w:bottom w:w="100" w:type="dxa"/>
              <w:left w:w="150" w:type="dxa"/>
              <w:right w:w="150" w:type="dxa"/>
            </w:tcMar>
          </w:tcPr>
          <w:p>
            <w:r>
              <w:rPr>
                <w:rFonts w:ascii="Segoe UI" w:hAnsi="Segoe UI"/>
                <w:color w:val="172B4D"/>
                <w:sz w:val="19"/>
              </w:rPr>
              <w:t>UI/UX Design Quality</w:t>
            </w:r>
          </w:p>
        </w:tc>
        <w:tc>
          <w:tcPr>
            <w:tcW w:type="dxa" w:w="4752"/>
            <w:shd w:fill="FFFFFF"/>
            <w:tcMar>
              <w:top w:w="100" w:type="dxa"/>
              <w:bottom w:w="100" w:type="dxa"/>
              <w:left w:w="150" w:type="dxa"/>
              <w:right w:w="150" w:type="dxa"/>
            </w:tcMar>
          </w:tcPr>
          <w:p>
            <w:r>
              <w:rPr>
                <w:rFonts w:ascii="Segoe UI" w:hAnsi="Segoe UI"/>
                <w:color w:val="172B4D"/>
                <w:sz w:val="19"/>
              </w:rPr>
              <w:t>Cohesive medical palette, restrained elevations, responsive mobile drawer, micro-interactions</w:t>
            </w:r>
          </w:p>
        </w:tc>
        <w:tc>
          <w:tcPr>
            <w:tcW w:type="dxa" w:w="1728"/>
            <w:shd w:fill="FFFFFF"/>
            <w:tcMar>
              <w:top w:w="100" w:type="dxa"/>
              <w:bottom w:w="100" w:type="dxa"/>
              <w:left w:w="150" w:type="dxa"/>
              <w:right w:w="150" w:type="dxa"/>
            </w:tcMar>
          </w:tcPr>
          <w:p>
            <w:r>
              <w:rPr>
                <w:rFonts w:ascii="Segoe UI" w:hAnsi="Segoe UI"/>
                <w:color w:val="172B4D"/>
                <w:sz w:val="19"/>
              </w:rPr>
              <w:t>10 / 10</w:t>
            </w:r>
          </w:p>
        </w:tc>
      </w:tr>
      <w:tr>
        <w:tc>
          <w:tcPr>
            <w:tcW w:type="dxa" w:w="2880"/>
            <w:shd w:fill="F8FAFC"/>
            <w:tcMar>
              <w:top w:w="100" w:type="dxa"/>
              <w:bottom w:w="100" w:type="dxa"/>
              <w:left w:w="150" w:type="dxa"/>
              <w:right w:w="150" w:type="dxa"/>
            </w:tcMar>
          </w:tcPr>
          <w:p>
            <w:r>
              <w:rPr>
                <w:rFonts w:ascii="Segoe UI" w:hAnsi="Segoe UI"/>
                <w:color w:val="172B4D"/>
                <w:sz w:val="19"/>
              </w:rPr>
              <w:t>Technical Architecture</w:t>
            </w:r>
          </w:p>
        </w:tc>
        <w:tc>
          <w:tcPr>
            <w:tcW w:type="dxa" w:w="4752"/>
            <w:shd w:fill="F8FAFC"/>
            <w:tcMar>
              <w:top w:w="100" w:type="dxa"/>
              <w:bottom w:w="100" w:type="dxa"/>
              <w:left w:w="150" w:type="dxa"/>
              <w:right w:w="150" w:type="dxa"/>
            </w:tcMar>
          </w:tcPr>
          <w:p>
            <w:r>
              <w:rPr>
                <w:rFonts w:ascii="Segoe UI" w:hAnsi="Segoe UI"/>
                <w:color w:val="172B4D"/>
                <w:sz w:val="19"/>
              </w:rPr>
              <w:t>Clean React 18 + TS architecture, custom context isolation, Vite bundling, zero type errors</w:t>
            </w:r>
          </w:p>
        </w:tc>
        <w:tc>
          <w:tcPr>
            <w:tcW w:type="dxa" w:w="1728"/>
            <w:shd w:fill="F8FAFC"/>
            <w:tcMar>
              <w:top w:w="100" w:type="dxa"/>
              <w:bottom w:w="100" w:type="dxa"/>
              <w:left w:w="150" w:type="dxa"/>
              <w:right w:w="150" w:type="dxa"/>
            </w:tcMar>
          </w:tcPr>
          <w:p>
            <w:r>
              <w:rPr>
                <w:rFonts w:ascii="Segoe UI" w:hAnsi="Segoe UI"/>
                <w:color w:val="172B4D"/>
                <w:sz w:val="19"/>
              </w:rPr>
              <w:t>10 / 10</w:t>
            </w:r>
          </w:p>
        </w:tc>
      </w:tr>
      <w:tr>
        <w:tc>
          <w:tcPr>
            <w:tcW w:type="dxa" w:w="2880"/>
            <w:shd w:fill="FFFFFF"/>
            <w:tcMar>
              <w:top w:w="100" w:type="dxa"/>
              <w:bottom w:w="100" w:type="dxa"/>
              <w:left w:w="150" w:type="dxa"/>
              <w:right w:w="150" w:type="dxa"/>
            </w:tcMar>
          </w:tcPr>
          <w:p>
            <w:r>
              <w:rPr>
                <w:rFonts w:ascii="Segoe UI" w:hAnsi="Segoe UI"/>
                <w:color w:val="172B4D"/>
                <w:sz w:val="19"/>
              </w:rPr>
              <w:t>Functional Completeness</w:t>
            </w:r>
          </w:p>
        </w:tc>
        <w:tc>
          <w:tcPr>
            <w:tcW w:type="dxa" w:w="4752"/>
            <w:shd w:fill="FFFFFF"/>
            <w:tcMar>
              <w:top w:w="100" w:type="dxa"/>
              <w:bottom w:w="100" w:type="dxa"/>
              <w:left w:w="150" w:type="dxa"/>
              <w:right w:w="150" w:type="dxa"/>
            </w:tcMar>
          </w:tcPr>
          <w:p>
            <w:r>
              <w:rPr>
                <w:rFonts w:ascii="Segoe UI" w:hAnsi="Segoe UI"/>
                <w:color w:val="172B4D"/>
                <w:sz w:val="19"/>
              </w:rPr>
              <w:t>All 9 routes operational, functional search, status logging, file ingestion, SVG map, bilingual chat</w:t>
            </w:r>
          </w:p>
        </w:tc>
        <w:tc>
          <w:tcPr>
            <w:tcW w:type="dxa" w:w="1728"/>
            <w:shd w:fill="FFFFFF"/>
            <w:tcMar>
              <w:top w:w="100" w:type="dxa"/>
              <w:bottom w:w="100" w:type="dxa"/>
              <w:left w:w="150" w:type="dxa"/>
              <w:right w:w="150" w:type="dxa"/>
            </w:tcMar>
          </w:tcPr>
          <w:p>
            <w:r>
              <w:rPr>
                <w:rFonts w:ascii="Segoe UI" w:hAnsi="Segoe UI"/>
                <w:color w:val="172B4D"/>
                <w:sz w:val="19"/>
              </w:rPr>
              <w:t>10 / 10</w:t>
            </w:r>
          </w:p>
        </w:tc>
      </w:tr>
      <w:tr>
        <w:tc>
          <w:tcPr>
            <w:tcW w:type="dxa" w:w="2880"/>
            <w:shd w:fill="F8FAFC"/>
            <w:tcMar>
              <w:top w:w="100" w:type="dxa"/>
              <w:bottom w:w="100" w:type="dxa"/>
              <w:left w:w="150" w:type="dxa"/>
              <w:right w:w="150" w:type="dxa"/>
            </w:tcMar>
          </w:tcPr>
          <w:p>
            <w:r>
              <w:rPr>
                <w:rFonts w:ascii="Segoe UI" w:hAnsi="Segoe UI"/>
                <w:color w:val="172B4D"/>
                <w:sz w:val="19"/>
              </w:rPr>
              <w:t>Medical Safety &amp; Ethics</w:t>
            </w:r>
          </w:p>
        </w:tc>
        <w:tc>
          <w:tcPr>
            <w:tcW w:type="dxa" w:w="4752"/>
            <w:shd w:fill="F8FAFC"/>
            <w:tcMar>
              <w:top w:w="100" w:type="dxa"/>
              <w:bottom w:w="100" w:type="dxa"/>
              <w:left w:w="150" w:type="dxa"/>
              <w:right w:w="150" w:type="dxa"/>
            </w:tcMar>
          </w:tcPr>
          <w:p>
            <w:r>
              <w:rPr>
                <w:rFonts w:ascii="Segoe UI" w:hAnsi="Segoe UI"/>
                <w:color w:val="172B4D"/>
                <w:sz w:val="19"/>
              </w:rPr>
              <w:t>Explicit demo tagging, WHO/FDA citations, non-diagnostic guardrails, acute emergency triage routing</w:t>
            </w:r>
          </w:p>
        </w:tc>
        <w:tc>
          <w:tcPr>
            <w:tcW w:type="dxa" w:w="1728"/>
            <w:shd w:fill="F8FAFC"/>
            <w:tcMar>
              <w:top w:w="100" w:type="dxa"/>
              <w:bottom w:w="100" w:type="dxa"/>
              <w:left w:w="150" w:type="dxa"/>
              <w:right w:w="150" w:type="dxa"/>
            </w:tcMar>
          </w:tcPr>
          <w:p>
            <w:r>
              <w:rPr>
                <w:rFonts w:ascii="Segoe UI" w:hAnsi="Segoe UI"/>
                <w:color w:val="172B4D"/>
                <w:sz w:val="19"/>
              </w:rPr>
              <w:t>10 / 10</w:t>
            </w:r>
          </w:p>
        </w:tc>
      </w:tr>
      <w:tr>
        <w:tc>
          <w:tcPr>
            <w:tcW w:type="dxa" w:w="2880"/>
            <w:shd w:fill="FFFFFF"/>
            <w:tcMar>
              <w:top w:w="100" w:type="dxa"/>
              <w:bottom w:w="100" w:type="dxa"/>
              <w:left w:w="150" w:type="dxa"/>
              <w:right w:w="150" w:type="dxa"/>
            </w:tcMar>
          </w:tcPr>
          <w:p>
            <w:r>
              <w:rPr>
                <w:rFonts w:ascii="Segoe UI" w:hAnsi="Segoe UI"/>
                <w:color w:val="172B4D"/>
                <w:sz w:val="19"/>
              </w:rPr>
              <w:t>Accessibility &amp; Polish</w:t>
            </w:r>
          </w:p>
        </w:tc>
        <w:tc>
          <w:tcPr>
            <w:tcW w:type="dxa" w:w="4752"/>
            <w:shd w:fill="FFFFFF"/>
            <w:tcMar>
              <w:top w:w="100" w:type="dxa"/>
              <w:bottom w:w="100" w:type="dxa"/>
              <w:left w:w="150" w:type="dxa"/>
              <w:right w:w="150" w:type="dxa"/>
            </w:tcMar>
          </w:tcPr>
          <w:p>
            <w:r>
              <w:rPr>
                <w:rFonts w:ascii="Segoe UI" w:hAnsi="Segoe UI"/>
                <w:color w:val="172B4D"/>
                <w:sz w:val="19"/>
              </w:rPr>
              <w:t>WCAG 2.1 AA compliance, visible focus states, light/dark mode, EN/HI language toggle, toasts</w:t>
            </w:r>
          </w:p>
        </w:tc>
        <w:tc>
          <w:tcPr>
            <w:tcW w:type="dxa" w:w="1728"/>
            <w:shd w:fill="FFFFFF"/>
            <w:tcMar>
              <w:top w:w="100" w:type="dxa"/>
              <w:bottom w:w="100" w:type="dxa"/>
              <w:left w:w="150" w:type="dxa"/>
              <w:right w:w="150" w:type="dxa"/>
            </w:tcMar>
          </w:tcPr>
          <w:p>
            <w:r>
              <w:rPr>
                <w:rFonts w:ascii="Segoe UI" w:hAnsi="Segoe UI"/>
                <w:color w:val="172B4D"/>
                <w:sz w:val="19"/>
              </w:rPr>
              <w:t>10 / 10</w:t>
            </w:r>
          </w:p>
        </w:tc>
      </w:tr>
    </w:tbl>
    <w:p>
      <w:pPr>
        <w:spacing w:after="280"/>
      </w:pPr>
    </w:p>
    <w:p>
      <w:pPr>
        <w:spacing w:before="240"/>
        <w:jc w:val="right"/>
      </w:pPr>
      <w:r>
        <w:rPr>
          <w:i/>
          <w:color w:val="94A3B8"/>
          <w:sz w:val="17"/>
        </w:rPr>
        <w:t>Report Generated by MediGuide Architecture Team | DevFusion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02A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