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Audit Report - Q3 2026</w:t>
      </w:r>
    </w:p>
    <w:p>
      <w:r>
        <w:t>Date: March 23, 2026</w:t>
      </w:r>
    </w:p>
    <w:p>
      <w:r>
        <w:t>Department: Risk Management</w:t>
      </w:r>
    </w:p>
    <w:p>
      <w:pPr>
        <w:pStyle w:val="Heading1"/>
      </w:pPr>
      <w:r>
        <w:t>1. Executive Summary</w:t>
      </w:r>
    </w:p>
    <w:p>
      <w:r>
        <w:t>The primary obective of this audit was to evaluete the operational efficiency and compliance with the rules set by RBI in the Q3 operations.</w:t>
      </w:r>
    </w:p>
    <w:p>
      <w:pPr>
        <w:pStyle w:val="Heading1"/>
      </w:pPr>
      <w:r>
        <w:t>2. Key Findings</w:t>
      </w:r>
    </w:p>
    <w:p>
      <w:pPr>
        <w:pStyle w:val="ListBullet"/>
      </w:pPr>
      <w:r>
        <w:t>The liquidity ratios are currently at this moment meeting the baseline standards.</w:t>
      </w:r>
    </w:p>
    <w:p>
      <w:pPr>
        <w:pStyle w:val="ListBullet"/>
      </w:pPr>
      <w:r>
        <w:t>We think that the branch managers did an okay job but maybe need more training.</w:t>
      </w:r>
    </w:p>
    <w:p>
      <w:pPr>
        <w:pStyle w:val="ListBullet"/>
      </w:pPr>
      <w:r>
        <w:t>Data security protocols have been enhanced, resulting in a 15% drop in minor infractions.</w:t>
      </w:r>
    </w:p>
    <w:p>
      <w:pPr>
        <w:pStyle w:val="Heading1"/>
      </w:pPr>
      <w:r>
        <w:t>3. Remediation Steps</w:t>
      </w:r>
    </w:p>
    <w:p>
      <w:r>
        <w:t>All identified shortcomings must be addressed right now or else there will be serious consequences. Departments are advised to review the newly promulgated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