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83663"/>
          <w:sz w:val="48"/>
        </w:rPr>
        <w:t>ROOT CAUSE ANALYSIS</w:t>
      </w:r>
    </w:p>
    <w:p>
      <w:pPr>
        <w:jc w:val="center"/>
      </w:pPr>
      <w:r>
        <w:rPr>
          <w:b/>
          <w:color w:val="007096"/>
          <w:sz w:val="30"/>
        </w:rPr>
        <w:t>InstaSafe Portal Login Failure</w:t>
      </w:r>
    </w:p>
    <w:p>
      <w:pPr>
        <w:jc w:val="center"/>
      </w:pPr>
      <w:r>
        <w:rPr>
          <w:i/>
          <w:color w:val="646E7D"/>
          <w:sz w:val="18"/>
        </w:rPr>
        <w:t>Incident Review • Cross-Functional Learning — Module 4</w:t>
      </w:r>
    </w:p>
    <w:p>
      <w:pPr>
        <w:pStyle w:val="Heading1"/>
      </w:pPr>
      <w:r>
        <w:t>1. Executive Summary</w:t>
      </w:r>
    </w:p>
    <w:p>
      <w:r>
        <w:t>Multiple users reported that they could not sign in to the InstaSafe Portal. Failed authentication prevented users from accessing portal resources and increased support demand. For this training exercise, the working root-cause scenario is a database connection leak introduced during a recent authentication-service deployment. This cause should be confirmed against logs and metrics in a real incident before being treated as factual.</w:t>
      </w:r>
    </w:p>
    <w:p>
      <w:pPr>
        <w:pStyle w:val="Heading1"/>
      </w:pPr>
      <w:r>
        <w:t>2. Incident Overview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1F8"/>
          </w:tcPr>
          <w:p>
            <w:pPr>
              <w:spacing w:after="0"/>
            </w:pPr>
            <w:r/>
            <w:r>
              <w:rPr>
                <w:rFonts w:ascii="Aptos" w:hAnsi="Aptos"/>
                <w:b/>
                <w:color w:val="183663"/>
                <w:sz w:val="18"/>
              </w:rPr>
              <w:t>Incident</w:t>
            </w:r>
          </w:p>
        </w:tc>
        <w:tc>
          <w:tcPr>
            <w:tcW w:type="dxa" w:w="5040"/>
            <w:vAlign w:val="center"/>
          </w:tcPr>
          <w:p>
            <w:pPr>
              <w:spacing w:after="0"/>
            </w:pPr>
            <w:r/>
            <w:r>
              <w:rPr>
                <w:rFonts w:ascii="Aptos" w:hAnsi="Aptos"/>
                <w:b w:val="0"/>
                <w:sz w:val="18"/>
              </w:rPr>
              <w:t>Users unable to log in to InstaSafe Portal</w:t>
            </w:r>
          </w:p>
        </w:tc>
      </w:tr>
      <w:tr>
        <w:tc>
          <w:tcPr>
            <w:tcW w:type="dxa" w:w="5040"/>
            <w:vAlign w:val="center"/>
            <w:shd w:fill="EAF1F8"/>
          </w:tcPr>
          <w:p>
            <w:pPr>
              <w:spacing w:after="0"/>
            </w:pPr>
            <w:r/>
            <w:r>
              <w:rPr>
                <w:rFonts w:ascii="Aptos" w:hAnsi="Aptos"/>
                <w:b/>
                <w:color w:val="183663"/>
                <w:sz w:val="18"/>
              </w:rPr>
              <w:t>Service affected</w:t>
            </w:r>
          </w:p>
        </w:tc>
        <w:tc>
          <w:tcPr>
            <w:tcW w:type="dxa" w:w="5040"/>
            <w:vAlign w:val="center"/>
          </w:tcPr>
          <w:p>
            <w:pPr>
              <w:spacing w:after="0"/>
            </w:pPr>
            <w:r/>
            <w:r>
              <w:rPr>
                <w:rFonts w:ascii="Aptos" w:hAnsi="Aptos"/>
                <w:b w:val="0"/>
                <w:sz w:val="18"/>
              </w:rPr>
              <w:t>Portal authentication / user-directory lookup</w:t>
            </w:r>
          </w:p>
        </w:tc>
      </w:tr>
      <w:tr>
        <w:tc>
          <w:tcPr>
            <w:tcW w:type="dxa" w:w="5040"/>
            <w:vAlign w:val="center"/>
            <w:shd w:fill="EAF1F8"/>
          </w:tcPr>
          <w:p>
            <w:pPr>
              <w:spacing w:after="0"/>
            </w:pPr>
            <w:r/>
            <w:r>
              <w:rPr>
                <w:rFonts w:ascii="Aptos" w:hAnsi="Aptos"/>
                <w:b/>
                <w:color w:val="183663"/>
                <w:sz w:val="18"/>
              </w:rPr>
              <w:t>User impact</w:t>
            </w:r>
          </w:p>
        </w:tc>
        <w:tc>
          <w:tcPr>
            <w:tcW w:type="dxa" w:w="5040"/>
            <w:vAlign w:val="center"/>
          </w:tcPr>
          <w:p>
            <w:pPr>
              <w:spacing w:after="0"/>
            </w:pPr>
            <w:r/>
            <w:r>
              <w:rPr>
                <w:rFonts w:ascii="Aptos" w:hAnsi="Aptos"/>
                <w:b w:val="0"/>
                <w:sz w:val="18"/>
              </w:rPr>
              <w:t>Users could not access portal resources</w:t>
            </w:r>
          </w:p>
        </w:tc>
      </w:tr>
      <w:tr>
        <w:tc>
          <w:tcPr>
            <w:tcW w:type="dxa" w:w="5040"/>
            <w:vAlign w:val="center"/>
            <w:shd w:fill="EAF1F8"/>
          </w:tcPr>
          <w:p>
            <w:pPr>
              <w:spacing w:after="0"/>
            </w:pPr>
            <w:r/>
            <w:r>
              <w:rPr>
                <w:rFonts w:ascii="Aptos" w:hAnsi="Aptos"/>
                <w:b/>
                <w:color w:val="183663"/>
                <w:sz w:val="18"/>
              </w:rPr>
              <w:t>Business impact</w:t>
            </w:r>
          </w:p>
        </w:tc>
        <w:tc>
          <w:tcPr>
            <w:tcW w:type="dxa" w:w="5040"/>
            <w:vAlign w:val="center"/>
          </w:tcPr>
          <w:p>
            <w:pPr>
              <w:spacing w:after="0"/>
            </w:pPr>
            <w:r/>
            <w:r>
              <w:rPr>
                <w:rFonts w:ascii="Aptos" w:hAnsi="Aptos"/>
                <w:b w:val="0"/>
                <w:sz w:val="18"/>
              </w:rPr>
              <w:t>Interrupted work, increased support tickets, reduced productivity</w:t>
            </w:r>
          </w:p>
        </w:tc>
      </w:tr>
      <w:tr>
        <w:tc>
          <w:tcPr>
            <w:tcW w:type="dxa" w:w="5040"/>
            <w:vAlign w:val="center"/>
            <w:shd w:fill="EAF1F8"/>
          </w:tcPr>
          <w:p>
            <w:pPr>
              <w:spacing w:after="0"/>
            </w:pPr>
            <w:r/>
            <w:r>
              <w:rPr>
                <w:rFonts w:ascii="Aptos" w:hAnsi="Aptos"/>
                <w:b/>
                <w:color w:val="183663"/>
                <w:sz w:val="18"/>
              </w:rPr>
              <w:t>Status for this exercise</w:t>
            </w:r>
          </w:p>
        </w:tc>
        <w:tc>
          <w:tcPr>
            <w:tcW w:type="dxa" w:w="5040"/>
            <w:vAlign w:val="center"/>
          </w:tcPr>
          <w:p>
            <w:pPr>
              <w:spacing w:after="0"/>
            </w:pPr>
            <w:r/>
            <w:r>
              <w:rPr>
                <w:rFonts w:ascii="Aptos" w:hAnsi="Aptos"/>
                <w:b w:val="0"/>
                <w:sz w:val="18"/>
              </w:rPr>
              <w:t>Resolved after service recovery and application fix</w:t>
            </w:r>
          </w:p>
        </w:tc>
      </w:tr>
      <w:tr>
        <w:tc>
          <w:tcPr>
            <w:tcW w:type="dxa" w:w="5040"/>
            <w:vAlign w:val="center"/>
            <w:shd w:fill="EAF1F8"/>
          </w:tcPr>
          <w:p>
            <w:pPr>
              <w:spacing w:after="0"/>
            </w:pPr>
            <w:r/>
            <w:r>
              <w:rPr>
                <w:rFonts w:ascii="Aptos" w:hAnsi="Aptos"/>
                <w:b/>
                <w:color w:val="183663"/>
                <w:sz w:val="18"/>
              </w:rPr>
              <w:t>Evidence to validate</w:t>
            </w:r>
          </w:p>
        </w:tc>
        <w:tc>
          <w:tcPr>
            <w:tcW w:type="dxa" w:w="5040"/>
            <w:vAlign w:val="center"/>
          </w:tcPr>
          <w:p>
            <w:pPr>
              <w:spacing w:after="0"/>
            </w:pPr>
            <w:r/>
            <w:r>
              <w:rPr>
                <w:rFonts w:ascii="Aptos" w:hAnsi="Aptos"/>
                <w:b w:val="0"/>
                <w:sz w:val="18"/>
              </w:rPr>
              <w:t>Authentication logs, database pool metrics, deployment timeline, health checks</w:t>
            </w:r>
          </w:p>
        </w:tc>
      </w:tr>
    </w:tbl>
    <w:p>
      <w:pPr>
        <w:pStyle w:val="Heading1"/>
      </w:pPr>
      <w:r>
        <w:t>3. Problem Statement</w:t>
      </w:r>
    </w:p>
    <w:p>
      <w:r>
        <w:t>Multiple users experienced login failures because authentication requests could not complete the credential-validation flow. As a result, users were unable to sign in and reach the resources available through the portal.</w:t>
      </w:r>
    </w:p>
    <w:p>
      <w:pPr>
        <w:pStyle w:val="Heading1"/>
      </w:pPr>
      <w:r>
        <w:t>4. Five Whys Analysis</w:t>
      </w:r>
    </w:p>
    <w:p>
      <w:pPr>
        <w:spacing w:after="40"/>
      </w:pPr>
      <w:r>
        <w:rPr>
          <w:b/>
          <w:color w:val="007096"/>
        </w:rPr>
        <w:t>Why 1 — Why could users not log in?</w:t>
      </w:r>
    </w:p>
    <w:p>
      <w:pPr>
        <w:spacing w:after="120"/>
        <w:ind w:left="288"/>
      </w:pPr>
      <w:r>
        <w:t>Authentication requests were failing.</w:t>
      </w:r>
    </w:p>
    <w:p>
      <w:pPr>
        <w:spacing w:after="40"/>
      </w:pPr>
      <w:r>
        <w:rPr>
          <w:b/>
          <w:color w:val="007096"/>
        </w:rPr>
        <w:t>Why 2 — Why were authentication requests failing?</w:t>
      </w:r>
    </w:p>
    <w:p>
      <w:pPr>
        <w:spacing w:after="120"/>
        <w:ind w:left="288"/>
      </w:pPr>
      <w:r>
        <w:t>The authentication service could not complete user-credential validation.</w:t>
      </w:r>
    </w:p>
    <w:p>
      <w:pPr>
        <w:spacing w:after="40"/>
      </w:pPr>
      <w:r>
        <w:rPr>
          <w:b/>
          <w:color w:val="007096"/>
        </w:rPr>
        <w:t>Why 3 — Why could it not validate credentials?</w:t>
      </w:r>
    </w:p>
    <w:p>
      <w:pPr>
        <w:spacing w:after="120"/>
        <w:ind w:left="288"/>
      </w:pPr>
      <w:r>
        <w:t>The service could not reliably retrieve user records from the directory/database.</w:t>
      </w:r>
    </w:p>
    <w:p>
      <w:pPr>
        <w:spacing w:after="40"/>
      </w:pPr>
      <w:r>
        <w:rPr>
          <w:b/>
          <w:color w:val="007096"/>
        </w:rPr>
        <w:t>Why 4 — Why was the database unavailable to new requests?</w:t>
      </w:r>
    </w:p>
    <w:p>
      <w:pPr>
        <w:spacing w:after="120"/>
        <w:ind w:left="288"/>
      </w:pPr>
      <w:r>
        <w:t>The database connection pool was exhausted, so new connections were rejected or delayed.</w:t>
      </w:r>
    </w:p>
    <w:p>
      <w:pPr>
        <w:spacing w:after="40"/>
      </w:pPr>
      <w:r>
        <w:rPr>
          <w:b/>
          <w:color w:val="007096"/>
        </w:rPr>
        <w:t>Why 5 — Why was the connection pool exhausted?</w:t>
      </w:r>
    </w:p>
    <w:p>
      <w:pPr>
        <w:spacing w:after="120"/>
        <w:ind w:left="288"/>
      </w:pPr>
      <w:r>
        <w:t>In this exercise's scenario, a recent deployment introduced a connection leak and connections were not released correctly.</w:t>
      </w:r>
    </w:p>
    <w:p>
      <w:pPr>
        <w:pStyle w:val="Heading1"/>
      </w:pPr>
      <w:r>
        <w:t>5. Root Cause and Contributing Factors</w:t>
      </w:r>
    </w:p>
    <w:p>
      <w:pPr>
        <w:pStyle w:val="Heading2"/>
      </w:pPr>
      <w:r>
        <w:t>Working root cause</w:t>
      </w:r>
    </w:p>
    <w:p>
      <w:r>
        <w:t>A connection leak in the authentication service caused database connections to remain occupied. Over time, the available connection pool was exhausted, preventing authentication requests from retrieving user records and causing login failures. This is the assumed root cause for the assignment and should be validated with technical evidence in a real incident.</w:t>
      </w:r>
    </w:p>
    <w:p>
      <w:pPr>
        <w:pStyle w:val="Heading2"/>
      </w:pPr>
      <w:r>
        <w:t>Contributing factors to investigate</w:t>
      </w:r>
    </w:p>
    <w:p>
      <w:pPr>
        <w:pStyle w:val="ListBullet"/>
      </w:pPr>
      <w:r>
        <w:t>Insufficient monitoring and alerting for connection-pool usage and connection wait time.</w:t>
      </w:r>
    </w:p>
    <w:p>
      <w:pPr>
        <w:pStyle w:val="ListBullet"/>
      </w:pPr>
      <w:r>
        <w:t>Pre-production tests may not have exercised sustained or peak login traffic.</w:t>
      </w:r>
    </w:p>
    <w:p>
      <w:pPr>
        <w:pStyle w:val="ListBullet"/>
      </w:pPr>
      <w:r>
        <w:t>Resource-management issues may not have been caught during code review.</w:t>
      </w:r>
    </w:p>
    <w:p>
      <w:pPr>
        <w:pStyle w:val="ListBullet"/>
      </w:pPr>
      <w:r>
        <w:t>Detection and rollback procedures may not have triggered quickly enough.</w:t>
      </w:r>
    </w:p>
    <w:p>
      <w:pPr>
        <w:pStyle w:val="Heading1"/>
      </w:pPr>
      <w:r>
        <w:t>6. Resolution / Recovery Steps</w:t>
      </w:r>
    </w:p>
    <w:p>
      <w:pPr>
        <w:pStyle w:val="ListNumber"/>
      </w:pPr>
      <w:r>
        <w:t>Check authentication-service logs and connection-pool metrics to identify the failure pattern.</w:t>
      </w:r>
    </w:p>
    <w:p>
      <w:pPr>
        <w:pStyle w:val="ListNumber"/>
      </w:pPr>
      <w:r>
        <w:t>Restore service capacity using the approved operational recovery procedure; restart only if safe and necessary.</w:t>
      </w:r>
    </w:p>
    <w:p>
      <w:pPr>
        <w:pStyle w:val="ListNumber"/>
      </w:pPr>
      <w:r>
        <w:t>Fix the resource-handling defect so database connections are returned to the pool on every execution path.</w:t>
      </w:r>
    </w:p>
    <w:p>
      <w:pPr>
        <w:pStyle w:val="ListNumber"/>
      </w:pPr>
      <w:r>
        <w:t>Test the fix in a staging environment, including repeated logins and sustained load.</w:t>
      </w:r>
    </w:p>
    <w:p>
      <w:pPr>
        <w:pStyle w:val="ListNumber"/>
      </w:pPr>
      <w:r>
        <w:t>Deploy the patch through the normal release process and monitor the service.</w:t>
      </w:r>
    </w:p>
    <w:p>
      <w:pPr>
        <w:pStyle w:val="ListNumber"/>
      </w:pPr>
      <w:r>
        <w:t>Verify successful logins with representative test accounts and confirm error rates return to normal.</w:t>
      </w:r>
    </w:p>
    <w:p>
      <w:pPr>
        <w:pStyle w:val="Heading1"/>
      </w:pPr>
      <w:r>
        <w:t>7. Preventive and Corrective Action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83663"/>
          </w:tcPr>
          <w:p>
            <w:pPr>
              <w:spacing w:after="0"/>
            </w:pPr>
            <w:r/>
            <w:r>
              <w:rPr>
                <w:rFonts w:ascii="Aptos" w:hAnsi="Aptos"/>
                <w:b/>
                <w:color w:val="FFFFFF"/>
                <w:sz w:val="16"/>
              </w:rPr>
              <w:t>Action</w:t>
            </w:r>
          </w:p>
        </w:tc>
        <w:tc>
          <w:tcPr>
            <w:tcW w:type="dxa" w:w="2520"/>
            <w:vAlign w:val="center"/>
            <w:shd w:fill="183663"/>
          </w:tcPr>
          <w:p>
            <w:pPr>
              <w:spacing w:after="0"/>
            </w:pPr>
            <w:r/>
            <w:r>
              <w:rPr>
                <w:rFonts w:ascii="Aptos" w:hAnsi="Aptos"/>
                <w:b/>
                <w:color w:val="FFFFFF"/>
                <w:sz w:val="16"/>
              </w:rPr>
              <w:t>Owner</w:t>
            </w:r>
          </w:p>
        </w:tc>
        <w:tc>
          <w:tcPr>
            <w:tcW w:type="dxa" w:w="2520"/>
            <w:vAlign w:val="center"/>
            <w:shd w:fill="183663"/>
          </w:tcPr>
          <w:p>
            <w:pPr>
              <w:spacing w:after="0"/>
            </w:pPr>
            <w:r/>
            <w:r>
              <w:rPr>
                <w:rFonts w:ascii="Aptos" w:hAnsi="Aptos"/>
                <w:b/>
                <w:color w:val="FFFFFF"/>
                <w:sz w:val="16"/>
              </w:rPr>
              <w:t>Priority</w:t>
            </w:r>
          </w:p>
        </w:tc>
        <w:tc>
          <w:tcPr>
            <w:tcW w:type="dxa" w:w="2520"/>
            <w:vAlign w:val="center"/>
            <w:shd w:fill="183663"/>
          </w:tcPr>
          <w:p>
            <w:pPr>
              <w:spacing w:after="0"/>
            </w:pPr>
            <w:r/>
            <w:r>
              <w:rPr>
                <w:rFonts w:ascii="Aptos" w:hAnsi="Aptos"/>
                <w:b/>
                <w:color w:val="FFFFFF"/>
                <w:sz w:val="16"/>
              </w:rPr>
              <w:t>Success measure</w:t>
            </w:r>
          </w:p>
        </w:tc>
      </w:tr>
      <w:tr>
        <w:tc>
          <w:tcPr>
            <w:tcW w:type="dxa" w:w="2520"/>
            <w:vAlign w:val="center"/>
            <w:shd w:fill="F3F6FA"/>
          </w:tcPr>
          <w:p>
            <w:pPr>
              <w:spacing w:after="0"/>
            </w:pPr>
            <w:r/>
            <w:r>
              <w:rPr>
                <w:rFonts w:ascii="Aptos" w:hAnsi="Aptos"/>
                <w:b w:val="0"/>
                <w:sz w:val="16"/>
              </w:rPr>
              <w:t>Add connection-pool dashboards and alerts</w:t>
            </w:r>
          </w:p>
        </w:tc>
        <w:tc>
          <w:tcPr>
            <w:tcW w:type="dxa" w:w="2520"/>
            <w:vAlign w:val="center"/>
            <w:shd w:fill="F3F6FA"/>
          </w:tcPr>
          <w:p>
            <w:pPr>
              <w:spacing w:after="0"/>
            </w:pPr>
            <w:r/>
            <w:r>
              <w:rPr>
                <w:rFonts w:ascii="Aptos" w:hAnsi="Aptos"/>
                <w:b w:val="0"/>
                <w:sz w:val="16"/>
              </w:rPr>
              <w:t>DevOps / Operations</w:t>
            </w:r>
          </w:p>
        </w:tc>
        <w:tc>
          <w:tcPr>
            <w:tcW w:type="dxa" w:w="2520"/>
            <w:vAlign w:val="center"/>
            <w:shd w:fill="F3F6FA"/>
          </w:tcPr>
          <w:p>
            <w:pPr>
              <w:spacing w:after="0"/>
            </w:pPr>
            <w:r/>
            <w:r>
              <w:rPr>
                <w:rFonts w:ascii="Aptos" w:hAnsi="Aptos"/>
                <w:b/>
                <w:sz w:val="16"/>
              </w:rPr>
              <w:t>High</w:t>
            </w:r>
          </w:p>
        </w:tc>
        <w:tc>
          <w:tcPr>
            <w:tcW w:type="dxa" w:w="2520"/>
            <w:vAlign w:val="center"/>
            <w:shd w:fill="F3F6FA"/>
          </w:tcPr>
          <w:p>
            <w:pPr>
              <w:spacing w:after="0"/>
            </w:pPr>
            <w:r/>
            <w:r>
              <w:rPr>
                <w:rFonts w:ascii="Aptos" w:hAnsi="Aptos"/>
                <w:b w:val="0"/>
                <w:sz w:val="16"/>
              </w:rPr>
              <w:t>Alert on pool saturation, wait time, and rejected connections.</w:t>
            </w:r>
          </w:p>
        </w:tc>
      </w:tr>
      <w:tr>
        <w:tc>
          <w:tcPr>
            <w:tcW w:type="dxa" w:w="2520"/>
            <w:vAlign w:val="center"/>
          </w:tcPr>
          <w:p>
            <w:pPr>
              <w:spacing w:after="0"/>
            </w:pPr>
            <w:r/>
            <w:r>
              <w:rPr>
                <w:rFonts w:ascii="Aptos" w:hAnsi="Aptos"/>
                <w:b w:val="0"/>
                <w:sz w:val="16"/>
              </w:rPr>
              <w:t>Add authentication health checks</w:t>
            </w:r>
          </w:p>
        </w:tc>
        <w:tc>
          <w:tcPr>
            <w:tcW w:type="dxa" w:w="2520"/>
            <w:vAlign w:val="center"/>
          </w:tcPr>
          <w:p>
            <w:pPr>
              <w:spacing w:after="0"/>
            </w:pPr>
            <w:r/>
            <w:r>
              <w:rPr>
                <w:rFonts w:ascii="Aptos" w:hAnsi="Aptos"/>
                <w:b w:val="0"/>
                <w:sz w:val="16"/>
              </w:rPr>
              <w:t>DevOps</w:t>
            </w:r>
          </w:p>
        </w:tc>
        <w:tc>
          <w:tcPr>
            <w:tcW w:type="dxa" w:w="2520"/>
            <w:vAlign w:val="center"/>
          </w:tcPr>
          <w:p>
            <w:pPr>
              <w:spacing w:after="0"/>
            </w:pPr>
            <w:r/>
            <w:r>
              <w:rPr>
                <w:rFonts w:ascii="Aptos" w:hAnsi="Aptos"/>
                <w:b/>
                <w:sz w:val="16"/>
              </w:rPr>
              <w:t>High</w:t>
            </w:r>
          </w:p>
        </w:tc>
        <w:tc>
          <w:tcPr>
            <w:tcW w:type="dxa" w:w="2520"/>
            <w:vAlign w:val="center"/>
          </w:tcPr>
          <w:p>
            <w:pPr>
              <w:spacing w:after="0"/>
            </w:pPr>
            <w:r/>
            <w:r>
              <w:rPr>
                <w:rFonts w:ascii="Aptos" w:hAnsi="Aptos"/>
                <w:b w:val="0"/>
                <w:sz w:val="16"/>
              </w:rPr>
              <w:t>Detect failures in the full credential-validation path.</w:t>
            </w:r>
          </w:p>
        </w:tc>
      </w:tr>
      <w:tr>
        <w:tc>
          <w:tcPr>
            <w:tcW w:type="dxa" w:w="2520"/>
            <w:vAlign w:val="center"/>
            <w:shd w:fill="F3F6FA"/>
          </w:tcPr>
          <w:p>
            <w:pPr>
              <w:spacing w:after="0"/>
            </w:pPr>
            <w:r/>
            <w:r>
              <w:rPr>
                <w:rFonts w:ascii="Aptos" w:hAnsi="Aptos"/>
                <w:b w:val="0"/>
                <w:sz w:val="16"/>
              </w:rPr>
              <w:t>Expand pre-release and load testing</w:t>
            </w:r>
          </w:p>
        </w:tc>
        <w:tc>
          <w:tcPr>
            <w:tcW w:type="dxa" w:w="2520"/>
            <w:vAlign w:val="center"/>
            <w:shd w:fill="F3F6FA"/>
          </w:tcPr>
          <w:p>
            <w:pPr>
              <w:spacing w:after="0"/>
            </w:pPr>
            <w:r/>
            <w:r>
              <w:rPr>
                <w:rFonts w:ascii="Aptos" w:hAnsi="Aptos"/>
                <w:b w:val="0"/>
                <w:sz w:val="16"/>
              </w:rPr>
              <w:t>QA</w:t>
            </w:r>
          </w:p>
        </w:tc>
        <w:tc>
          <w:tcPr>
            <w:tcW w:type="dxa" w:w="2520"/>
            <w:vAlign w:val="center"/>
            <w:shd w:fill="F3F6FA"/>
          </w:tcPr>
          <w:p>
            <w:pPr>
              <w:spacing w:after="0"/>
            </w:pPr>
            <w:r/>
            <w:r>
              <w:rPr>
                <w:rFonts w:ascii="Aptos" w:hAnsi="Aptos"/>
                <w:b/>
                <w:sz w:val="16"/>
              </w:rPr>
              <w:t>High</w:t>
            </w:r>
          </w:p>
        </w:tc>
        <w:tc>
          <w:tcPr>
            <w:tcW w:type="dxa" w:w="2520"/>
            <w:vAlign w:val="center"/>
            <w:shd w:fill="F3F6FA"/>
          </w:tcPr>
          <w:p>
            <w:pPr>
              <w:spacing w:after="0"/>
            </w:pPr>
            <w:r/>
            <w:r>
              <w:rPr>
                <w:rFonts w:ascii="Aptos" w:hAnsi="Aptos"/>
                <w:b w:val="0"/>
                <w:sz w:val="16"/>
              </w:rPr>
              <w:t>Test concurrent logins, sustained load, and repeated requests.</w:t>
            </w:r>
          </w:p>
        </w:tc>
      </w:tr>
      <w:tr>
        <w:tc>
          <w:tcPr>
            <w:tcW w:type="dxa" w:w="2520"/>
            <w:vAlign w:val="center"/>
          </w:tcPr>
          <w:p>
            <w:pPr>
              <w:spacing w:after="0"/>
            </w:pPr>
            <w:r/>
            <w:r>
              <w:rPr>
                <w:rFonts w:ascii="Aptos" w:hAnsi="Aptos"/>
                <w:b w:val="0"/>
                <w:sz w:val="16"/>
              </w:rPr>
              <w:t>Review connection lifecycle in code</w:t>
            </w:r>
          </w:p>
        </w:tc>
        <w:tc>
          <w:tcPr>
            <w:tcW w:type="dxa" w:w="2520"/>
            <w:vAlign w:val="center"/>
          </w:tcPr>
          <w:p>
            <w:pPr>
              <w:spacing w:after="0"/>
            </w:pPr>
            <w:r/>
            <w:r>
              <w:rPr>
                <w:rFonts w:ascii="Aptos" w:hAnsi="Aptos"/>
                <w:b w:val="0"/>
                <w:sz w:val="16"/>
              </w:rPr>
              <w:t>Development</w:t>
            </w:r>
          </w:p>
        </w:tc>
        <w:tc>
          <w:tcPr>
            <w:tcW w:type="dxa" w:w="2520"/>
            <w:vAlign w:val="center"/>
          </w:tcPr>
          <w:p>
            <w:pPr>
              <w:spacing w:after="0"/>
            </w:pPr>
            <w:r/>
            <w:r>
              <w:rPr>
                <w:rFonts w:ascii="Aptos" w:hAnsi="Aptos"/>
                <w:b/>
                <w:sz w:val="16"/>
              </w:rPr>
              <w:t>High</w:t>
            </w:r>
          </w:p>
        </w:tc>
        <w:tc>
          <w:tcPr>
            <w:tcW w:type="dxa" w:w="2520"/>
            <w:vAlign w:val="center"/>
          </w:tcPr>
          <w:p>
            <w:pPr>
              <w:spacing w:after="0"/>
            </w:pPr>
            <w:r/>
            <w:r>
              <w:rPr>
                <w:rFonts w:ascii="Aptos" w:hAnsi="Aptos"/>
                <w:b w:val="0"/>
                <w:sz w:val="16"/>
              </w:rPr>
              <w:t>Use safe resource handling and ensure connections are always released.</w:t>
            </w:r>
          </w:p>
        </w:tc>
      </w:tr>
      <w:tr>
        <w:tc>
          <w:tcPr>
            <w:tcW w:type="dxa" w:w="2520"/>
            <w:vAlign w:val="center"/>
            <w:shd w:fill="F3F6FA"/>
          </w:tcPr>
          <w:p>
            <w:pPr>
              <w:spacing w:after="0"/>
            </w:pPr>
            <w:r/>
            <w:r>
              <w:rPr>
                <w:rFonts w:ascii="Aptos" w:hAnsi="Aptos"/>
                <w:b w:val="0"/>
                <w:sz w:val="16"/>
              </w:rPr>
              <w:t>Define deployment rollback criteria</w:t>
            </w:r>
          </w:p>
        </w:tc>
        <w:tc>
          <w:tcPr>
            <w:tcW w:type="dxa" w:w="2520"/>
            <w:vAlign w:val="center"/>
            <w:shd w:fill="F3F6FA"/>
          </w:tcPr>
          <w:p>
            <w:pPr>
              <w:spacing w:after="0"/>
            </w:pPr>
            <w:r/>
            <w:r>
              <w:rPr>
                <w:rFonts w:ascii="Aptos" w:hAnsi="Aptos"/>
                <w:b w:val="0"/>
                <w:sz w:val="16"/>
              </w:rPr>
              <w:t>DevOps / Release owner</w:t>
            </w:r>
          </w:p>
        </w:tc>
        <w:tc>
          <w:tcPr>
            <w:tcW w:type="dxa" w:w="2520"/>
            <w:vAlign w:val="center"/>
            <w:shd w:fill="F3F6FA"/>
          </w:tcPr>
          <w:p>
            <w:pPr>
              <w:spacing w:after="0"/>
            </w:pPr>
            <w:r/>
            <w:r>
              <w:rPr>
                <w:rFonts w:ascii="Aptos" w:hAnsi="Aptos"/>
                <w:b/>
                <w:sz w:val="16"/>
              </w:rPr>
              <w:t>Medium</w:t>
            </w:r>
          </w:p>
        </w:tc>
        <w:tc>
          <w:tcPr>
            <w:tcW w:type="dxa" w:w="2520"/>
            <w:vAlign w:val="center"/>
            <w:shd w:fill="F3F6FA"/>
          </w:tcPr>
          <w:p>
            <w:pPr>
              <w:spacing w:after="0"/>
            </w:pPr>
            <w:r/>
            <w:r>
              <w:rPr>
                <w:rFonts w:ascii="Aptos" w:hAnsi="Aptos"/>
                <w:b w:val="0"/>
                <w:sz w:val="16"/>
              </w:rPr>
              <w:t>Rollback when agreed authentication-error or pool-saturation thresholds are breached.</w:t>
            </w:r>
          </w:p>
        </w:tc>
      </w:tr>
      <w:tr>
        <w:tc>
          <w:tcPr>
            <w:tcW w:type="dxa" w:w="2520"/>
            <w:vAlign w:val="center"/>
          </w:tcPr>
          <w:p>
            <w:pPr>
              <w:spacing w:after="0"/>
            </w:pPr>
            <w:r/>
            <w:r>
              <w:rPr>
                <w:rFonts w:ascii="Aptos" w:hAnsi="Aptos"/>
                <w:b w:val="0"/>
                <w:sz w:val="16"/>
              </w:rPr>
              <w:t>Run periodic incident drills</w:t>
            </w:r>
          </w:p>
        </w:tc>
        <w:tc>
          <w:tcPr>
            <w:tcW w:type="dxa" w:w="2520"/>
            <w:vAlign w:val="center"/>
          </w:tcPr>
          <w:p>
            <w:pPr>
              <w:spacing w:after="0"/>
            </w:pPr>
            <w:r/>
            <w:r>
              <w:rPr>
                <w:rFonts w:ascii="Aptos" w:hAnsi="Aptos"/>
                <w:b w:val="0"/>
                <w:sz w:val="16"/>
              </w:rPr>
              <w:t>Engineering / Support</w:t>
            </w:r>
          </w:p>
        </w:tc>
        <w:tc>
          <w:tcPr>
            <w:tcW w:type="dxa" w:w="2520"/>
            <w:vAlign w:val="center"/>
          </w:tcPr>
          <w:p>
            <w:pPr>
              <w:spacing w:after="0"/>
            </w:pPr>
            <w:r/>
            <w:r>
              <w:rPr>
                <w:rFonts w:ascii="Aptos" w:hAnsi="Aptos"/>
                <w:b/>
                <w:sz w:val="16"/>
              </w:rPr>
              <w:t>Medium</w:t>
            </w:r>
          </w:p>
        </w:tc>
        <w:tc>
          <w:tcPr>
            <w:tcW w:type="dxa" w:w="2520"/>
            <w:vAlign w:val="center"/>
          </w:tcPr>
          <w:p>
            <w:pPr>
              <w:spacing w:after="0"/>
            </w:pPr>
            <w:r/>
            <w:r>
              <w:rPr>
                <w:rFonts w:ascii="Aptos" w:hAnsi="Aptos"/>
                <w:b w:val="0"/>
                <w:sz w:val="16"/>
              </w:rPr>
              <w:t>Practise detection, escalation, communication, and recovery.</w:t>
            </w:r>
          </w:p>
        </w:tc>
      </w:tr>
    </w:tbl>
    <w:p>
      <w:pPr>
        <w:pStyle w:val="Heading1"/>
      </w:pPr>
      <w:r>
        <w:t>8. Verification and Closure Criteria</w:t>
      </w:r>
    </w:p>
    <w:p>
      <w:pPr>
        <w:pStyle w:val="ListBullet"/>
      </w:pPr>
      <w:r>
        <w:t>Successful login tests pass for representative user accounts.</w:t>
      </w:r>
    </w:p>
    <w:p>
      <w:pPr>
        <w:pStyle w:val="ListBullet"/>
      </w:pPr>
      <w:r>
        <w:t>Authentication error rate returns to the expected baseline.</w:t>
      </w:r>
    </w:p>
    <w:p>
      <w:pPr>
        <w:pStyle w:val="ListBullet"/>
      </w:pPr>
      <w:r>
        <w:t>Connection-pool utilization and wait times remain healthy during normal and peak load.</w:t>
      </w:r>
    </w:p>
    <w:p>
      <w:pPr>
        <w:pStyle w:val="ListBullet"/>
      </w:pPr>
      <w:r>
        <w:t>The code fix and preventive actions have owners and are tracked to completion.</w:t>
      </w:r>
    </w:p>
    <w:p>
      <w:pPr>
        <w:pStyle w:val="ListBullet"/>
      </w:pPr>
      <w:r>
        <w:t>Support confirms that affected users can access the portal again.</w:t>
      </w:r>
    </w:p>
    <w:p>
      <w:pPr>
        <w:pStyle w:val="Heading1"/>
      </w:pPr>
      <w:r>
        <w:t>9. Lessons Learned</w:t>
      </w:r>
    </w:p>
    <w:p>
      <w:r>
        <w:t>A login failure can originate from a dependency behind the login screen, not only from incorrect passwords. Monitoring, realistic load testing, careful resource management, and a rehearsed rollback plan help reduce both the duration and recurrence of incidents. RCA conclusions should always be supported by evidence.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91"/>
        <w:sz w:val="16"/>
      </w:rPr>
      <w:t>Training assignment • Module 4: Problem Solving &amp; Root Cause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36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0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663"/>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