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pPr>
    </w:p>
    <w:p>
      <w:pPr>
        <w:jc w:val="center"/>
      </w:pPr>
      <w:r>
        <w:rPr>
          <w:rFonts w:ascii="Arial" w:cs="Arial" w:eastAsia="Arial" w:hAnsi="Arial"/>
          <w:b/>
          <w:bCs/>
          <w:color w:val="1A56DB"/>
          <w:sz w:val="56"/>
          <w:szCs w:val="56"/>
        </w:rPr>
        <w:t xml:space="preserve">STABLECOIN ATLAS</w:t>
      </w:r>
    </w:p>
    <w:p>
      <w:pPr>
        <w:spacing w:before="80" w:after="80"/>
        <w:jc w:val="center"/>
      </w:pPr>
      <w:r>
        <w:rPr>
          <w:rFonts w:ascii="Arial" w:cs="Arial" w:eastAsia="Arial" w:hAnsi="Arial"/>
          <w:color w:val="6B7280"/>
          <w:sz w:val="30"/>
          <w:szCs w:val="30"/>
        </w:rPr>
        <w:t xml:space="preserve">Feature Requirements: Learning Hub &amp; Careers Hub</w:t>
      </w:r>
    </w:p>
    <w:p>
      <w:pPr>
        <w:spacing w:before="40" w:after="400"/>
        <w:jc w:val="center"/>
      </w:pPr>
      <w:r>
        <w:rPr>
          <w:rFonts w:ascii="Arial" w:cs="Arial" w:eastAsia="Arial" w:hAnsi="Arial"/>
          <w:i/>
          <w:iCs/>
          <w:color w:val="9CA3AF"/>
          <w:sz w:val="20"/>
          <w:szCs w:val="20"/>
        </w:rPr>
        <w:t xml:space="preserve">Prepared for: Antigravity  ·  Version 1.0  ·  February 2026</w:t>
      </w:r>
    </w:p>
    <w:p>
      <w:pPr>
        <w:pBdr>
          <w:bottom w:val="single" w:color="E5E7EB" w:sz="4" w:space="1"/>
        </w:pBdr>
        <w:spacing w:before="120" w:after="120"/>
      </w:pPr>
    </w:p>
    <w:p>
      <w:pPr>
        <w:spacing w:before="20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9360"/>
            <w:gridSpan w:val="2"/>
            <w:tcBorders>
              <w:top w:val="none" w:color="FFFFFF" w:sz="0"/>
              <w:left w:val="single" w:color="1A56DB" w:sz="12"/>
              <w:bottom w:val="none" w:color="FFFFFF" w:sz="0"/>
              <w:right w:val="none" w:color="FFFFFF" w:sz="0"/>
            </w:tcBorders>
            <w:shd w:fill="EFF6FF" w:val="clear"/>
            <w:tcMar>
              <w:top w:type="dxa" w:w="60"/>
              <w:left w:type="dxa" w:w="120"/>
              <w:bottom w:type="dxa" w:w="60"/>
              <w:right w:type="dxa" w:w="60"/>
            </w:tcMar>
          </w:tcPr>
          <w:p>
            <w:pPr>
              <w:spacing w:before="0" w:after="0"/>
            </w:pPr>
            <w:r>
              <w:rPr>
                <w:rFonts w:ascii="Arial" w:cs="Arial" w:eastAsia="Arial" w:hAnsi="Arial"/>
                <w:i/>
                <w:iCs/>
                <w:color w:val="1F2937"/>
                <w:sz w:val="20"/>
                <w:szCs w:val="20"/>
              </w:rPr>
              <w:t xml:space="preserve">This document specifies full product requirements for two core features of Stablecoin Atlas MVP: (1) the Learning Hub with curated multi-stage content, and (2) the Careers Hub with job ingestion and display. Each section includes UX requirements, data models, curated resources, and Google Form submission specs.</w:t>
            </w:r>
          </w:p>
        </w:tc>
      </w:tr>
    </w:tbl>
    <w:p>
      <w:r>
        <w:br w:type="page"/>
      </w:r>
    </w:p>
    <w:p>
      <w:pPr>
        <w:pStyle w:val="Heading1"/>
        <w:spacing w:before="360" w:after="120"/>
      </w:pPr>
      <w:r>
        <w:rPr>
          <w:rFonts w:ascii="Arial" w:cs="Arial" w:eastAsia="Arial" w:hAnsi="Arial"/>
          <w:b/>
          <w:bCs/>
          <w:color w:val="111827"/>
          <w:sz w:val="36"/>
          <w:szCs w:val="36"/>
        </w:rPr>
        <w:t xml:space="preserve">SECTION 1 — LEARNING HUB</w:t>
      </w:r>
    </w:p>
    <w:p>
      <w:pPr>
        <w:pBdr>
          <w:bottom w:val="single" w:color="E5E7EB" w:sz="4" w:space="1"/>
        </w:pBdr>
        <w:spacing w:before="120" w:after="120"/>
      </w:pPr>
    </w:p>
    <w:p>
      <w:pPr>
        <w:pStyle w:val="Heading2"/>
        <w:spacing w:before="280" w:after="100"/>
      </w:pPr>
      <w:r>
        <w:rPr>
          <w:rFonts w:ascii="Arial" w:cs="Arial" w:eastAsia="Arial" w:hAnsi="Arial"/>
          <w:b/>
          <w:bCs/>
          <w:color w:val="1F2937"/>
          <w:sz w:val="28"/>
          <w:szCs w:val="28"/>
        </w:rPr>
        <w:t xml:space="preserve">1.1  Purpose &amp; Goals</w:t>
      </w:r>
    </w:p>
    <w:p>
      <w:pPr>
        <w:spacing w:before="60" w:after="60"/>
      </w:pPr>
      <w:r>
        <w:rPr>
          <w:rFonts w:ascii="Arial" w:cs="Arial" w:eastAsia="Arial" w:hAnsi="Arial"/>
          <w:sz w:val="22"/>
          <w:szCs w:val="22"/>
        </w:rPr>
        <w:t xml:space="preserve">The Learning Hub is the educational backbone of Stablecoin Atlas. It must serve any visitor — from someone who has never heard the word 'stablecoin' to a senior engineer building on-chain payment rails — without making anyone feel lost or overwhelmed. The hub is organised into four progressive stages, each with its own content format mix and learning outcomes.</w:t>
      </w:r>
    </w:p>
    <w:p>
      <w:pPr>
        <w:spacing w:before="100"/>
      </w:pPr>
    </w:p>
    <w:p>
      <w:pPr>
        <w:spacing w:before="200" w:after="40"/>
      </w:pPr>
      <w:r>
        <w:rPr>
          <w:rFonts w:ascii="Arial" w:cs="Arial" w:eastAsia="Arial" w:hAnsi="Arial"/>
          <w:b/>
          <w:bCs/>
          <w:color w:val="1A56DB"/>
          <w:sz w:val="18"/>
          <w:szCs w:val="18"/>
        </w:rPr>
        <w:t xml:space="preserve">CORE OUTCOMES</w:t>
      </w:r>
    </w:p>
    <w:p>
      <w:pPr>
        <w:pStyle w:val="ListParagraph"/>
        <w:numPr>
          <w:ilvl w:val="0"/>
          <w:numId w:val="2"/>
        </w:numPr>
        <w:spacing w:before="40" w:after="40"/>
      </w:pPr>
      <w:r>
        <w:rPr>
          <w:rFonts w:ascii="Arial" w:cs="Arial" w:eastAsia="Arial" w:hAnsi="Arial"/>
          <w:sz w:val="22"/>
          <w:szCs w:val="22"/>
        </w:rPr>
        <w:t xml:space="preserve">A first-time visitor can understand what a stablecoin is and why it matters in under 10 minutes.</w:t>
      </w:r>
    </w:p>
    <w:p>
      <w:pPr>
        <w:pStyle w:val="ListParagraph"/>
        <w:numPr>
          <w:ilvl w:val="0"/>
          <w:numId w:val="2"/>
        </w:numPr>
        <w:spacing w:before="40" w:after="40"/>
      </w:pPr>
      <w:r>
        <w:rPr>
          <w:rFonts w:ascii="Arial" w:cs="Arial" w:eastAsia="Arial" w:hAnsi="Arial"/>
          <w:sz w:val="22"/>
          <w:szCs w:val="22"/>
        </w:rPr>
        <w:t xml:space="preserve">An intermediate learner can map the ecosystem (issuers, chains, use cases) through guided exploration.</w:t>
      </w:r>
    </w:p>
    <w:p>
      <w:pPr>
        <w:pStyle w:val="ListParagraph"/>
        <w:numPr>
          <w:ilvl w:val="0"/>
          <w:numId w:val="2"/>
        </w:numPr>
        <w:spacing w:before="40" w:after="40"/>
      </w:pPr>
      <w:r>
        <w:rPr>
          <w:rFonts w:ascii="Arial" w:cs="Arial" w:eastAsia="Arial" w:hAnsi="Arial"/>
          <w:sz w:val="22"/>
          <w:szCs w:val="22"/>
        </w:rPr>
        <w:t xml:space="preserve">A practitioner can test knowledge hands-on with interactive scenarios.</w:t>
      </w:r>
    </w:p>
    <w:p>
      <w:pPr>
        <w:pStyle w:val="ListParagraph"/>
        <w:numPr>
          <w:ilvl w:val="0"/>
          <w:numId w:val="2"/>
        </w:numPr>
        <w:spacing w:before="40" w:after="40"/>
      </w:pPr>
      <w:r>
        <w:rPr>
          <w:rFonts w:ascii="Arial" w:cs="Arial" w:eastAsia="Arial" w:hAnsi="Arial"/>
          <w:sz w:val="22"/>
          <w:szCs w:val="22"/>
        </w:rPr>
        <w:t xml:space="preserve">An expert can dive into technical depth, regulatory nuance, and emerging research.</w:t>
      </w:r>
    </w:p>
    <w:p>
      <w:pPr>
        <w:pStyle w:val="ListParagraph"/>
        <w:numPr>
          <w:ilvl w:val="0"/>
          <w:numId w:val="2"/>
        </w:numPr>
        <w:spacing w:before="40" w:after="40"/>
      </w:pPr>
      <w:r>
        <w:rPr>
          <w:rFonts w:ascii="Arial" w:cs="Arial" w:eastAsia="Arial" w:hAnsi="Arial"/>
          <w:sz w:val="22"/>
          <w:szCs w:val="22"/>
        </w:rPr>
        <w:t xml:space="preserve">Any visitor can submit a learning resource they believe should appear on the page.</w:t>
      </w:r>
    </w:p>
    <w:p>
      <w:pPr>
        <w:spacing w:before="80"/>
      </w:pPr>
    </w:p>
    <w:p>
      <w:pPr>
        <w:pStyle w:val="Heading2"/>
        <w:spacing w:before="280" w:after="100"/>
      </w:pPr>
      <w:r>
        <w:rPr>
          <w:rFonts w:ascii="Arial" w:cs="Arial" w:eastAsia="Arial" w:hAnsi="Arial"/>
          <w:b/>
          <w:bCs/>
          <w:color w:val="1F2937"/>
          <w:sz w:val="28"/>
          <w:szCs w:val="28"/>
        </w:rPr>
        <w:t xml:space="preserve">1.2  Information Architecture</w:t>
      </w:r>
    </w:p>
    <w:p>
      <w:pPr>
        <w:spacing w:before="60" w:after="60"/>
      </w:pPr>
      <w:r>
        <w:rPr>
          <w:rFonts w:ascii="Arial" w:cs="Arial" w:eastAsia="Arial" w:hAnsi="Arial"/>
          <w:sz w:val="22"/>
          <w:szCs w:val="22"/>
        </w:rPr>
        <w:t xml:space="preserve">The Learning page (/learn) is a single, scrollable page with a persistent left-side stage navigator on desktop and a top tab bar on mobile. Users can jump to any stage at any time — there is no forced linear progression. However, the default landing order is Stage 1 → 2 → 3 → 4.</w:t>
      </w:r>
    </w:p>
    <w:p>
      <w:pPr>
        <w:spacing w:before="80"/>
      </w:pPr>
    </w:p>
    <w:p>
      <w:pPr>
        <w:pStyle w:val="Heading3"/>
        <w:spacing w:before="200" w:after="80"/>
      </w:pPr>
      <w:r>
        <w:rPr>
          <w:rFonts w:ascii="Arial" w:cs="Arial" w:eastAsia="Arial" w:hAnsi="Arial"/>
          <w:b/>
          <w:bCs/>
          <w:color w:val="374151"/>
          <w:sz w:val="24"/>
          <w:szCs w:val="24"/>
        </w:rPr>
        <w:t xml:space="preserve">Page-level structure</w:t>
      </w:r>
    </w:p>
    <w:p>
      <w:pPr>
        <w:pStyle w:val="ListParagraph"/>
        <w:numPr>
          <w:ilvl w:val="0"/>
          <w:numId w:val="3"/>
        </w:numPr>
        <w:spacing w:before="40" w:after="40"/>
      </w:pPr>
      <w:r>
        <w:rPr>
          <w:rFonts w:ascii="Arial" w:cs="Arial" w:eastAsia="Arial" w:hAnsi="Arial"/>
          <w:sz w:val="22"/>
          <w:szCs w:val="22"/>
        </w:rPr>
        <w:t xml:space="preserve">Hero section: headline, one-line description, stage selector pills.</w:t>
      </w:r>
    </w:p>
    <w:p>
      <w:pPr>
        <w:pStyle w:val="ListParagraph"/>
        <w:numPr>
          <w:ilvl w:val="0"/>
          <w:numId w:val="3"/>
        </w:numPr>
        <w:spacing w:before="40" w:after="40"/>
      </w:pPr>
      <w:r>
        <w:rPr>
          <w:rFonts w:ascii="Arial" w:cs="Arial" w:eastAsia="Arial" w:hAnsi="Arial"/>
          <w:sz w:val="22"/>
          <w:szCs w:val="22"/>
        </w:rPr>
        <w:t xml:space="preserve">Stage 1 — Absolute Beginners: core explainer cards + curated beginner resources.</w:t>
      </w:r>
    </w:p>
    <w:p>
      <w:pPr>
        <w:pStyle w:val="ListParagraph"/>
        <w:numPr>
          <w:ilvl w:val="0"/>
          <w:numId w:val="3"/>
        </w:numPr>
        <w:spacing w:before="40" w:after="40"/>
      </w:pPr>
      <w:r>
        <w:rPr>
          <w:rFonts w:ascii="Arial" w:cs="Arial" w:eastAsia="Arial" w:hAnsi="Arial"/>
          <w:sz w:val="22"/>
          <w:szCs w:val="22"/>
        </w:rPr>
        <w:t xml:space="preserve">Stage 2 — Guided Exploration: topic clusters + deeper reads + ecosystem maps.</w:t>
      </w:r>
    </w:p>
    <w:p>
      <w:pPr>
        <w:pStyle w:val="ListParagraph"/>
        <w:numPr>
          <w:ilvl w:val="0"/>
          <w:numId w:val="3"/>
        </w:numPr>
        <w:spacing w:before="40" w:after="40"/>
      </w:pPr>
      <w:r>
        <w:rPr>
          <w:rFonts w:ascii="Arial" w:cs="Arial" w:eastAsia="Arial" w:hAnsi="Arial"/>
          <w:sz w:val="22"/>
          <w:szCs w:val="22"/>
        </w:rPr>
        <w:t xml:space="preserve">Stage 3 — Hands-on Practice: interactive modules, quizzes, simulations.</w:t>
      </w:r>
    </w:p>
    <w:p>
      <w:pPr>
        <w:pStyle w:val="ListParagraph"/>
        <w:numPr>
          <w:ilvl w:val="0"/>
          <w:numId w:val="3"/>
        </w:numPr>
        <w:spacing w:before="40" w:after="40"/>
      </w:pPr>
      <w:r>
        <w:rPr>
          <w:rFonts w:ascii="Arial" w:cs="Arial" w:eastAsia="Arial" w:hAnsi="Arial"/>
          <w:sz w:val="22"/>
          <w:szCs w:val="22"/>
        </w:rPr>
        <w:t xml:space="preserve">Stage 4 — Advanced Mastery: technical deep-dives, regulatory analysis, research papers.</w:t>
      </w:r>
    </w:p>
    <w:p>
      <w:pPr>
        <w:pStyle w:val="ListParagraph"/>
        <w:numPr>
          <w:ilvl w:val="0"/>
          <w:numId w:val="3"/>
        </w:numPr>
        <w:spacing w:before="40" w:after="40"/>
      </w:pPr>
      <w:r>
        <w:rPr>
          <w:rFonts w:ascii="Arial" w:cs="Arial" w:eastAsia="Arial" w:hAnsi="Arial"/>
          <w:sz w:val="22"/>
          <w:szCs w:val="22"/>
        </w:rPr>
        <w:t xml:space="preserve">Community Submission CTA: nudge to contribute a resource.</w:t>
      </w:r>
    </w:p>
    <w:p>
      <w:pPr>
        <w:spacing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9360"/>
            <w:gridSpan w:val="2"/>
            <w:tcBorders>
              <w:top w:val="none" w:color="FFFFFF" w:sz="0"/>
              <w:left w:val="single" w:color="1A56DB" w:sz="12"/>
              <w:bottom w:val="none" w:color="FFFFFF" w:sz="0"/>
              <w:right w:val="none" w:color="FFFFFF" w:sz="0"/>
            </w:tcBorders>
            <w:shd w:fill="EFF6FF" w:val="clear"/>
            <w:tcMar>
              <w:top w:type="dxa" w:w="60"/>
              <w:left w:type="dxa" w:w="120"/>
              <w:bottom w:type="dxa" w:w="60"/>
              <w:right w:type="dxa" w:w="60"/>
            </w:tcMar>
          </w:tcPr>
          <w:p>
            <w:pPr>
              <w:spacing w:before="0" w:after="0"/>
            </w:pPr>
            <w:r>
              <w:rPr>
                <w:rFonts w:ascii="Arial" w:cs="Arial" w:eastAsia="Arial" w:hAnsi="Arial"/>
                <w:i/>
                <w:iCs/>
                <w:color w:val="1F2937"/>
                <w:sz w:val="20"/>
                <w:szCs w:val="20"/>
              </w:rPr>
              <w:t xml:space="preserve">Design principle: No gating. Users can access any stage without completing the previous one. Stage pills are always visible.</w:t>
            </w:r>
          </w:p>
        </w:tc>
      </w:tr>
    </w:tbl>
    <w:p>
      <w:pPr>
        <w:spacing w:before="80"/>
      </w:pPr>
    </w:p>
    <w:p>
      <w:pPr>
        <w:pStyle w:val="Heading2"/>
        <w:spacing w:before="280" w:after="100"/>
      </w:pPr>
      <w:r>
        <w:rPr>
          <w:rFonts w:ascii="Arial" w:cs="Arial" w:eastAsia="Arial" w:hAnsi="Arial"/>
          <w:b/>
          <w:bCs/>
          <w:color w:val="1F2937"/>
          <w:sz w:val="28"/>
          <w:szCs w:val="28"/>
        </w:rPr>
        <w:t xml:space="preserve">1.3  Stage Definitions &amp; Requirements</w:t>
      </w:r>
    </w:p>
    <w:p>
      <w:pPr>
        <w:spacing w:before="120"/>
      </w:pPr>
    </w:p>
    <w:p>
      <w:pPr>
        <w:pBdr>
          <w:left w:val="single" w:color="1A56DB" w:sz="16" w:space="4"/>
        </w:pBdr>
        <w:shd w:fill="DBEAFE" w:val="clear"/>
        <w:spacing w:before="60" w:after="60"/>
        <w:ind w:left="160"/>
      </w:pPr>
      <w:r>
        <w:rPr>
          <w:rFonts w:ascii="Arial" w:cs="Arial" w:eastAsia="Arial" w:hAnsi="Arial"/>
          <w:b/>
          <w:bCs/>
          <w:color w:val="1A56DB"/>
          <w:sz w:val="24"/>
          <w:szCs w:val="24"/>
        </w:rPr>
        <w:t xml:space="preserve">STAGE 1  |  Absolute Beginners  —  'What even is a stablecoin?'</w:t>
      </w:r>
    </w:p>
    <w:p>
      <w:pPr>
        <w:spacing w:before="200" w:after="40"/>
      </w:pPr>
      <w:r>
        <w:rPr>
          <w:rFonts w:ascii="Arial" w:cs="Arial" w:eastAsia="Arial" w:hAnsi="Arial"/>
          <w:b/>
          <w:bCs/>
          <w:color w:val="1A56DB"/>
          <w:sz w:val="18"/>
          <w:szCs w:val="18"/>
        </w:rPr>
        <w:t xml:space="preserve">LEARNING OUTCOMES</w:t>
      </w:r>
    </w:p>
    <w:p>
      <w:pPr>
        <w:pStyle w:val="ListParagraph"/>
        <w:numPr>
          <w:ilvl w:val="0"/>
          <w:numId w:val="2"/>
        </w:numPr>
        <w:spacing w:before="40" w:after="40"/>
      </w:pPr>
      <w:r>
        <w:rPr>
          <w:rFonts w:ascii="Arial" w:cs="Arial" w:eastAsia="Arial" w:hAnsi="Arial"/>
          <w:sz w:val="22"/>
          <w:szCs w:val="22"/>
        </w:rPr>
        <w:t xml:space="preserve">Define what a stablecoin is and how it differs from Bitcoin or Ether.</w:t>
      </w:r>
    </w:p>
    <w:p>
      <w:pPr>
        <w:pStyle w:val="ListParagraph"/>
        <w:numPr>
          <w:ilvl w:val="0"/>
          <w:numId w:val="2"/>
        </w:numPr>
        <w:spacing w:before="40" w:after="40"/>
      </w:pPr>
      <w:r>
        <w:rPr>
          <w:rFonts w:ascii="Arial" w:cs="Arial" w:eastAsia="Arial" w:hAnsi="Arial"/>
          <w:sz w:val="22"/>
          <w:szCs w:val="22"/>
        </w:rPr>
        <w:t xml:space="preserve">Explain the three main types: fiat-backed, crypto-backed, algorithmic.</w:t>
      </w:r>
    </w:p>
    <w:p>
      <w:pPr>
        <w:pStyle w:val="ListParagraph"/>
        <w:numPr>
          <w:ilvl w:val="0"/>
          <w:numId w:val="2"/>
        </w:numPr>
        <w:spacing w:before="40" w:after="40"/>
      </w:pPr>
      <w:r>
        <w:rPr>
          <w:rFonts w:ascii="Arial" w:cs="Arial" w:eastAsia="Arial" w:hAnsi="Arial"/>
          <w:sz w:val="22"/>
          <w:szCs w:val="22"/>
        </w:rPr>
        <w:t xml:space="preserve">Understand why 'backed' claims matter and what reserves mean.</w:t>
      </w:r>
    </w:p>
    <w:p>
      <w:pPr>
        <w:pStyle w:val="ListParagraph"/>
        <w:numPr>
          <w:ilvl w:val="0"/>
          <w:numId w:val="2"/>
        </w:numPr>
        <w:spacing w:before="40" w:after="40"/>
      </w:pPr>
      <w:r>
        <w:rPr>
          <w:rFonts w:ascii="Arial" w:cs="Arial" w:eastAsia="Arial" w:hAnsi="Arial"/>
          <w:sz w:val="22"/>
          <w:szCs w:val="22"/>
        </w:rPr>
        <w:t xml:space="preserve">Grasp why stablecoins exist: cross-border payments, dollar access, DeFi.</w:t>
      </w:r>
    </w:p>
    <w:p>
      <w:pPr>
        <w:spacing w:before="200" w:after="40"/>
      </w:pPr>
      <w:r>
        <w:rPr>
          <w:rFonts w:ascii="Arial" w:cs="Arial" w:eastAsia="Arial" w:hAnsi="Arial"/>
          <w:b/>
          <w:bCs/>
          <w:color w:val="1A56DB"/>
          <w:sz w:val="18"/>
          <w:szCs w:val="18"/>
        </w:rPr>
        <w:t xml:space="preserve">CONTENT FORMATS FOR STAGE 1</w:t>
      </w:r>
    </w:p>
    <w:p>
      <w:pPr>
        <w:spacing w:before="60" w:after="60"/>
      </w:pPr>
      <w:r>
        <w:rPr>
          <w:rFonts w:ascii="Arial" w:cs="Arial" w:eastAsia="Arial" w:hAnsi="Arial"/>
          <w:sz w:val="22"/>
          <w:szCs w:val="22"/>
        </w:rPr>
        <w:t xml:space="preserve">Short explainer cards (300–500 words each), 2–4 minute explainer videos, simple infographics, and a glossary anchor. No code, no equations.</w:t>
      </w:r>
    </w:p>
    <w:p>
      <w:pPr>
        <w:spacing w:before="200" w:after="40"/>
      </w:pPr>
      <w:r>
        <w:rPr>
          <w:rFonts w:ascii="Arial" w:cs="Arial" w:eastAsia="Arial" w:hAnsi="Arial"/>
          <w:b/>
          <w:bCs/>
          <w:color w:val="1A56DB"/>
          <w:sz w:val="18"/>
          <w:szCs w:val="18"/>
        </w:rPr>
        <w:t xml:space="preserve">CURATED RESOURCES — STAGE 1</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2000"/>
        <w:gridCol w:w="2960"/>
      </w:tblGrid>
      <w:tr>
        <w:trPr>
          <w:tblHeader/>
        </w:trP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Resource Title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 / Creator</w:t>
            </w:r>
          </w:p>
        </w:tc>
        <w:tc>
          <w:tcPr>
            <w:tcW w:type="dxa" w:w="2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URL / Notes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What is a Stablecoin?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Article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Coinbase Learn</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coinbase.com/learn/crypto-basics/what-is-a-stablecoin</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Stablecoins 101 — The Basics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Video (6 min)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Whiteboard Crypto (YouTube)</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youtube.com/watch?v=pGzfexGmuVw</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How Stablecoins Work</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Article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Investopedia</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investopedia.com/terms/s/stablecoin.asp</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What Are Stablecoins and How Do They Work?</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Article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CoinDesk Learn</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coindesk.com/learn/what-are-stablecoins</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The Three Types of Stablecoins (infographic)</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Infographic / Article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Gemini Cryptopedia</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gemini.com/cryptopedia/stablecoin-types</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USDC Explained Simply</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Video (4 min)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Circle (YouTube)</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Search 'Circle USDC explained'</w:t>
            </w:r>
          </w:p>
        </w:tc>
      </w:tr>
      <w:tr>
        <w:tc>
          <w:tcPr>
            <w:tcW w:type="dxa" w:w="3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Why Stablecoins Matter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Article (short)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a16z Crypto</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a16zcrypto.com — search 'why stablecoins matter'</w:t>
            </w:r>
          </w:p>
        </w:tc>
      </w:tr>
      <w:tr>
        <w:tc>
          <w:tcPr>
            <w:tcW w:type="dxa" w:w="3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Stablecoin Glossary</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Reference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Stablecoin Atlas (to build)</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Internal — link to /tools/glossary</w:t>
            </w:r>
          </w:p>
        </w:tc>
      </w:tr>
    </w:tbl>
    <w:p>
      <w:pPr>
        <w:spacing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9360"/>
            <w:gridSpan w:val="2"/>
            <w:tcBorders>
              <w:top w:val="none" w:color="FFFFFF" w:sz="0"/>
              <w:left w:val="single" w:color="1A56DB" w:sz="12"/>
              <w:bottom w:val="none" w:color="FFFFFF" w:sz="0"/>
              <w:right w:val="none" w:color="FFFFFF" w:sz="0"/>
            </w:tcBorders>
            <w:shd w:fill="EFF6FF" w:val="clear"/>
            <w:tcMar>
              <w:top w:type="dxa" w:w="60"/>
              <w:left w:type="dxa" w:w="120"/>
              <w:bottom w:type="dxa" w:w="60"/>
              <w:right w:type="dxa" w:w="60"/>
            </w:tcMar>
          </w:tcPr>
          <w:p>
            <w:pPr>
              <w:spacing w:before="0" w:after="0"/>
            </w:pPr>
            <w:r>
              <w:rPr>
                <w:rFonts w:ascii="Arial" w:cs="Arial" w:eastAsia="Arial" w:hAnsi="Arial"/>
                <w:i/>
                <w:iCs/>
                <w:color w:val="1F2937"/>
                <w:sz w:val="20"/>
                <w:szCs w:val="20"/>
              </w:rPr>
              <w:t xml:space="preserve">All external links must be reviewed quarterly. Broken links should trigger an alert to the content editor.</w:t>
            </w:r>
          </w:p>
        </w:tc>
      </w:tr>
    </w:tbl>
    <w:p>
      <w:pPr>
        <w:spacing w:before="160"/>
      </w:pPr>
    </w:p>
    <w:p>
      <w:pPr>
        <w:pBdr>
          <w:left w:val="single" w:color="0E9F6E" w:sz="16" w:space="4"/>
        </w:pBdr>
        <w:shd w:fill="D1FAE5" w:val="clear"/>
        <w:spacing w:before="60" w:after="60"/>
        <w:ind w:left="160"/>
      </w:pPr>
      <w:r>
        <w:rPr>
          <w:rFonts w:ascii="Arial" w:cs="Arial" w:eastAsia="Arial" w:hAnsi="Arial"/>
          <w:b/>
          <w:bCs/>
          <w:color w:val="0E9F6E"/>
          <w:sz w:val="24"/>
          <w:szCs w:val="24"/>
        </w:rPr>
        <w:t xml:space="preserve">STAGE 2  |  Guided Exploration  —  'Show me how the ecosystem works'</w:t>
      </w:r>
    </w:p>
    <w:p>
      <w:pPr>
        <w:spacing w:before="200" w:after="40"/>
      </w:pPr>
      <w:r>
        <w:rPr>
          <w:rFonts w:ascii="Arial" w:cs="Arial" w:eastAsia="Arial" w:hAnsi="Arial"/>
          <w:b/>
          <w:bCs/>
          <w:color w:val="0E9F6E"/>
          <w:sz w:val="18"/>
          <w:szCs w:val="18"/>
        </w:rPr>
        <w:t xml:space="preserve">LEARNING OUTCOMES</w:t>
      </w:r>
    </w:p>
    <w:p>
      <w:pPr>
        <w:pStyle w:val="ListParagraph"/>
        <w:numPr>
          <w:ilvl w:val="0"/>
          <w:numId w:val="2"/>
        </w:numPr>
        <w:spacing w:before="40" w:after="40"/>
      </w:pPr>
      <w:r>
        <w:rPr>
          <w:rFonts w:ascii="Arial" w:cs="Arial" w:eastAsia="Arial" w:hAnsi="Arial"/>
          <w:sz w:val="22"/>
          <w:szCs w:val="22"/>
        </w:rPr>
        <w:t xml:space="preserve">Map the key actors: issuers, chains/networks, custodians, exchanges, payment apps.</w:t>
      </w:r>
    </w:p>
    <w:p>
      <w:pPr>
        <w:pStyle w:val="ListParagraph"/>
        <w:numPr>
          <w:ilvl w:val="0"/>
          <w:numId w:val="2"/>
        </w:numPr>
        <w:spacing w:before="40" w:after="40"/>
      </w:pPr>
      <w:r>
        <w:rPr>
          <w:rFonts w:ascii="Arial" w:cs="Arial" w:eastAsia="Arial" w:hAnsi="Arial"/>
          <w:sz w:val="22"/>
          <w:szCs w:val="22"/>
        </w:rPr>
        <w:t xml:space="preserve">Understand how minting, burning, and redemption actually work.</w:t>
      </w:r>
    </w:p>
    <w:p>
      <w:pPr>
        <w:pStyle w:val="ListParagraph"/>
        <w:numPr>
          <w:ilvl w:val="0"/>
          <w:numId w:val="2"/>
        </w:numPr>
        <w:spacing w:before="40" w:after="40"/>
      </w:pPr>
      <w:r>
        <w:rPr>
          <w:rFonts w:ascii="Arial" w:cs="Arial" w:eastAsia="Arial" w:hAnsi="Arial"/>
          <w:sz w:val="22"/>
          <w:szCs w:val="22"/>
        </w:rPr>
        <w:t xml:space="preserve">Compare major stablecoins: USDC, USDT, PYUSD, EURC, XSGD.</w:t>
      </w:r>
    </w:p>
    <w:p>
      <w:pPr>
        <w:pStyle w:val="ListParagraph"/>
        <w:numPr>
          <w:ilvl w:val="0"/>
          <w:numId w:val="2"/>
        </w:numPr>
        <w:spacing w:before="40" w:after="40"/>
      </w:pPr>
      <w:r>
        <w:rPr>
          <w:rFonts w:ascii="Arial" w:cs="Arial" w:eastAsia="Arial" w:hAnsi="Arial"/>
          <w:sz w:val="22"/>
          <w:szCs w:val="22"/>
        </w:rPr>
        <w:t xml:space="preserve">Understand attestations, audits, and why they matter for trust.</w:t>
      </w:r>
    </w:p>
    <w:p>
      <w:pPr>
        <w:pStyle w:val="ListParagraph"/>
        <w:numPr>
          <w:ilvl w:val="0"/>
          <w:numId w:val="2"/>
        </w:numPr>
        <w:spacing w:before="40" w:after="40"/>
      </w:pPr>
      <w:r>
        <w:rPr>
          <w:rFonts w:ascii="Arial" w:cs="Arial" w:eastAsia="Arial" w:hAnsi="Arial"/>
          <w:sz w:val="22"/>
          <w:szCs w:val="22"/>
        </w:rPr>
        <w:t xml:space="preserve">Know which regulatory frameworks are relevant: MiCA (EU), MAS (SG), FCA (UK), OCC/Fed (US).</w:t>
      </w:r>
    </w:p>
    <w:p>
      <w:pPr>
        <w:spacing w:before="200" w:after="40"/>
      </w:pPr>
      <w:r>
        <w:rPr>
          <w:rFonts w:ascii="Arial" w:cs="Arial" w:eastAsia="Arial" w:hAnsi="Arial"/>
          <w:b/>
          <w:bCs/>
          <w:color w:val="1A56DB"/>
          <w:sz w:val="18"/>
          <w:szCs w:val="18"/>
        </w:rPr>
        <w:t xml:space="preserve">CONTENT FORMATS FOR STAGE 2</w:t>
      </w:r>
    </w:p>
    <w:p>
      <w:pPr>
        <w:spacing w:before="60" w:after="60"/>
      </w:pPr>
      <w:r>
        <w:rPr>
          <w:rFonts w:ascii="Arial" w:cs="Arial" w:eastAsia="Arial" w:hAnsi="Arial"/>
          <w:sz w:val="22"/>
          <w:szCs w:val="22"/>
        </w:rPr>
        <w:t xml:space="preserve">Long-form explainers (1,000–2,500 words), illustrated ecosystem maps, comparison tables, short interview clips, newsletter deep-dives, and curated podcast episodes.</w:t>
      </w:r>
    </w:p>
    <w:p>
      <w:pPr>
        <w:spacing w:before="200" w:after="40"/>
      </w:pPr>
      <w:r>
        <w:rPr>
          <w:rFonts w:ascii="Arial" w:cs="Arial" w:eastAsia="Arial" w:hAnsi="Arial"/>
          <w:b/>
          <w:bCs/>
          <w:color w:val="0E9F6E"/>
          <w:sz w:val="18"/>
          <w:szCs w:val="18"/>
        </w:rPr>
        <w:t xml:space="preserve">TOPIC CLUSTERS</w:t>
      </w:r>
    </w:p>
    <w:p>
      <w:pPr>
        <w:pStyle w:val="ListParagraph"/>
        <w:numPr>
          <w:ilvl w:val="0"/>
          <w:numId w:val="2"/>
        </w:numPr>
        <w:spacing w:before="40" w:after="40"/>
      </w:pPr>
      <w:r>
        <w:rPr>
          <w:rFonts w:ascii="Arial" w:cs="Arial" w:eastAsia="Arial" w:hAnsi="Arial"/>
          <w:sz w:val="22"/>
          <w:szCs w:val="22"/>
        </w:rPr>
        <w:t xml:space="preserve">How minting &amp; burning works — lifecycle of a stablecoin</w:t>
      </w:r>
    </w:p>
    <w:p>
      <w:pPr>
        <w:pStyle w:val="ListParagraph"/>
        <w:numPr>
          <w:ilvl w:val="0"/>
          <w:numId w:val="2"/>
        </w:numPr>
        <w:spacing w:before="40" w:after="40"/>
      </w:pPr>
      <w:r>
        <w:rPr>
          <w:rFonts w:ascii="Arial" w:cs="Arial" w:eastAsia="Arial" w:hAnsi="Arial"/>
          <w:sz w:val="22"/>
          <w:szCs w:val="22"/>
        </w:rPr>
        <w:t xml:space="preserve">Reserves &amp; attestations — what to look for, what to ask</w:t>
      </w:r>
    </w:p>
    <w:p>
      <w:pPr>
        <w:pStyle w:val="ListParagraph"/>
        <w:numPr>
          <w:ilvl w:val="0"/>
          <w:numId w:val="2"/>
        </w:numPr>
        <w:spacing w:before="40" w:after="40"/>
      </w:pPr>
      <w:r>
        <w:rPr>
          <w:rFonts w:ascii="Arial" w:cs="Arial" w:eastAsia="Arial" w:hAnsi="Arial"/>
          <w:sz w:val="22"/>
          <w:szCs w:val="22"/>
        </w:rPr>
        <w:t xml:space="preserve">Chain selection — Ethereum, Solana, Stellar, TRON, Base: trade-offs</w:t>
      </w:r>
    </w:p>
    <w:p>
      <w:pPr>
        <w:pStyle w:val="ListParagraph"/>
        <w:numPr>
          <w:ilvl w:val="0"/>
          <w:numId w:val="2"/>
        </w:numPr>
        <w:spacing w:before="40" w:after="40"/>
      </w:pPr>
      <w:r>
        <w:rPr>
          <w:rFonts w:ascii="Arial" w:cs="Arial" w:eastAsia="Arial" w:hAnsi="Arial"/>
          <w:sz w:val="22"/>
          <w:szCs w:val="22"/>
        </w:rPr>
        <w:t xml:space="preserve">Stablecoin issuer profiles — Circle, Tether, PayPal, StraitsX</w:t>
      </w:r>
    </w:p>
    <w:p>
      <w:pPr>
        <w:pStyle w:val="ListParagraph"/>
        <w:numPr>
          <w:ilvl w:val="0"/>
          <w:numId w:val="2"/>
        </w:numPr>
        <w:spacing w:before="40" w:after="40"/>
      </w:pPr>
      <w:r>
        <w:rPr>
          <w:rFonts w:ascii="Arial" w:cs="Arial" w:eastAsia="Arial" w:hAnsi="Arial"/>
          <w:sz w:val="22"/>
          <w:szCs w:val="22"/>
        </w:rPr>
        <w:t xml:space="preserve">Regulatory frameworks at a glance — MiCA, MAS, FCA, FinCEN</w:t>
      </w:r>
    </w:p>
    <w:p>
      <w:pPr>
        <w:pStyle w:val="ListParagraph"/>
        <w:numPr>
          <w:ilvl w:val="0"/>
          <w:numId w:val="2"/>
        </w:numPr>
        <w:spacing w:before="40" w:after="40"/>
      </w:pPr>
      <w:r>
        <w:rPr>
          <w:rFonts w:ascii="Arial" w:cs="Arial" w:eastAsia="Arial" w:hAnsi="Arial"/>
          <w:sz w:val="22"/>
          <w:szCs w:val="22"/>
        </w:rPr>
        <w:t xml:space="preserve">Use case deep-dives — remittances, B2B payables, DeFi, treasury management</w:t>
      </w:r>
    </w:p>
    <w:p>
      <w:pPr>
        <w:spacing w:before="200" w:after="40"/>
      </w:pPr>
      <w:r>
        <w:rPr>
          <w:rFonts w:ascii="Arial" w:cs="Arial" w:eastAsia="Arial" w:hAnsi="Arial"/>
          <w:b/>
          <w:bCs/>
          <w:color w:val="0E9F6E"/>
          <w:sz w:val="18"/>
          <w:szCs w:val="18"/>
        </w:rPr>
        <w:t xml:space="preserve">CURATED RESOURCES — STAGE 2</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1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Resource Title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The State of Stablecoins (annual report)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Report (PDF)</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Visa / multiple researchers</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Search 'Visa stablecoin report 2024'</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Circle's USDC Reserve Reports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Attestation docs</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Circle (circle.com)</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circle.com/transparency</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How MiCA Regulates Stablecoins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Article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Ledger Insights</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ledgerinsights.com — search MiCA stablecoin</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MAS Stablecoin Framework Overview</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Regulation summary</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MAS (mas.gov.sg)</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mas.gov.sg/regulation/stablecoins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Mint, Burn, Redeem — A Visual Guide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Article + diagram</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Finematics (YouTube)</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youtube.com/c/Finematics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Stablecoin Landscape Map</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Interactive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The Block Research</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theblock.co/data/stablecoins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PayPal PYUSD: What It Is and How It Works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Article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CoinDesk</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coindesk.com — search PYUSD explainer</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EURC and MiCA: Circle's European Stablecoin</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Article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Circle Blog</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circle.com/blog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Tether's Reserves: A Breakdown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Analysis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Protos / The Block</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protos.com — search 'Tether reserves'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Bankless Podcast — Stablecoin Deep Dive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Podcast ep.</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Bankless</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bankless.com/episodes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StraitsX / XSGD Explainer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Article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StraitsX Blog</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straitsx.com/blog</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Why Stellar for Payments?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Article</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Stellar.org</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stellar.org/learn/intro-to-stellar</w:t>
            </w:r>
          </w:p>
        </w:tc>
      </w:tr>
    </w:tbl>
    <w:p>
      <w:pPr>
        <w:spacing w:before="80"/>
      </w:pPr>
    </w:p>
    <w:p>
      <w:pPr>
        <w:spacing w:before="160"/>
      </w:pPr>
    </w:p>
    <w:p>
      <w:pPr>
        <w:pBdr>
          <w:left w:val="single" w:color="C27803" w:sz="16" w:space="4"/>
        </w:pBdr>
        <w:shd w:fill="FEF3C7" w:val="clear"/>
        <w:spacing w:before="60" w:after="60"/>
        <w:ind w:left="160"/>
      </w:pPr>
      <w:r>
        <w:rPr>
          <w:rFonts w:ascii="Arial" w:cs="Arial" w:eastAsia="Arial" w:hAnsi="Arial"/>
          <w:b/>
          <w:bCs/>
          <w:color w:val="C27803"/>
          <w:sz w:val="24"/>
          <w:szCs w:val="24"/>
        </w:rPr>
        <w:t xml:space="preserve">STAGE 3  |  Hands-on Practice  —  'Let me try it myself'</w:t>
      </w:r>
    </w:p>
    <w:p>
      <w:pPr>
        <w:spacing w:before="200" w:after="40"/>
      </w:pPr>
      <w:r>
        <w:rPr>
          <w:rFonts w:ascii="Arial" w:cs="Arial" w:eastAsia="Arial" w:hAnsi="Arial"/>
          <w:b/>
          <w:bCs/>
          <w:color w:val="C27803"/>
          <w:sz w:val="18"/>
          <w:szCs w:val="18"/>
        </w:rPr>
        <w:t xml:space="preserve">LEARNING OUTCOMES</w:t>
      </w:r>
    </w:p>
    <w:p>
      <w:pPr>
        <w:pStyle w:val="ListParagraph"/>
        <w:numPr>
          <w:ilvl w:val="0"/>
          <w:numId w:val="2"/>
        </w:numPr>
        <w:spacing w:before="40" w:after="40"/>
      </w:pPr>
      <w:r>
        <w:rPr>
          <w:rFonts w:ascii="Arial" w:cs="Arial" w:eastAsia="Arial" w:hAnsi="Arial"/>
          <w:sz w:val="22"/>
          <w:szCs w:val="22"/>
        </w:rPr>
        <w:t xml:space="preserve">Complete at least one corridor-based playbook (e.g. SG → UK remittance).</w:t>
      </w:r>
    </w:p>
    <w:p>
      <w:pPr>
        <w:pStyle w:val="ListParagraph"/>
        <w:numPr>
          <w:ilvl w:val="0"/>
          <w:numId w:val="2"/>
        </w:numPr>
        <w:spacing w:before="40" w:after="40"/>
      </w:pPr>
      <w:r>
        <w:rPr>
          <w:rFonts w:ascii="Arial" w:cs="Arial" w:eastAsia="Arial" w:hAnsi="Arial"/>
          <w:sz w:val="22"/>
          <w:szCs w:val="22"/>
        </w:rPr>
        <w:t xml:space="preserve">Self-assess knowledge via quiz modules.</w:t>
      </w:r>
    </w:p>
    <w:p>
      <w:pPr>
        <w:pStyle w:val="ListParagraph"/>
        <w:numPr>
          <w:ilvl w:val="0"/>
          <w:numId w:val="2"/>
        </w:numPr>
        <w:spacing w:before="40" w:after="40"/>
      </w:pPr>
      <w:r>
        <w:rPr>
          <w:rFonts w:ascii="Arial" w:cs="Arial" w:eastAsia="Arial" w:hAnsi="Arial"/>
          <w:sz w:val="22"/>
          <w:szCs w:val="22"/>
        </w:rPr>
        <w:t xml:space="preserve">Navigate a simulated on-ramp → send → off-ramp flow safely.</w:t>
      </w:r>
    </w:p>
    <w:p>
      <w:pPr>
        <w:pStyle w:val="ListParagraph"/>
        <w:numPr>
          <w:ilvl w:val="0"/>
          <w:numId w:val="2"/>
        </w:numPr>
        <w:spacing w:before="40" w:after="40"/>
      </w:pPr>
      <w:r>
        <w:rPr>
          <w:rFonts w:ascii="Arial" w:cs="Arial" w:eastAsia="Arial" w:hAnsi="Arial"/>
          <w:sz w:val="22"/>
          <w:szCs w:val="22"/>
        </w:rPr>
        <w:t xml:space="preserve">Understand safety warnings: irreversible transfers, chain/network mismatch.</w:t>
      </w:r>
    </w:p>
    <w:p>
      <w:pPr>
        <w:spacing w:before="200" w:after="40"/>
      </w:pPr>
      <w:r>
        <w:rPr>
          <w:rFonts w:ascii="Arial" w:cs="Arial" w:eastAsia="Arial" w:hAnsi="Arial"/>
          <w:b/>
          <w:bCs/>
          <w:color w:val="1A56DB"/>
          <w:sz w:val="18"/>
          <w:szCs w:val="18"/>
        </w:rPr>
        <w:t xml:space="preserve">CONTENT FORMATS FOR STAGE 3</w:t>
      </w:r>
    </w:p>
    <w:p>
      <w:pPr>
        <w:spacing w:before="60" w:after="60"/>
      </w:pPr>
      <w:r>
        <w:rPr>
          <w:rFonts w:ascii="Arial" w:cs="Arial" w:eastAsia="Arial" w:hAnsi="Arial"/>
          <w:sz w:val="22"/>
          <w:szCs w:val="22"/>
        </w:rPr>
        <w:t xml:space="preserve">Interactive playbooks (wizard UI), knowledge check quizzes (5–10 questions per topic), scenario cards ('what would you do if…'), and annotated walkthroughs with embedded safety checks. No real funds involved.</w:t>
      </w:r>
    </w:p>
    <w:p>
      <w:pPr>
        <w:spacing w:before="200" w:after="40"/>
      </w:pPr>
      <w:r>
        <w:rPr>
          <w:rFonts w:ascii="Arial" w:cs="Arial" w:eastAsia="Arial" w:hAnsi="Arial"/>
          <w:b/>
          <w:bCs/>
          <w:color w:val="C27803"/>
          <w:sz w:val="18"/>
          <w:szCs w:val="18"/>
        </w:rPr>
        <w:t xml:space="preserve">INTERACTIVE MODULES (MVP)</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5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Stablecoins 101 Quiz</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10-question quiz</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Basic definitions, types, risks — score + instant feedback</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Pick the right stablecoin</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Scenario card</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Given a corridor + intent, which stablecoin would you use?</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Spot the red flag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Interactive</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Show a chain/network mismatch — can the user spot the error?</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Corridor Playbook: SG → UK</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Step wizard</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On-ramp → send → off-ramp, simulated, with safety checklist</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Corridor Playbook: US → UK</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Step wizard</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Same structure, different on/off-ramp options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Corridor Playbook: UK → EU</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Step wizard</w:t>
            </w:r>
          </w:p>
        </w:tc>
        <w:tc>
          <w:tcPr>
            <w:tcW w:type="dxa" w:w="5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MiCA-context, EUR-pegged stablecoin options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Reserves &amp; Attestation Checker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Guided exercise</w:t>
            </w:r>
          </w:p>
        </w:tc>
        <w:tc>
          <w:tcPr>
            <w:tcW w:type="dxa" w:w="5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Walk through a real Circle or Tether attestation report</w:t>
            </w:r>
          </w:p>
        </w:tc>
      </w:tr>
    </w:tbl>
    <w:p>
      <w:pPr>
        <w:spacing w:before="80"/>
      </w:pPr>
    </w:p>
    <w:p>
      <w:pPr>
        <w:spacing w:before="200" w:after="40"/>
      </w:pPr>
      <w:r>
        <w:rPr>
          <w:rFonts w:ascii="Arial" w:cs="Arial" w:eastAsia="Arial" w:hAnsi="Arial"/>
          <w:b/>
          <w:bCs/>
          <w:color w:val="C27803"/>
          <w:sz w:val="18"/>
          <w:szCs w:val="18"/>
        </w:rPr>
        <w:t xml:space="preserve">CURATED EXTERNAL PRACTICE RESOURCES — STAGE 3</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2000"/>
        <w:gridCol w:w="31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MetaMask Learn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Interactive</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MetaMask</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learn.metamask.io — wallet and network basics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Rabbit Hole (now Layer3)</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Learn-to-earn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Layer3.xyz</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Hands-on onchain tasks with stablecoins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Coinbase Learn &amp; Earn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Quiz + earn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Coinbase</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coinbase.com/earn</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Stellar Quest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Coding / task-based</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Stellar.org</w:t>
            </w:r>
          </w:p>
        </w:tc>
        <w:tc>
          <w:tcPr>
            <w:tcW w:type="dxa" w:w="3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quest.stellar.org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Circle Developer Sandbox</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API sandbox</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Circle</w:t>
            </w:r>
          </w:p>
        </w:tc>
        <w:tc>
          <w:tcPr>
            <w:tcW w:type="dxa" w:w="3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developers.circle.com — test USDC flows</w:t>
            </w:r>
          </w:p>
        </w:tc>
      </w:tr>
    </w:tbl>
    <w:p>
      <w:pPr>
        <w:spacing w:before="80"/>
      </w:pPr>
    </w:p>
    <w:p>
      <w:pPr>
        <w:spacing w:before="160"/>
      </w:pPr>
    </w:p>
    <w:p>
      <w:pPr>
        <w:pBdr>
          <w:left w:val="single" w:color="7C3AED" w:sz="16" w:space="4"/>
        </w:pBdr>
        <w:shd w:fill="F3E8FF" w:val="clear"/>
        <w:spacing w:before="60" w:after="60"/>
        <w:ind w:left="160"/>
      </w:pPr>
      <w:r>
        <w:rPr>
          <w:rFonts w:ascii="Arial" w:cs="Arial" w:eastAsia="Arial" w:hAnsi="Arial"/>
          <w:b/>
          <w:bCs/>
          <w:color w:val="7C3AED"/>
          <w:sz w:val="24"/>
          <w:szCs w:val="24"/>
        </w:rPr>
        <w:t xml:space="preserve">STAGE 4  |  Advanced Mastery  —  'I want to go deep'</w:t>
      </w:r>
    </w:p>
    <w:p>
      <w:pPr>
        <w:spacing w:before="200" w:after="40"/>
      </w:pPr>
      <w:r>
        <w:rPr>
          <w:rFonts w:ascii="Arial" w:cs="Arial" w:eastAsia="Arial" w:hAnsi="Arial"/>
          <w:b/>
          <w:bCs/>
          <w:color w:val="7C3AED"/>
          <w:sz w:val="18"/>
          <w:szCs w:val="18"/>
        </w:rPr>
        <w:t xml:space="preserve">LEARNING OUTCOMES</w:t>
      </w:r>
    </w:p>
    <w:p>
      <w:pPr>
        <w:pStyle w:val="ListParagraph"/>
        <w:numPr>
          <w:ilvl w:val="0"/>
          <w:numId w:val="2"/>
        </w:numPr>
        <w:spacing w:before="40" w:after="40"/>
      </w:pPr>
      <w:r>
        <w:rPr>
          <w:rFonts w:ascii="Arial" w:cs="Arial" w:eastAsia="Arial" w:hAnsi="Arial"/>
          <w:sz w:val="22"/>
          <w:szCs w:val="22"/>
        </w:rPr>
        <w:t xml:space="preserve">Analyse stablecoin issuer risk (depeg scenarios, reserve composition, counterparty exposure).</w:t>
      </w:r>
    </w:p>
    <w:p>
      <w:pPr>
        <w:pStyle w:val="ListParagraph"/>
        <w:numPr>
          <w:ilvl w:val="0"/>
          <w:numId w:val="2"/>
        </w:numPr>
        <w:spacing w:before="40" w:after="40"/>
      </w:pPr>
      <w:r>
        <w:rPr>
          <w:rFonts w:ascii="Arial" w:cs="Arial" w:eastAsia="Arial" w:hAnsi="Arial"/>
          <w:sz w:val="22"/>
          <w:szCs w:val="22"/>
        </w:rPr>
        <w:t xml:space="preserve">Understand cross-chain bridges and their security trade-offs.</w:t>
      </w:r>
    </w:p>
    <w:p>
      <w:pPr>
        <w:pStyle w:val="ListParagraph"/>
        <w:numPr>
          <w:ilvl w:val="0"/>
          <w:numId w:val="2"/>
        </w:numPr>
        <w:spacing w:before="40" w:after="40"/>
      </w:pPr>
      <w:r>
        <w:rPr>
          <w:rFonts w:ascii="Arial" w:cs="Arial" w:eastAsia="Arial" w:hAnsi="Arial"/>
          <w:sz w:val="22"/>
          <w:szCs w:val="22"/>
        </w:rPr>
        <w:t xml:space="preserve">Navigate full MiCA and MAS regulatory text with confidence.</w:t>
      </w:r>
    </w:p>
    <w:p>
      <w:pPr>
        <w:pStyle w:val="ListParagraph"/>
        <w:numPr>
          <w:ilvl w:val="0"/>
          <w:numId w:val="2"/>
        </w:numPr>
        <w:spacing w:before="40" w:after="40"/>
      </w:pPr>
      <w:r>
        <w:rPr>
          <w:rFonts w:ascii="Arial" w:cs="Arial" w:eastAsia="Arial" w:hAnsi="Arial"/>
          <w:sz w:val="22"/>
          <w:szCs w:val="22"/>
        </w:rPr>
        <w:t xml:space="preserve">Evaluate tokenised deposits vs. stablecoins vs. CBDCs.</w:t>
      </w:r>
    </w:p>
    <w:p>
      <w:pPr>
        <w:pStyle w:val="ListParagraph"/>
        <w:numPr>
          <w:ilvl w:val="0"/>
          <w:numId w:val="2"/>
        </w:numPr>
        <w:spacing w:before="40" w:after="40"/>
      </w:pPr>
      <w:r>
        <w:rPr>
          <w:rFonts w:ascii="Arial" w:cs="Arial" w:eastAsia="Arial" w:hAnsi="Arial"/>
          <w:sz w:val="22"/>
          <w:szCs w:val="22"/>
        </w:rPr>
        <w:t xml:space="preserve">Understand institutional stablecoin use: treasury management, FX hedging, payroll.</w:t>
      </w:r>
    </w:p>
    <w:p>
      <w:pPr>
        <w:spacing w:before="200" w:after="40"/>
      </w:pPr>
      <w:r>
        <w:rPr>
          <w:rFonts w:ascii="Arial" w:cs="Arial" w:eastAsia="Arial" w:hAnsi="Arial"/>
          <w:b/>
          <w:bCs/>
          <w:color w:val="1A56DB"/>
          <w:sz w:val="18"/>
          <w:szCs w:val="18"/>
        </w:rPr>
        <w:t xml:space="preserve">CONTENT FORMATS FOR STAGE 4</w:t>
      </w:r>
    </w:p>
    <w:p>
      <w:pPr>
        <w:spacing w:before="60" w:after="60"/>
      </w:pPr>
      <w:r>
        <w:rPr>
          <w:rFonts w:ascii="Arial" w:cs="Arial" w:eastAsia="Arial" w:hAnsi="Arial"/>
          <w:sz w:val="22"/>
          <w:szCs w:val="22"/>
        </w:rPr>
        <w:t xml:space="preserve">Research papers, regulatory primary sources, long-form analysis (3,000–10,000 words), conference talks, academic working papers, and expert interview series.</w:t>
      </w:r>
    </w:p>
    <w:p>
      <w:pPr>
        <w:spacing w:before="200" w:after="40"/>
      </w:pPr>
      <w:r>
        <w:rPr>
          <w:rFonts w:ascii="Arial" w:cs="Arial" w:eastAsia="Arial" w:hAnsi="Arial"/>
          <w:b/>
          <w:bCs/>
          <w:color w:val="7C3AED"/>
          <w:sz w:val="18"/>
          <w:szCs w:val="18"/>
        </w:rPr>
        <w:t xml:space="preserve">CURATED RESOURCES — STAGE 4</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000"/>
        <w:gridCol w:w="29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Resource Title</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Regulation (EU) 2023/1114 — MiCA Full Text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Primary regulation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EU Official Journal</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eur-lex.europa.eu — MiCA full text</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MAS Stablecoin Regulatory Approach</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Consultation paper + PS-N02</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MAS (mas.gov.sg)</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Search MAS 'stablecoin regulatory approach'</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OCC Interpretive Letter #1174 (crypto activities)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Regulatory letter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OCC (occ.gov)</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occ.gov/topics/charters/fintech</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Tether and the Search for Hard Dollars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Investigative report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Protos.com</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Long-form reserve risk analysis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Circle's Reserve Composition: Deep Dive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Analysis</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Circle Transparency page</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circle.com/transparency</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Stablecoin Depeg Events: A Post-Mortem Collection</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Research</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Multiple / Dune Analytics</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Search 'UST depeg post-mortem'</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Tokenised Deposits vs Stablecoins vs CBDCs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BIS Working Paper</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BIS (bis.org)</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bis.org/publ/work1087.pdf (or similar)</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Cross-chain Bridge Security: A Technical Analysis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Research paper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Trail of Bits / Rekt.news</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rekt.news — bridge hacks analysis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Institutional Stablecoin Use Cases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Report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Fireblocks / Chainalysis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Search 'institutional stablecoin report 2024'</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The Stablecoin Trilemma</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Academic paper</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Various / Coingecko Research</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Search 'stablecoin trilemma paper'</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Bankless: Stablecoin Regulation Deep Dive (ep.)</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Podcast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Bankless</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bankless.com/episodes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Unchained Podcast: MiCA and Stablecoins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Podcast</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Laura Shin / Unchained</w:t>
            </w:r>
          </w:p>
        </w:tc>
        <w:tc>
          <w:tcPr>
            <w:tcW w:type="dxa" w:w="2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unchainedcrypto.com</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a16z State of Crypto Report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Annual report</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a16z Crypto</w:t>
            </w:r>
          </w:p>
        </w:tc>
        <w:tc>
          <w:tcPr>
            <w:tcW w:type="dxa" w:w="2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a16zcrypto.com/state-of-crypto</w:t>
            </w:r>
          </w:p>
        </w:tc>
      </w:tr>
    </w:tbl>
    <w:p>
      <w:pPr>
        <w:spacing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9360"/>
            <w:gridSpan w:val="2"/>
            <w:tcBorders>
              <w:top w:val="none" w:color="FFFFFF" w:sz="0"/>
              <w:left w:val="single" w:color="1A56DB" w:sz="12"/>
              <w:bottom w:val="none" w:color="FFFFFF" w:sz="0"/>
              <w:right w:val="none" w:color="FFFFFF" w:sz="0"/>
            </w:tcBorders>
            <w:shd w:fill="EFF6FF" w:val="clear"/>
            <w:tcMar>
              <w:top w:type="dxa" w:w="60"/>
              <w:left w:type="dxa" w:w="120"/>
              <w:bottom w:type="dxa" w:w="60"/>
              <w:right w:type="dxa" w:w="60"/>
            </w:tcMar>
          </w:tcPr>
          <w:p>
            <w:pPr>
              <w:spacing w:before="0" w:after="0"/>
            </w:pPr>
            <w:r>
              <w:rPr>
                <w:rFonts w:ascii="Arial" w:cs="Arial" w:eastAsia="Arial" w:hAnsi="Arial"/>
                <w:i/>
                <w:iCs/>
                <w:color w:val="1F2937"/>
                <w:sz w:val="20"/>
                <w:szCs w:val="20"/>
              </w:rPr>
              <w:t xml:space="preserve">Stage 4 resources should be reviewed by at least one domain expert before publication. Flag any resources that are outdated, superseded, or behind paywalls.</w:t>
            </w:r>
          </w:p>
        </w:tc>
      </w:tr>
    </w:tbl>
    <w:p>
      <w:pPr>
        <w:spacing w:before="80"/>
      </w:pPr>
    </w:p>
    <w:p>
      <w:pPr>
        <w:pStyle w:val="Heading2"/>
        <w:spacing w:before="280" w:after="100"/>
      </w:pPr>
      <w:r>
        <w:rPr>
          <w:rFonts w:ascii="Arial" w:cs="Arial" w:eastAsia="Arial" w:hAnsi="Arial"/>
          <w:b/>
          <w:bCs/>
          <w:color w:val="1F2937"/>
          <w:sz w:val="28"/>
          <w:szCs w:val="28"/>
        </w:rPr>
        <w:t xml:space="preserve">1.4  UX &amp; Functional Requirements</w:t>
      </w:r>
    </w:p>
    <w:p>
      <w:pPr>
        <w:pStyle w:val="Heading3"/>
        <w:spacing w:before="200" w:after="80"/>
      </w:pPr>
      <w:r>
        <w:rPr>
          <w:rFonts w:ascii="Arial" w:cs="Arial" w:eastAsia="Arial" w:hAnsi="Arial"/>
          <w:b/>
          <w:bCs/>
          <w:color w:val="374151"/>
          <w:sz w:val="24"/>
          <w:szCs w:val="24"/>
        </w:rPr>
        <w:t xml:space="preserve">Stage navigation</w:t>
      </w:r>
    </w:p>
    <w:p>
      <w:pPr>
        <w:pStyle w:val="ListParagraph"/>
        <w:numPr>
          <w:ilvl w:val="0"/>
          <w:numId w:val="2"/>
        </w:numPr>
        <w:spacing w:before="40" w:after="40"/>
      </w:pPr>
      <w:r>
        <w:rPr>
          <w:rFonts w:ascii="Arial" w:cs="Arial" w:eastAsia="Arial" w:hAnsi="Arial"/>
          <w:sz w:val="22"/>
          <w:szCs w:val="22"/>
        </w:rPr>
        <w:t xml:space="preserve">A sticky 'stage pill' bar is always visible when scrolling the /learn page.</w:t>
      </w:r>
    </w:p>
    <w:p>
      <w:pPr>
        <w:pStyle w:val="ListParagraph"/>
        <w:numPr>
          <w:ilvl w:val="0"/>
          <w:numId w:val="2"/>
        </w:numPr>
        <w:spacing w:before="40" w:after="40"/>
      </w:pPr>
      <w:r>
        <w:rPr>
          <w:rFonts w:ascii="Arial" w:cs="Arial" w:eastAsia="Arial" w:hAnsi="Arial"/>
          <w:sz w:val="22"/>
          <w:szCs w:val="22"/>
        </w:rPr>
        <w:t xml:space="preserve">Each pill shows: stage number, name, and a progress indicator if the user has interacted.</w:t>
      </w:r>
    </w:p>
    <w:p>
      <w:pPr>
        <w:pStyle w:val="ListParagraph"/>
        <w:numPr>
          <w:ilvl w:val="0"/>
          <w:numId w:val="2"/>
        </w:numPr>
        <w:spacing w:before="40" w:after="40"/>
      </w:pPr>
      <w:r>
        <w:rPr>
          <w:rFonts w:ascii="Arial" w:cs="Arial" w:eastAsia="Arial" w:hAnsi="Arial"/>
          <w:sz w:val="22"/>
          <w:szCs w:val="22"/>
        </w:rPr>
        <w:t xml:space="preserve">Clicking a pill smooth-scrolls to that stage section.</w:t>
      </w:r>
    </w:p>
    <w:p>
      <w:pPr>
        <w:pStyle w:val="ListParagraph"/>
        <w:numPr>
          <w:ilvl w:val="0"/>
          <w:numId w:val="2"/>
        </w:numPr>
        <w:spacing w:before="40" w:after="40"/>
      </w:pPr>
      <w:r>
        <w:rPr>
          <w:rFonts w:ascii="Arial" w:cs="Arial" w:eastAsia="Arial" w:hAnsi="Arial"/>
          <w:sz w:val="22"/>
          <w:szCs w:val="22"/>
        </w:rPr>
        <w:t xml:space="preserve">On mobile: pills collapse into a horizontal scrollable tab bar at the top.</w:t>
      </w:r>
    </w:p>
    <w:p>
      <w:pPr>
        <w:pStyle w:val="Heading3"/>
        <w:spacing w:before="200" w:after="80"/>
      </w:pPr>
      <w:r>
        <w:rPr>
          <w:rFonts w:ascii="Arial" w:cs="Arial" w:eastAsia="Arial" w:hAnsi="Arial"/>
          <w:b/>
          <w:bCs/>
          <w:color w:val="374151"/>
          <w:sz w:val="24"/>
          <w:szCs w:val="24"/>
        </w:rPr>
        <w:t xml:space="preserve">Resource cards</w:t>
      </w:r>
    </w:p>
    <w:p>
      <w:pPr>
        <w:pStyle w:val="ListParagraph"/>
        <w:numPr>
          <w:ilvl w:val="0"/>
          <w:numId w:val="2"/>
        </w:numPr>
        <w:spacing w:before="40" w:after="40"/>
      </w:pPr>
      <w:r>
        <w:rPr>
          <w:rFonts w:ascii="Arial" w:cs="Arial" w:eastAsia="Arial" w:hAnsi="Arial"/>
          <w:sz w:val="22"/>
          <w:szCs w:val="22"/>
        </w:rPr>
        <w:t xml:space="preserve">Each curated resource is displayed as a card with: Title, Type badge (Article / Video / Podcast / Report / Interactive), Source name, Estimated read/watch time, External link button.</w:t>
      </w:r>
    </w:p>
    <w:p>
      <w:pPr>
        <w:pStyle w:val="ListParagraph"/>
        <w:numPr>
          <w:ilvl w:val="0"/>
          <w:numId w:val="2"/>
        </w:numPr>
        <w:spacing w:before="40" w:after="40"/>
      </w:pPr>
      <w:r>
        <w:rPr>
          <w:rFonts w:ascii="Arial" w:cs="Arial" w:eastAsia="Arial" w:hAnsi="Arial"/>
          <w:sz w:val="22"/>
          <w:szCs w:val="22"/>
        </w:rPr>
        <w:t xml:space="preserve">Cards support a 'Save for later' action (stored in localStorage for MVP; account-synced later).</w:t>
      </w:r>
    </w:p>
    <w:p>
      <w:pPr>
        <w:pStyle w:val="ListParagraph"/>
        <w:numPr>
          <w:ilvl w:val="0"/>
          <w:numId w:val="2"/>
        </w:numPr>
        <w:spacing w:before="40" w:after="40"/>
      </w:pPr>
      <w:r>
        <w:rPr>
          <w:rFonts w:ascii="Arial" w:cs="Arial" w:eastAsia="Arial" w:hAnsi="Arial"/>
          <w:sz w:val="22"/>
          <w:szCs w:val="22"/>
        </w:rPr>
        <w:t xml:space="preserve">Broken link detection: every external URL is pinged weekly. If a link returns 404, the card is flagged in the CMS for editor review and visually marked 'Check availability' on the public site.</w:t>
      </w:r>
    </w:p>
    <w:p>
      <w:pPr>
        <w:pStyle w:val="Heading3"/>
        <w:spacing w:before="200" w:after="80"/>
      </w:pPr>
      <w:r>
        <w:rPr>
          <w:rFonts w:ascii="Arial" w:cs="Arial" w:eastAsia="Arial" w:hAnsi="Arial"/>
          <w:b/>
          <w:bCs/>
          <w:color w:val="374151"/>
          <w:sz w:val="24"/>
          <w:szCs w:val="24"/>
        </w:rPr>
        <w:t xml:space="preserve">Stage completion signals</w:t>
      </w:r>
    </w:p>
    <w:p>
      <w:pPr>
        <w:pStyle w:val="ListParagraph"/>
        <w:numPr>
          <w:ilvl w:val="0"/>
          <w:numId w:val="2"/>
        </w:numPr>
        <w:spacing w:before="40" w:after="40"/>
      </w:pPr>
      <w:r>
        <w:rPr>
          <w:rFonts w:ascii="Arial" w:cs="Arial" w:eastAsia="Arial" w:hAnsi="Arial"/>
          <w:sz w:val="22"/>
          <w:szCs w:val="22"/>
        </w:rPr>
        <w:t xml:space="preserve">After a user clicks 3+ resources in a stage, a subtle 'Explore Stage 2' nudge appears — not a pop-up, just an inline CTA card at the bottom of the stage.</w:t>
      </w:r>
    </w:p>
    <w:p>
      <w:pPr>
        <w:pStyle w:val="ListParagraph"/>
        <w:numPr>
          <w:ilvl w:val="0"/>
          <w:numId w:val="2"/>
        </w:numPr>
        <w:spacing w:before="40" w:after="40"/>
      </w:pPr>
      <w:r>
        <w:rPr>
          <w:rFonts w:ascii="Arial" w:cs="Arial" w:eastAsia="Arial" w:hAnsi="Arial"/>
          <w:sz w:val="22"/>
          <w:szCs w:val="22"/>
        </w:rPr>
        <w:t xml:space="preserve">No forced progression or locked content.</w:t>
      </w:r>
    </w:p>
    <w:p>
      <w:pPr>
        <w:pStyle w:val="Heading3"/>
        <w:spacing w:before="200" w:after="80"/>
      </w:pPr>
      <w:r>
        <w:rPr>
          <w:rFonts w:ascii="Arial" w:cs="Arial" w:eastAsia="Arial" w:hAnsi="Arial"/>
          <w:b/>
          <w:bCs/>
          <w:color w:val="374151"/>
          <w:sz w:val="24"/>
          <w:szCs w:val="24"/>
        </w:rPr>
        <w:t xml:space="preserve">Search &amp; filter</w:t>
      </w:r>
    </w:p>
    <w:p>
      <w:pPr>
        <w:pStyle w:val="ListParagraph"/>
        <w:numPr>
          <w:ilvl w:val="0"/>
          <w:numId w:val="2"/>
        </w:numPr>
        <w:spacing w:before="40" w:after="40"/>
      </w:pPr>
      <w:r>
        <w:rPr>
          <w:rFonts w:ascii="Arial" w:cs="Arial" w:eastAsia="Arial" w:hAnsi="Arial"/>
          <w:sz w:val="22"/>
          <w:szCs w:val="22"/>
        </w:rPr>
        <w:t xml:space="preserve">Global search on /learn filters across resource titles, types, and tags.</w:t>
      </w:r>
    </w:p>
    <w:p>
      <w:pPr>
        <w:pStyle w:val="ListParagraph"/>
        <w:numPr>
          <w:ilvl w:val="0"/>
          <w:numId w:val="2"/>
        </w:numPr>
        <w:spacing w:before="40" w:after="40"/>
      </w:pPr>
      <w:r>
        <w:rPr>
          <w:rFonts w:ascii="Arial" w:cs="Arial" w:eastAsia="Arial" w:hAnsi="Arial"/>
          <w:sz w:val="22"/>
          <w:szCs w:val="22"/>
        </w:rPr>
        <w:t xml:space="preserve">Filter chips: Format (Video, Article, Podcast, Interactive, Report), Stage, Topic tag.</w:t>
      </w:r>
    </w:p>
    <w:p>
      <w:pPr>
        <w:spacing w:before="80"/>
      </w:pPr>
    </w:p>
    <w:p>
      <w:pPr>
        <w:pStyle w:val="Heading2"/>
        <w:spacing w:before="280" w:after="100"/>
      </w:pPr>
      <w:r>
        <w:rPr>
          <w:rFonts w:ascii="Arial" w:cs="Arial" w:eastAsia="Arial" w:hAnsi="Arial"/>
          <w:b/>
          <w:bCs/>
          <w:color w:val="1F2937"/>
          <w:sz w:val="28"/>
          <w:szCs w:val="28"/>
        </w:rPr>
        <w:t xml:space="preserve">1.5  Data Model — Learning Resources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Unique identifier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title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Display title of the resource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type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article | video | podcast | report | interactive | paper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stage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Integer (1–4)</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Which learning stage this belongs to</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source_name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Publisher or creator name (e.g. 'Coinbase Learn')</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url</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External URL or internal path</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duration_estimate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e.g. '6 min watch', '15 min read'</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topic_tags</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e.g. ['reserves', 'MiCA', 'USDC']</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description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Short summary shown on resource card (max 200 chars)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submitted_by</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Name of community submitter if applicable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verified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Boolean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Editor has reviewed — only verified=true items are shown publicly</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last_checked_at</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Timestamp</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Last time the URL was verified as live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created_at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Date added to the system</w:t>
            </w:r>
          </w:p>
        </w:tc>
      </w:tr>
    </w:tbl>
    <w:p>
      <w:pPr>
        <w:spacing w:before="80"/>
      </w:pPr>
    </w:p>
    <w:p>
      <w:pPr>
        <w:pStyle w:val="Heading2"/>
        <w:spacing w:before="280" w:after="100"/>
      </w:pPr>
      <w:r>
        <w:rPr>
          <w:rFonts w:ascii="Arial" w:cs="Arial" w:eastAsia="Arial" w:hAnsi="Arial"/>
          <w:b/>
          <w:bCs/>
          <w:color w:val="1F2937"/>
          <w:sz w:val="28"/>
          <w:szCs w:val="28"/>
        </w:rPr>
        <w:t xml:space="preserve">1.6  Community Submission — Learning Resource Form</w:t>
      </w:r>
    </w:p>
    <w:p>
      <w:pPr>
        <w:spacing w:before="60" w:after="60"/>
      </w:pPr>
      <w:r>
        <w:rPr>
          <w:rFonts w:ascii="Arial" w:cs="Arial" w:eastAsia="Arial" w:hAnsi="Arial"/>
          <w:sz w:val="22"/>
          <w:szCs w:val="22"/>
        </w:rPr>
        <w:t xml:space="preserve">Any visitor can submit a resource they believe belongs in the Learning Hub. A 'Submit a Resource' CTA card appears at the bottom of the /learn page and as an inline prompt after Stage 4.</w:t>
      </w:r>
    </w:p>
    <w:p>
      <w:pPr>
        <w:pStyle w:val="Heading3"/>
        <w:spacing w:before="200" w:after="80"/>
      </w:pPr>
      <w:r>
        <w:rPr>
          <w:rFonts w:ascii="Arial" w:cs="Arial" w:eastAsia="Arial" w:hAnsi="Arial"/>
          <w:b/>
          <w:bCs/>
          <w:color w:val="374151"/>
          <w:sz w:val="24"/>
          <w:szCs w:val="24"/>
        </w:rPr>
        <w:t xml:space="preserve">Form trigger &amp; placement</w:t>
      </w:r>
    </w:p>
    <w:p>
      <w:pPr>
        <w:pStyle w:val="ListParagraph"/>
        <w:numPr>
          <w:ilvl w:val="0"/>
          <w:numId w:val="2"/>
        </w:numPr>
        <w:spacing w:before="40" w:after="40"/>
      </w:pPr>
      <w:r>
        <w:rPr>
          <w:rFonts w:ascii="Arial" w:cs="Arial" w:eastAsia="Arial" w:hAnsi="Arial"/>
          <w:sz w:val="22"/>
          <w:szCs w:val="22"/>
        </w:rPr>
        <w:t xml:space="preserve">Primary: sticky CTA card at the bottom of /learn — 'Know a great stablecoin resource? Share it with the community.'</w:t>
      </w:r>
    </w:p>
    <w:p>
      <w:pPr>
        <w:pStyle w:val="ListParagraph"/>
        <w:numPr>
          <w:ilvl w:val="0"/>
          <w:numId w:val="2"/>
        </w:numPr>
        <w:spacing w:before="40" w:after="40"/>
      </w:pPr>
      <w:r>
        <w:rPr>
          <w:rFonts w:ascii="Arial" w:cs="Arial" w:eastAsia="Arial" w:hAnsi="Arial"/>
          <w:sz w:val="22"/>
          <w:szCs w:val="22"/>
        </w:rPr>
        <w:t xml:space="preserve">Secondary: inline prompt at the end of Stage 4 content block.</w:t>
      </w:r>
    </w:p>
    <w:p>
      <w:pPr>
        <w:pStyle w:val="ListParagraph"/>
        <w:numPr>
          <w:ilvl w:val="0"/>
          <w:numId w:val="2"/>
        </w:numPr>
        <w:spacing w:before="40" w:after="40"/>
      </w:pPr>
      <w:r>
        <w:rPr>
          <w:rFonts w:ascii="Arial" w:cs="Arial" w:eastAsia="Arial" w:hAnsi="Arial"/>
          <w:sz w:val="22"/>
          <w:szCs w:val="22"/>
        </w:rPr>
        <w:t xml:space="preserve">On click: opens a modal overlay with the submission form embedded via Google Form iframe OR links to a dedicated Google Form in a new tab.</w:t>
      </w:r>
    </w:p>
    <w:p>
      <w:pPr>
        <w:pStyle w:val="Heading3"/>
        <w:spacing w:before="200" w:after="80"/>
      </w:pPr>
      <w:r>
        <w:rPr>
          <w:rFonts w:ascii="Arial" w:cs="Arial" w:eastAsia="Arial" w:hAnsi="Arial"/>
          <w:b/>
          <w:bCs/>
          <w:color w:val="374151"/>
          <w:sz w:val="24"/>
          <w:szCs w:val="24"/>
        </w:rPr>
        <w:t xml:space="preserve">Google Form — field specification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200"/>
        <w:gridCol w:w="39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 / Notes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Resource Title *</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Short 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Max 150 characters</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Resource URL *</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Short text (URL)</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Must start with https://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Resource Type *</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Dropdown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Options: Article, Video, Podcast, Report / Research, Interactive / Course, Other</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Learning Stage *</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Multiple choice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Stage 1 (Beginners), Stage 2 (Guided Exploration), Stage 3 (Hands-on), Stage 4 (Advanced)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Topic Tags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Checkboxes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Options: Basics, Reserves &amp; Attestation, Regulations, Corridor / Use Case, Issuers, Chains &amp; Networks, DeFi, Institutional</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Why should this be included?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Long text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Max 500 characters. 'Why is this resource useful for the Stablecoin Atlas community?'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Your Name</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Short 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3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Optional — will credit if published</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Your Email</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Short text (email)</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No</w:t>
            </w:r>
          </w:p>
        </w:tc>
        <w:tc>
          <w:tcPr>
            <w:tcW w:type="dxa" w:w="3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Optional — only used to notify if resource is published</w:t>
            </w:r>
          </w:p>
        </w:tc>
      </w:tr>
    </w:tbl>
    <w:p>
      <w:pPr>
        <w:spacing w:before="80"/>
      </w:pPr>
    </w:p>
    <w:p>
      <w:pPr>
        <w:pStyle w:val="Heading3"/>
        <w:spacing w:before="200" w:after="80"/>
      </w:pPr>
      <w:r>
        <w:rPr>
          <w:rFonts w:ascii="Arial" w:cs="Arial" w:eastAsia="Arial" w:hAnsi="Arial"/>
          <w:b/>
          <w:bCs/>
          <w:color w:val="374151"/>
          <w:sz w:val="24"/>
          <w:szCs w:val="24"/>
        </w:rPr>
        <w:t xml:space="preserve">Google Form — setup instructions for the team</w:t>
      </w:r>
    </w:p>
    <w:p>
      <w:pPr>
        <w:pStyle w:val="ListParagraph"/>
        <w:numPr>
          <w:ilvl w:val="0"/>
          <w:numId w:val="3"/>
        </w:numPr>
        <w:spacing w:before="40" w:after="40"/>
      </w:pPr>
      <w:r>
        <w:rPr>
          <w:rFonts w:ascii="Arial" w:cs="Arial" w:eastAsia="Arial" w:hAnsi="Arial"/>
          <w:sz w:val="22"/>
          <w:szCs w:val="22"/>
        </w:rPr>
        <w:t xml:space="preserve">Go to forms.google.com → Blank form.</w:t>
      </w:r>
    </w:p>
    <w:p>
      <w:pPr>
        <w:pStyle w:val="ListParagraph"/>
        <w:numPr>
          <w:ilvl w:val="0"/>
          <w:numId w:val="3"/>
        </w:numPr>
        <w:spacing w:before="40" w:after="40"/>
      </w:pPr>
      <w:r>
        <w:rPr>
          <w:rFonts w:ascii="Arial" w:cs="Arial" w:eastAsia="Arial" w:hAnsi="Arial"/>
          <w:sz w:val="22"/>
          <w:szCs w:val="22"/>
        </w:rPr>
        <w:t xml:space="preserve">Title the form: 'Stablecoin Atlas — Submit a Learning Resource'.</w:t>
      </w:r>
    </w:p>
    <w:p>
      <w:pPr>
        <w:pStyle w:val="ListParagraph"/>
        <w:numPr>
          <w:ilvl w:val="0"/>
          <w:numId w:val="3"/>
        </w:numPr>
        <w:spacing w:before="40" w:after="40"/>
      </w:pPr>
      <w:r>
        <w:rPr>
          <w:rFonts w:ascii="Arial" w:cs="Arial" w:eastAsia="Arial" w:hAnsi="Arial"/>
          <w:sz w:val="22"/>
          <w:szCs w:val="22"/>
        </w:rPr>
        <w:t xml:space="preserve">Add a description: 'Help us curate the best stablecoin education on the web. Submissions are reviewed by our editorial team before publishing.'</w:t>
      </w:r>
    </w:p>
    <w:p>
      <w:pPr>
        <w:pStyle w:val="ListParagraph"/>
        <w:numPr>
          <w:ilvl w:val="0"/>
          <w:numId w:val="3"/>
        </w:numPr>
        <w:spacing w:before="40" w:after="40"/>
      </w:pPr>
      <w:r>
        <w:rPr>
          <w:rFonts w:ascii="Arial" w:cs="Arial" w:eastAsia="Arial" w:hAnsi="Arial"/>
          <w:sz w:val="22"/>
          <w:szCs w:val="22"/>
        </w:rPr>
        <w:t xml:space="preserve">Add all fields per the specification table above. Set required fields accordingly.</w:t>
      </w:r>
    </w:p>
    <w:p>
      <w:pPr>
        <w:pStyle w:val="ListParagraph"/>
        <w:numPr>
          <w:ilvl w:val="0"/>
          <w:numId w:val="3"/>
        </w:numPr>
        <w:spacing w:before="40" w:after="40"/>
      </w:pPr>
      <w:r>
        <w:rPr>
          <w:rFonts w:ascii="Arial" w:cs="Arial" w:eastAsia="Arial" w:hAnsi="Arial"/>
          <w:sz w:val="22"/>
          <w:szCs w:val="22"/>
        </w:rPr>
        <w:t xml:space="preserve">Under Responses → Link to Google Sheet → create a new sheet called 'Learning Submissions'.</w:t>
      </w:r>
    </w:p>
    <w:p>
      <w:pPr>
        <w:pStyle w:val="ListParagraph"/>
        <w:numPr>
          <w:ilvl w:val="0"/>
          <w:numId w:val="3"/>
        </w:numPr>
        <w:spacing w:before="40" w:after="40"/>
      </w:pPr>
      <w:r>
        <w:rPr>
          <w:rFonts w:ascii="Arial" w:cs="Arial" w:eastAsia="Arial" w:hAnsi="Arial"/>
          <w:sz w:val="22"/>
          <w:szCs w:val="22"/>
        </w:rPr>
        <w:t xml:space="preserve">Set up email notification: Responses → Get email notifications for new responses (notify content@stablecoinatlas.com or team alias).</w:t>
      </w:r>
    </w:p>
    <w:p>
      <w:pPr>
        <w:pStyle w:val="ListParagraph"/>
        <w:numPr>
          <w:ilvl w:val="0"/>
          <w:numId w:val="3"/>
        </w:numPr>
        <w:spacing w:before="40" w:after="40"/>
      </w:pPr>
      <w:r>
        <w:rPr>
          <w:rFonts w:ascii="Arial" w:cs="Arial" w:eastAsia="Arial" w:hAnsi="Arial"/>
          <w:sz w:val="22"/>
          <w:szCs w:val="22"/>
        </w:rPr>
        <w:t xml:space="preserve">Under Settings → Presentation → Confirmation message: 'Thank you! Our team will review your submission within 5 business days. We will credit you if published.'</w:t>
      </w:r>
    </w:p>
    <w:p>
      <w:pPr>
        <w:pStyle w:val="ListParagraph"/>
        <w:numPr>
          <w:ilvl w:val="0"/>
          <w:numId w:val="3"/>
        </w:numPr>
        <w:spacing w:before="40" w:after="40"/>
      </w:pPr>
      <w:r>
        <w:rPr>
          <w:rFonts w:ascii="Arial" w:cs="Arial" w:eastAsia="Arial" w:hAnsi="Arial"/>
          <w:sz w:val="22"/>
          <w:szCs w:val="22"/>
        </w:rPr>
        <w:t xml:space="preserve">Publish the form and copy the shareable URL. Add it to the site's CMS as the 'learning_submission_form_url' config variable.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9360"/>
            <w:gridSpan w:val="2"/>
            <w:tcBorders>
              <w:top w:val="none" w:color="FFFFFF" w:sz="0"/>
              <w:left w:val="single" w:color="1A56DB" w:sz="12"/>
              <w:bottom w:val="none" w:color="FFFFFF" w:sz="0"/>
              <w:right w:val="none" w:color="FFFFFF" w:sz="0"/>
            </w:tcBorders>
            <w:shd w:fill="EFF6FF" w:val="clear"/>
            <w:tcMar>
              <w:top w:type="dxa" w:w="60"/>
              <w:left w:type="dxa" w:w="120"/>
              <w:bottom w:type="dxa" w:w="60"/>
              <w:right w:type="dxa" w:w="60"/>
            </w:tcMar>
          </w:tcPr>
          <w:p>
            <w:pPr>
              <w:spacing w:before="0" w:after="0"/>
            </w:pPr>
            <w:r>
              <w:rPr>
                <w:rFonts w:ascii="Arial" w:cs="Arial" w:eastAsia="Arial" w:hAnsi="Arial"/>
                <w:i/>
                <w:iCs/>
                <w:color w:val="1F2937"/>
                <w:sz w:val="20"/>
                <w:szCs w:val="20"/>
              </w:rPr>
              <w:t xml:space="preserve">Google Form URL format to embed as iframe: https://docs.google.com/forms/d/e/[FORM_ID]/viewform?embedded=true — set iframe height to 800px, width 100%.</w:t>
            </w:r>
          </w:p>
        </w:tc>
      </w:tr>
    </w:tbl>
    <w:p>
      <w:pPr>
        <w:spacing w:before="80"/>
      </w:pPr>
    </w:p>
    <w:p>
      <w:pPr>
        <w:pStyle w:val="Heading3"/>
        <w:spacing w:before="200" w:after="80"/>
      </w:pPr>
      <w:r>
        <w:rPr>
          <w:rFonts w:ascii="Arial" w:cs="Arial" w:eastAsia="Arial" w:hAnsi="Arial"/>
          <w:b/>
          <w:bCs/>
          <w:color w:val="374151"/>
          <w:sz w:val="24"/>
          <w:szCs w:val="24"/>
        </w:rPr>
        <w:t xml:space="preserve">Editorial review workflow</w:t>
      </w:r>
    </w:p>
    <w:p>
      <w:pPr>
        <w:pStyle w:val="ListParagraph"/>
        <w:numPr>
          <w:ilvl w:val="0"/>
          <w:numId w:val="2"/>
        </w:numPr>
        <w:spacing w:before="40" w:after="40"/>
      </w:pPr>
      <w:r>
        <w:rPr>
          <w:rFonts w:ascii="Arial" w:cs="Arial" w:eastAsia="Arial" w:hAnsi="Arial"/>
          <w:sz w:val="22"/>
          <w:szCs w:val="22"/>
        </w:rPr>
        <w:t xml:space="preserve">New Google Sheet row is created for every submission.</w:t>
      </w:r>
    </w:p>
    <w:p>
      <w:pPr>
        <w:pStyle w:val="ListParagraph"/>
        <w:numPr>
          <w:ilvl w:val="0"/>
          <w:numId w:val="2"/>
        </w:numPr>
        <w:spacing w:before="40" w:after="40"/>
      </w:pPr>
      <w:r>
        <w:rPr>
          <w:rFonts w:ascii="Arial" w:cs="Arial" w:eastAsia="Arial" w:hAnsi="Arial"/>
          <w:sz w:val="22"/>
          <w:szCs w:val="22"/>
        </w:rPr>
        <w:t xml:space="preserve">Editor reviews: checks URL is live, content is accurate and relevant, not promotional.</w:t>
      </w:r>
    </w:p>
    <w:p>
      <w:pPr>
        <w:pStyle w:val="ListParagraph"/>
        <w:numPr>
          <w:ilvl w:val="0"/>
          <w:numId w:val="2"/>
        </w:numPr>
        <w:spacing w:before="40" w:after="40"/>
      </w:pPr>
      <w:r>
        <w:rPr>
          <w:rFonts w:ascii="Arial" w:cs="Arial" w:eastAsia="Arial" w:hAnsi="Arial"/>
          <w:sz w:val="22"/>
          <w:szCs w:val="22"/>
        </w:rPr>
        <w:t xml:space="preserve">Editor marks 'Status' column as: APPROVED / REJECTED / NEEDS_EDIT.</w:t>
      </w:r>
    </w:p>
    <w:p>
      <w:pPr>
        <w:pStyle w:val="ListParagraph"/>
        <w:numPr>
          <w:ilvl w:val="0"/>
          <w:numId w:val="2"/>
        </w:numPr>
        <w:spacing w:before="40" w:after="40"/>
      </w:pPr>
      <w:r>
        <w:rPr>
          <w:rFonts w:ascii="Arial" w:cs="Arial" w:eastAsia="Arial" w:hAnsi="Arial"/>
          <w:sz w:val="22"/>
          <w:szCs w:val="22"/>
        </w:rPr>
        <w:t xml:space="preserve">Approved entries are manually (MVP) or automatically (v2) ingested into the Learning Resource data model with verified=true.</w:t>
      </w:r>
    </w:p>
    <w:p>
      <w:pPr>
        <w:pStyle w:val="ListParagraph"/>
        <w:numPr>
          <w:ilvl w:val="0"/>
          <w:numId w:val="2"/>
        </w:numPr>
        <w:spacing w:before="40" w:after="40"/>
      </w:pPr>
      <w:r>
        <w:rPr>
          <w:rFonts w:ascii="Arial" w:cs="Arial" w:eastAsia="Arial" w:hAnsi="Arial"/>
          <w:sz w:val="22"/>
          <w:szCs w:val="22"/>
        </w:rPr>
        <w:t xml:space="preserve">Submitter is emailed if they provided an email address.</w:t>
      </w:r>
    </w:p>
    <w:p>
      <w:pPr>
        <w:spacing w:before="80"/>
      </w:pPr>
    </w:p>
    <w:p>
      <w:r>
        <w:br w:type="page"/>
      </w:r>
    </w:p>
    <w:p>
      <w:pPr>
        <w:pStyle w:val="Heading1"/>
        <w:spacing w:before="360" w:after="120"/>
      </w:pPr>
      <w:r>
        <w:rPr>
          <w:rFonts w:ascii="Arial" w:cs="Arial" w:eastAsia="Arial" w:hAnsi="Arial"/>
          <w:b/>
          <w:bCs/>
          <w:color w:val="111827"/>
          <w:sz w:val="36"/>
          <w:szCs w:val="36"/>
        </w:rPr>
        <w:t xml:space="preserve">SECTION 2 — CAREERS HUB</w:t>
      </w:r>
    </w:p>
    <w:p>
      <w:pPr>
        <w:pBdr>
          <w:bottom w:val="single" w:color="E5E7EB" w:sz="4" w:space="1"/>
        </w:pBdr>
        <w:spacing w:before="120" w:after="120"/>
      </w:pPr>
    </w:p>
    <w:p>
      <w:pPr>
        <w:pStyle w:val="Heading2"/>
        <w:spacing w:before="280" w:after="100"/>
      </w:pPr>
      <w:r>
        <w:rPr>
          <w:rFonts w:ascii="Arial" w:cs="Arial" w:eastAsia="Arial" w:hAnsi="Arial"/>
          <w:b/>
          <w:bCs/>
          <w:color w:val="1F2937"/>
          <w:sz w:val="28"/>
          <w:szCs w:val="28"/>
        </w:rPr>
        <w:t xml:space="preserve">2.1  Purpose &amp; Goals</w:t>
      </w:r>
    </w:p>
    <w:p>
      <w:pPr>
        <w:spacing w:before="60" w:after="60"/>
      </w:pPr>
      <w:r>
        <w:rPr>
          <w:rFonts w:ascii="Arial" w:cs="Arial" w:eastAsia="Arial" w:hAnsi="Arial"/>
          <w:sz w:val="22"/>
          <w:szCs w:val="22"/>
        </w:rPr>
        <w:t xml:space="preserve">The Careers Hub aggregates job opportunities across the stablecoin, crypto, blockchain, digital assets, and VASP space. It serves professionals who want to find their next role and companies who want to reach a targeted, engaged audience. The hub is accessible at /careers (already partially built in the MVP).</w:t>
      </w:r>
    </w:p>
    <w:p>
      <w:pPr>
        <w:spacing w:before="200" w:after="40"/>
      </w:pPr>
      <w:r>
        <w:rPr>
          <w:rFonts w:ascii="Arial" w:cs="Arial" w:eastAsia="Arial" w:hAnsi="Arial"/>
          <w:b/>
          <w:bCs/>
          <w:color w:val="1A56DB"/>
          <w:sz w:val="18"/>
          <w:szCs w:val="18"/>
        </w:rPr>
        <w:t xml:space="preserve">CORE GOALS</w:t>
      </w:r>
    </w:p>
    <w:p>
      <w:pPr>
        <w:pStyle w:val="ListParagraph"/>
        <w:numPr>
          <w:ilvl w:val="0"/>
          <w:numId w:val="2"/>
        </w:numPr>
        <w:spacing w:before="40" w:after="40"/>
      </w:pPr>
      <w:r>
        <w:rPr>
          <w:rFonts w:ascii="Arial" w:cs="Arial" w:eastAsia="Arial" w:hAnsi="Arial"/>
          <w:sz w:val="22"/>
          <w:szCs w:val="22"/>
        </w:rPr>
        <w:t xml:space="preserve">Aggregate relevant job postings automatically from multiple sources using keyword-based ingestion.</w:t>
      </w:r>
    </w:p>
    <w:p>
      <w:pPr>
        <w:pStyle w:val="ListParagraph"/>
        <w:numPr>
          <w:ilvl w:val="0"/>
          <w:numId w:val="2"/>
        </w:numPr>
        <w:spacing w:before="40" w:after="40"/>
      </w:pPr>
      <w:r>
        <w:rPr>
          <w:rFonts w:ascii="Arial" w:cs="Arial" w:eastAsia="Arial" w:hAnsi="Arial"/>
          <w:sz w:val="22"/>
          <w:szCs w:val="22"/>
        </w:rPr>
        <w:t xml:space="preserve">Allow community members and companies to submit job roles manually via a form.</w:t>
      </w:r>
    </w:p>
    <w:p>
      <w:pPr>
        <w:pStyle w:val="ListParagraph"/>
        <w:numPr>
          <w:ilvl w:val="0"/>
          <w:numId w:val="2"/>
        </w:numPr>
        <w:spacing w:before="40" w:after="40"/>
      </w:pPr>
      <w:r>
        <w:rPr>
          <w:rFonts w:ascii="Arial" w:cs="Arial" w:eastAsia="Arial" w:hAnsi="Arial"/>
          <w:sz w:val="22"/>
          <w:szCs w:val="22"/>
        </w:rPr>
        <w:t xml:space="preserve">Display jobs in a clean, filterable interface with role family tags.</w:t>
      </w:r>
    </w:p>
    <w:p>
      <w:pPr>
        <w:pStyle w:val="ListParagraph"/>
        <w:numPr>
          <w:ilvl w:val="0"/>
          <w:numId w:val="2"/>
        </w:numPr>
        <w:spacing w:before="40" w:after="40"/>
      </w:pPr>
      <w:r>
        <w:rPr>
          <w:rFonts w:ascii="Arial" w:cs="Arial" w:eastAsia="Arial" w:hAnsi="Arial"/>
          <w:sz w:val="22"/>
          <w:szCs w:val="22"/>
        </w:rPr>
        <w:t xml:space="preserve">Enable job alert subscriptions by email.</w:t>
      </w:r>
    </w:p>
    <w:p>
      <w:pPr>
        <w:spacing w:before="80"/>
      </w:pPr>
    </w:p>
    <w:p>
      <w:pPr>
        <w:pStyle w:val="Heading2"/>
        <w:spacing w:before="280" w:after="100"/>
      </w:pPr>
      <w:r>
        <w:rPr>
          <w:rFonts w:ascii="Arial" w:cs="Arial" w:eastAsia="Arial" w:hAnsi="Arial"/>
          <w:b/>
          <w:bCs/>
          <w:color w:val="1F2937"/>
          <w:sz w:val="28"/>
          <w:szCs w:val="28"/>
        </w:rPr>
        <w:t xml:space="preserve">2.2  Job Ingestion — Sources &amp; Keyword Strategy</w:t>
      </w:r>
    </w:p>
    <w:p>
      <w:pPr>
        <w:spacing w:before="60" w:after="60"/>
      </w:pPr>
      <w:r>
        <w:rPr>
          <w:rFonts w:ascii="Arial" w:cs="Arial" w:eastAsia="Arial" w:hAnsi="Arial"/>
          <w:sz w:val="22"/>
          <w:szCs w:val="22"/>
        </w:rPr>
        <w:t xml:space="preserve">The careers hub will ingest jobs from two routes: (A) automated ingestion via job board APIs and RSS/JSON feeds, and (B) community + employer submissions via Google Form.</w:t>
      </w:r>
    </w:p>
    <w:p>
      <w:pPr>
        <w:pStyle w:val="Heading3"/>
        <w:spacing w:before="200" w:after="80"/>
      </w:pPr>
      <w:r>
        <w:rPr>
          <w:rFonts w:ascii="Arial" w:cs="Arial" w:eastAsia="Arial" w:hAnsi="Arial"/>
          <w:b/>
          <w:bCs/>
          <w:color w:val="374151"/>
          <w:sz w:val="24"/>
          <w:szCs w:val="24"/>
        </w:rPr>
        <w:t xml:space="preserve">A — Automated ingestion keyword set</w:t>
      </w:r>
    </w:p>
    <w:p>
      <w:pPr>
        <w:spacing w:before="60" w:after="60"/>
      </w:pPr>
      <w:r>
        <w:rPr>
          <w:rFonts w:ascii="Arial" w:cs="Arial" w:eastAsia="Arial" w:hAnsi="Arial"/>
          <w:sz w:val="22"/>
          <w:szCs w:val="22"/>
        </w:rPr>
        <w:t xml:space="preserve">The following keyword groups should be used as search/filter terms when querying job APIs. A job must match at least ONE keyword from Group 1 AND (optionally) be filtered by function keywords in Group 2 for relevance scoring.</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59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Keywords</w:t>
            </w:r>
          </w:p>
        </w:tc>
      </w:tr>
      <w:tr>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Group 1 — Domain</w:t>
            </w:r>
          </w:p>
        </w:tc>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Must match one</w:t>
            </w:r>
          </w:p>
        </w:tc>
        <w:tc>
          <w:tcPr>
            <w:tcW w:type="dxa" w:w="59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stablecoin, blockchain, crypto, cryptocurrency, digital asset, digital assets, VASP, virtual asset, web3, DeFi, tokenisation, tokenization, on-chain, fintech payments</w:t>
            </w:r>
          </w:p>
        </w:tc>
      </w:tr>
      <w:tr>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Group 2 — Function</w:t>
            </w:r>
          </w:p>
        </w:tc>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Used for tagging</w:t>
            </w:r>
          </w:p>
        </w:tc>
        <w:tc>
          <w:tcPr>
            <w:tcW w:type="dxa" w:w="59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product manager, compliance, legal, engineering, software engineer, backend, frontend, smart contract, solidity, treasury, risk, business development, partnerships, policy, operations, marketing, UX, design, data, analyst</w:t>
            </w:r>
          </w:p>
        </w:tc>
      </w:tr>
    </w:tbl>
    <w:p>
      <w:pPr>
        <w:spacing w:before="80"/>
      </w:pPr>
    </w:p>
    <w:p>
      <w:pPr>
        <w:pStyle w:val="Heading3"/>
        <w:spacing w:before="200" w:after="80"/>
      </w:pPr>
      <w:r>
        <w:rPr>
          <w:rFonts w:ascii="Arial" w:cs="Arial" w:eastAsia="Arial" w:hAnsi="Arial"/>
          <w:b/>
          <w:bCs/>
          <w:color w:val="374151"/>
          <w:sz w:val="24"/>
          <w:szCs w:val="24"/>
        </w:rPr>
        <w:t xml:space="preserve">B — Ingestion sources (MVP)</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800"/>
        <w:gridCol w:w="43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3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Greenhouse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REST API</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Many crypto/fintech companies use Greenhouse. Use their job board API: boards-api.greenhouse.io</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Lever</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ATS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REST API</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jobs.lever.co/{company}/json endpoint per company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Ashby</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ATS</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REST API</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api.ashbyhq.com/posting-api/job-posting — used by Coinbase, a16z portfolio</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Workable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ATS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REST API</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workable.com/api/v3/jobs — filter by keywords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LinkedIn Jobs</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Job board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RSS / unofficial scrape</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Use RSS feed per keyword; note ToS limitations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Crypto Jobs List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Niche board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RSS / API</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cryptojobslist.com/rss.xml — crypto-native job board</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Web3 Career</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Niche board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RSS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web3.career/rss — good coverage of DeFi, smart contract roles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Blockchain Works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Niche board</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API</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blockchain.works-hub.com — engineering heavy</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Relocate.me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Job board</w:t>
            </w:r>
          </w:p>
        </w:tc>
        <w:tc>
          <w:tcPr>
            <w:tcW w:type="dxa" w:w="18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RSS</w:t>
            </w:r>
          </w:p>
        </w:tc>
        <w:tc>
          <w:tcPr>
            <w:tcW w:type="dxa" w:w="43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relocate.me/rss — international roles, useful for SG/UK/EU corridors</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Direct company pages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Company ATS</w:t>
            </w:r>
          </w:p>
        </w:tc>
        <w:tc>
          <w:tcPr>
            <w:tcW w:type="dxa" w:w="18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RSS / polling</w:t>
            </w:r>
          </w:p>
        </w:tc>
        <w:tc>
          <w:tcPr>
            <w:tcW w:type="dxa" w:w="43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Circle, Tether, PayPal, StraitsX, Paxos, Ripple, Anchorage, Coinbase</w:t>
            </w:r>
          </w:p>
        </w:tc>
      </w:tr>
    </w:tbl>
    <w:p>
      <w:pPr>
        <w:spacing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9360"/>
            <w:gridSpan w:val="2"/>
            <w:tcBorders>
              <w:top w:val="none" w:color="FFFFFF" w:sz="0"/>
              <w:left w:val="single" w:color="1A56DB" w:sz="12"/>
              <w:bottom w:val="none" w:color="FFFFFF" w:sz="0"/>
              <w:right w:val="none" w:color="FFFFFF" w:sz="0"/>
            </w:tcBorders>
            <w:shd w:fill="EFF6FF" w:val="clear"/>
            <w:tcMar>
              <w:top w:type="dxa" w:w="60"/>
              <w:left w:type="dxa" w:w="120"/>
              <w:bottom w:type="dxa" w:w="60"/>
              <w:right w:type="dxa" w:w="60"/>
            </w:tcMar>
          </w:tcPr>
          <w:p>
            <w:pPr>
              <w:spacing w:before="0" w:after="0"/>
            </w:pPr>
            <w:r>
              <w:rPr>
                <w:rFonts w:ascii="Arial" w:cs="Arial" w:eastAsia="Arial" w:hAnsi="Arial"/>
                <w:i/>
                <w:iCs/>
                <w:color w:val="1F2937"/>
                <w:sz w:val="20"/>
                <w:szCs w:val="20"/>
              </w:rPr>
              <w:t xml:space="preserve">MVP approach: Start with 3–5 sources (Greenhouse API, Crypto Jobs List RSS, Web3 Career RSS, plus direct company pages for Circle/StraitsX/Paxos). Add more in v2.</w:t>
            </w:r>
          </w:p>
        </w:tc>
      </w:tr>
    </w:tbl>
    <w:p>
      <w:pPr>
        <w:spacing w:before="80"/>
      </w:pPr>
    </w:p>
    <w:p>
      <w:pPr>
        <w:pStyle w:val="Heading3"/>
        <w:spacing w:before="200" w:after="80"/>
      </w:pPr>
      <w:r>
        <w:rPr>
          <w:rFonts w:ascii="Arial" w:cs="Arial" w:eastAsia="Arial" w:hAnsi="Arial"/>
          <w:b/>
          <w:bCs/>
          <w:color w:val="374151"/>
          <w:sz w:val="24"/>
          <w:szCs w:val="24"/>
        </w:rPr>
        <w:t xml:space="preserve">Ingestion pipeline (technical spec)</w:t>
      </w:r>
    </w:p>
    <w:p>
      <w:pPr>
        <w:pStyle w:val="ListParagraph"/>
        <w:numPr>
          <w:ilvl w:val="0"/>
          <w:numId w:val="3"/>
        </w:numPr>
        <w:spacing w:before="40" w:after="40"/>
      </w:pPr>
      <w:r>
        <w:rPr>
          <w:rFonts w:ascii="Arial" w:cs="Arial" w:eastAsia="Arial" w:hAnsi="Arial"/>
          <w:sz w:val="22"/>
          <w:szCs w:val="22"/>
        </w:rPr>
        <w:t xml:space="preserve">A scheduled job (cron: every 6 hours) fetches new postings from each source.</w:t>
      </w:r>
    </w:p>
    <w:p>
      <w:pPr>
        <w:pStyle w:val="ListParagraph"/>
        <w:numPr>
          <w:ilvl w:val="0"/>
          <w:numId w:val="3"/>
        </w:numPr>
        <w:spacing w:before="40" w:after="40"/>
      </w:pPr>
      <w:r>
        <w:rPr>
          <w:rFonts w:ascii="Arial" w:cs="Arial" w:eastAsia="Arial" w:hAnsi="Arial"/>
          <w:sz w:val="22"/>
          <w:szCs w:val="22"/>
        </w:rPr>
        <w:t xml:space="preserve">Each fetched posting is parsed into the JobPosting schema (see §2.4).</w:t>
      </w:r>
    </w:p>
    <w:p>
      <w:pPr>
        <w:pStyle w:val="ListParagraph"/>
        <w:numPr>
          <w:ilvl w:val="0"/>
          <w:numId w:val="3"/>
        </w:numPr>
        <w:spacing w:before="40" w:after="40"/>
      </w:pPr>
      <w:r>
        <w:rPr>
          <w:rFonts w:ascii="Arial" w:cs="Arial" w:eastAsia="Arial" w:hAnsi="Arial"/>
          <w:sz w:val="22"/>
          <w:szCs w:val="22"/>
        </w:rPr>
        <w:t xml:space="preserve">Deduplication: hash on (company name + job title + location). Skip if hash exists.</w:t>
      </w:r>
    </w:p>
    <w:p>
      <w:pPr>
        <w:pStyle w:val="ListParagraph"/>
        <w:numPr>
          <w:ilvl w:val="0"/>
          <w:numId w:val="3"/>
        </w:numPr>
        <w:spacing w:before="40" w:after="40"/>
      </w:pPr>
      <w:r>
        <w:rPr>
          <w:rFonts w:ascii="Arial" w:cs="Arial" w:eastAsia="Arial" w:hAnsi="Arial"/>
          <w:sz w:val="22"/>
          <w:szCs w:val="22"/>
        </w:rPr>
        <w:t xml:space="preserve">Keyword match score is computed. Jobs scoring below threshold are discarded.</w:t>
      </w:r>
    </w:p>
    <w:p>
      <w:pPr>
        <w:pStyle w:val="ListParagraph"/>
        <w:numPr>
          <w:ilvl w:val="0"/>
          <w:numId w:val="3"/>
        </w:numPr>
        <w:spacing w:before="40" w:after="40"/>
      </w:pPr>
      <w:r>
        <w:rPr>
          <w:rFonts w:ascii="Arial" w:cs="Arial" w:eastAsia="Arial" w:hAnsi="Arial"/>
          <w:sz w:val="22"/>
          <w:szCs w:val="22"/>
        </w:rPr>
        <w:t xml:space="preserve">Matched jobs are stored with status = PENDING_REVIEW for MVP; auto-published after 24h if no editorial flag.</w:t>
      </w:r>
    </w:p>
    <w:p>
      <w:pPr>
        <w:pStyle w:val="ListParagraph"/>
        <w:numPr>
          <w:ilvl w:val="0"/>
          <w:numId w:val="3"/>
        </w:numPr>
        <w:spacing w:before="40" w:after="40"/>
      </w:pPr>
      <w:r>
        <w:rPr>
          <w:rFonts w:ascii="Arial" w:cs="Arial" w:eastAsia="Arial" w:hAnsi="Arial"/>
          <w:sz w:val="22"/>
          <w:szCs w:val="22"/>
        </w:rPr>
        <w:t xml:space="preserve">Expired jobs: if a source URL returns 404 or the source's 'active' field is false, mark job as CLOSED and remove from public listing after 48h.</w:t>
      </w:r>
    </w:p>
    <w:p>
      <w:pPr>
        <w:spacing w:before="80"/>
      </w:pPr>
    </w:p>
    <w:p>
      <w:pPr>
        <w:pStyle w:val="Heading2"/>
        <w:spacing w:before="280" w:after="100"/>
      </w:pPr>
      <w:r>
        <w:rPr>
          <w:rFonts w:ascii="Arial" w:cs="Arial" w:eastAsia="Arial" w:hAnsi="Arial"/>
          <w:b/>
          <w:bCs/>
          <w:color w:val="1F2937"/>
          <w:sz w:val="28"/>
          <w:szCs w:val="28"/>
        </w:rPr>
        <w:t xml:space="preserve">2.3  Display Requirements</w:t>
      </w:r>
    </w:p>
    <w:p>
      <w:pPr>
        <w:pStyle w:val="Heading3"/>
        <w:spacing w:before="200" w:after="80"/>
      </w:pPr>
      <w:r>
        <w:rPr>
          <w:rFonts w:ascii="Arial" w:cs="Arial" w:eastAsia="Arial" w:hAnsi="Arial"/>
          <w:b/>
          <w:bCs/>
          <w:color w:val="374151"/>
          <w:sz w:val="24"/>
          <w:szCs w:val="24"/>
        </w:rPr>
        <w:t xml:space="preserve">Page: /careers</w:t>
      </w:r>
    </w:p>
    <w:p>
      <w:pPr>
        <w:pStyle w:val="ListParagraph"/>
        <w:numPr>
          <w:ilvl w:val="0"/>
          <w:numId w:val="2"/>
        </w:numPr>
        <w:spacing w:before="40" w:after="40"/>
      </w:pPr>
      <w:r>
        <w:rPr>
          <w:rFonts w:ascii="Arial" w:cs="Arial" w:eastAsia="Arial" w:hAnsi="Arial"/>
          <w:sz w:val="22"/>
          <w:szCs w:val="22"/>
        </w:rPr>
        <w:t xml:space="preserve">Hero: 'Find your role in the future of money' — headline, subline, CTA to submit a job (for employers).</w:t>
      </w:r>
    </w:p>
    <w:p>
      <w:pPr>
        <w:pStyle w:val="ListParagraph"/>
        <w:numPr>
          <w:ilvl w:val="0"/>
          <w:numId w:val="2"/>
        </w:numPr>
        <w:spacing w:before="40" w:after="40"/>
      </w:pPr>
      <w:r>
        <w:rPr>
          <w:rFonts w:ascii="Arial" w:cs="Arial" w:eastAsia="Arial" w:hAnsi="Arial"/>
          <w:sz w:val="22"/>
          <w:szCs w:val="22"/>
        </w:rPr>
        <w:t xml:space="preserve">Filter bar: Role Family (Product, Engineering, Compliance/Legal, BD/Partnerships, Treasury/Risk, Operations, Design, Data, Other) | Location type (Remote, Hybrid, On-site) | Location region (Global, SG, UK, EU, US) | Date posted (Last 24h, Last 7 days, Last 30 days).</w:t>
      </w:r>
    </w:p>
    <w:p>
      <w:pPr>
        <w:pStyle w:val="ListParagraph"/>
        <w:numPr>
          <w:ilvl w:val="0"/>
          <w:numId w:val="2"/>
        </w:numPr>
        <w:spacing w:before="40" w:after="40"/>
      </w:pPr>
      <w:r>
        <w:rPr>
          <w:rFonts w:ascii="Arial" w:cs="Arial" w:eastAsia="Arial" w:hAnsi="Arial"/>
          <w:sz w:val="22"/>
          <w:szCs w:val="22"/>
        </w:rPr>
        <w:t xml:space="preserve">Job cards: Each card shows Company logo (if available), Job title, Company name, Location, Role family badge, Date posted, 'Apply' button (external link). Card is linkable to a detail page or external ATS URL.</w:t>
      </w:r>
    </w:p>
    <w:p>
      <w:pPr>
        <w:pStyle w:val="ListParagraph"/>
        <w:numPr>
          <w:ilvl w:val="0"/>
          <w:numId w:val="2"/>
        </w:numPr>
        <w:spacing w:before="40" w:after="40"/>
      </w:pPr>
      <w:r>
        <w:rPr>
          <w:rFonts w:ascii="Arial" w:cs="Arial" w:eastAsia="Arial" w:hAnsi="Arial"/>
          <w:sz w:val="22"/>
          <w:szCs w:val="22"/>
        </w:rPr>
        <w:t xml:space="preserve">Sort: Default = Most recent. Secondary = Relevance (keyword match score).</w:t>
      </w:r>
    </w:p>
    <w:p>
      <w:pPr>
        <w:pStyle w:val="ListParagraph"/>
        <w:numPr>
          <w:ilvl w:val="0"/>
          <w:numId w:val="2"/>
        </w:numPr>
        <w:spacing w:before="40" w:after="40"/>
      </w:pPr>
      <w:r>
        <w:rPr>
          <w:rFonts w:ascii="Arial" w:cs="Arial" w:eastAsia="Arial" w:hAnsi="Arial"/>
          <w:sz w:val="22"/>
          <w:szCs w:val="22"/>
        </w:rPr>
        <w:t xml:space="preserve">Pagination: 20 jobs per page, or infinite scroll (choose one; recommend pagination for crawlability).</w:t>
      </w:r>
    </w:p>
    <w:p>
      <w:pPr>
        <w:pStyle w:val="ListParagraph"/>
        <w:numPr>
          <w:ilvl w:val="0"/>
          <w:numId w:val="2"/>
        </w:numPr>
        <w:spacing w:before="40" w:after="40"/>
      </w:pPr>
      <w:r>
        <w:rPr>
          <w:rFonts w:ascii="Arial" w:cs="Arial" w:eastAsia="Arial" w:hAnsi="Arial"/>
          <w:sz w:val="22"/>
          <w:szCs w:val="22"/>
        </w:rPr>
        <w:t xml:space="preserve">Empty state: If no results for a filter combination, show 'No matches. Try removing some filters' + CTA to submit a job.</w:t>
      </w:r>
    </w:p>
    <w:p>
      <w:pPr>
        <w:pStyle w:val="Heading3"/>
        <w:spacing w:before="200" w:after="80"/>
      </w:pPr>
      <w:r>
        <w:rPr>
          <w:rFonts w:ascii="Arial" w:cs="Arial" w:eastAsia="Arial" w:hAnsi="Arial"/>
          <w:b/>
          <w:bCs/>
          <w:color w:val="374151"/>
          <w:sz w:val="24"/>
          <w:szCs w:val="24"/>
        </w:rPr>
        <w:t xml:space="preserve">Job detail page: /careers/[job-id]</w:t>
      </w:r>
    </w:p>
    <w:p>
      <w:pPr>
        <w:pStyle w:val="ListParagraph"/>
        <w:numPr>
          <w:ilvl w:val="0"/>
          <w:numId w:val="2"/>
        </w:numPr>
        <w:spacing w:before="40" w:after="40"/>
      </w:pPr>
      <w:r>
        <w:rPr>
          <w:rFonts w:ascii="Arial" w:cs="Arial" w:eastAsia="Arial" w:hAnsi="Arial"/>
          <w:sz w:val="22"/>
          <w:szCs w:val="22"/>
        </w:rPr>
        <w:t xml:space="preserve">Full job description (rendered from source HTML or markdown).</w:t>
      </w:r>
    </w:p>
    <w:p>
      <w:pPr>
        <w:pStyle w:val="ListParagraph"/>
        <w:numPr>
          <w:ilvl w:val="0"/>
          <w:numId w:val="2"/>
        </w:numPr>
        <w:spacing w:before="40" w:after="40"/>
      </w:pPr>
      <w:r>
        <w:rPr>
          <w:rFonts w:ascii="Arial" w:cs="Arial" w:eastAsia="Arial" w:hAnsi="Arial"/>
          <w:sz w:val="22"/>
          <w:szCs w:val="22"/>
        </w:rPr>
        <w:t xml:space="preserve">Company info panel: name, logo, website, jurisdiction, relevant products.</w:t>
      </w:r>
    </w:p>
    <w:p>
      <w:pPr>
        <w:pStyle w:val="ListParagraph"/>
        <w:numPr>
          <w:ilvl w:val="0"/>
          <w:numId w:val="2"/>
        </w:numPr>
        <w:spacing w:before="40" w:after="40"/>
      </w:pPr>
      <w:r>
        <w:rPr>
          <w:rFonts w:ascii="Arial" w:cs="Arial" w:eastAsia="Arial" w:hAnsi="Arial"/>
          <w:sz w:val="22"/>
          <w:szCs w:val="22"/>
        </w:rPr>
        <w:t xml:space="preserve">Safety note: 'This listing was sourced from [source]. Always verify opportunities directly with the company.'</w:t>
      </w:r>
    </w:p>
    <w:p>
      <w:pPr>
        <w:pStyle w:val="ListParagraph"/>
        <w:numPr>
          <w:ilvl w:val="0"/>
          <w:numId w:val="2"/>
        </w:numPr>
        <w:spacing w:before="40" w:after="40"/>
      </w:pPr>
      <w:r>
        <w:rPr>
          <w:rFonts w:ascii="Arial" w:cs="Arial" w:eastAsia="Arial" w:hAnsi="Arial"/>
          <w:sz w:val="22"/>
          <w:szCs w:val="22"/>
        </w:rPr>
        <w:t xml:space="preserve">'Apply' button: opens the original ATS/source URL in a new tab.</w:t>
      </w:r>
    </w:p>
    <w:p>
      <w:pPr>
        <w:pStyle w:val="ListParagraph"/>
        <w:numPr>
          <w:ilvl w:val="0"/>
          <w:numId w:val="2"/>
        </w:numPr>
        <w:spacing w:before="40" w:after="40"/>
      </w:pPr>
      <w:r>
        <w:rPr>
          <w:rFonts w:ascii="Arial" w:cs="Arial" w:eastAsia="Arial" w:hAnsi="Arial"/>
          <w:sz w:val="22"/>
          <w:szCs w:val="22"/>
        </w:rPr>
        <w:t xml:space="preserve">Related jobs: 3 similar roles by role family or company.</w:t>
      </w:r>
    </w:p>
    <w:p>
      <w:pPr>
        <w:pStyle w:val="Heading3"/>
        <w:spacing w:before="200" w:after="80"/>
      </w:pPr>
      <w:r>
        <w:rPr>
          <w:rFonts w:ascii="Arial" w:cs="Arial" w:eastAsia="Arial" w:hAnsi="Arial"/>
          <w:b/>
          <w:bCs/>
          <w:color w:val="374151"/>
          <w:sz w:val="24"/>
          <w:szCs w:val="24"/>
        </w:rPr>
        <w:t xml:space="preserve">Job alert subscription</w:t>
      </w:r>
    </w:p>
    <w:p>
      <w:pPr>
        <w:pStyle w:val="ListParagraph"/>
        <w:numPr>
          <w:ilvl w:val="0"/>
          <w:numId w:val="2"/>
        </w:numPr>
        <w:spacing w:before="40" w:after="40"/>
      </w:pPr>
      <w:r>
        <w:rPr>
          <w:rFonts w:ascii="Arial" w:cs="Arial" w:eastAsia="Arial" w:hAnsi="Arial"/>
          <w:sz w:val="22"/>
          <w:szCs w:val="22"/>
        </w:rPr>
        <w:t xml:space="preserve">Email input + keyword/filter preference → subscriber receives weekly digest of new matching roles.</w:t>
      </w:r>
    </w:p>
    <w:p>
      <w:pPr>
        <w:pStyle w:val="ListParagraph"/>
        <w:numPr>
          <w:ilvl w:val="0"/>
          <w:numId w:val="2"/>
        </w:numPr>
        <w:spacing w:before="40" w:after="40"/>
      </w:pPr>
      <w:r>
        <w:rPr>
          <w:rFonts w:ascii="Arial" w:cs="Arial" w:eastAsia="Arial" w:hAnsi="Arial"/>
          <w:sz w:val="22"/>
          <w:szCs w:val="22"/>
        </w:rPr>
        <w:t xml:space="preserve">Unsubscribe link in every email (one-click).</w:t>
      </w:r>
    </w:p>
    <w:p>
      <w:pPr>
        <w:pStyle w:val="ListParagraph"/>
        <w:numPr>
          <w:ilvl w:val="0"/>
          <w:numId w:val="2"/>
        </w:numPr>
        <w:spacing w:before="40" w:after="40"/>
      </w:pPr>
      <w:r>
        <w:rPr>
          <w:rFonts w:ascii="Arial" w:cs="Arial" w:eastAsia="Arial" w:hAnsi="Arial"/>
          <w:sz w:val="22"/>
          <w:szCs w:val="22"/>
        </w:rPr>
        <w:t xml:space="preserve">MVP: weekly digest only. v2: daily or instant alerts.</w:t>
      </w:r>
    </w:p>
    <w:p>
      <w:pPr>
        <w:spacing w:before="80"/>
      </w:pPr>
    </w:p>
    <w:p>
      <w:pPr>
        <w:pStyle w:val="Heading2"/>
        <w:spacing w:before="280" w:after="100"/>
      </w:pPr>
      <w:r>
        <w:rPr>
          <w:rFonts w:ascii="Arial" w:cs="Arial" w:eastAsia="Arial" w:hAnsi="Arial"/>
          <w:b/>
          <w:bCs/>
          <w:color w:val="1F2937"/>
          <w:sz w:val="28"/>
          <w:szCs w:val="28"/>
        </w:rPr>
        <w:t xml:space="preserve">2.4  Data Model — Job Postings</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7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UUID</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Unique internal identifier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title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Job title as provided by source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company_name</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Employer name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company_logo_url</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URL to company logo image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company_url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Company website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role_family</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Enum</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Product | Engineering | Compliance | Legal | BD | Treasury | Operations | Design | Data | Other</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location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e.g. 'Singapore', 'Remote', 'London, UK'</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location_type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Enum</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remote | hybrid | on_site</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location_region</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sg | uk | eu | us | global | apac | other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description_html</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Text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Full job description in HTML or markdown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apply_url</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Direct URL to apply at source</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source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Name of the ingestion source (e.g. 'greenhouse', 'cryptojobslist')</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source_id</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Source's own job ID for deduplication</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keyword_match_score</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Float 0–1</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Relevance score from keyword matching</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status</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Enum</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pending | active | closed | rejected</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submitted_by</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String</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'community' or 'employer' if from form submission</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posted_at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Date job was originally posted by the employer</w:t>
            </w:r>
          </w:p>
        </w:tc>
      </w:tr>
      <w:tr>
        <w:tc>
          <w:tcPr>
            <w:tcW w:type="dxa" w:w="2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ingested_at</w:t>
            </w:r>
          </w:p>
        </w:tc>
        <w:tc>
          <w:tcPr>
            <w:tcW w:type="dxa" w:w="1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Timestamp</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7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Date ingested into Stablecoin Atlas</w:t>
            </w:r>
          </w:p>
        </w:tc>
      </w:tr>
      <w:tr>
        <w:tc>
          <w:tcPr>
            <w:tcW w:type="dxa" w:w="2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expires_at</w:t>
            </w:r>
          </w:p>
        </w:tc>
        <w:tc>
          <w:tcPr>
            <w:tcW w:type="dxa" w:w="1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Timestamp</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7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When the job should be auto-closed</w:t>
            </w:r>
          </w:p>
        </w:tc>
      </w:tr>
    </w:tbl>
    <w:p>
      <w:pPr>
        <w:spacing w:before="80"/>
      </w:pPr>
    </w:p>
    <w:p>
      <w:pPr>
        <w:pStyle w:val="Heading2"/>
        <w:spacing w:before="280" w:after="100"/>
      </w:pPr>
      <w:r>
        <w:rPr>
          <w:rFonts w:ascii="Arial" w:cs="Arial" w:eastAsia="Arial" w:hAnsi="Arial"/>
          <w:b/>
          <w:bCs/>
          <w:color w:val="1F2937"/>
          <w:sz w:val="28"/>
          <w:szCs w:val="28"/>
        </w:rPr>
        <w:t xml:space="preserve">2.5  Community Submission — Job Posting Form</w:t>
      </w:r>
    </w:p>
    <w:p>
      <w:pPr>
        <w:spacing w:before="60" w:after="60"/>
      </w:pPr>
      <w:r>
        <w:rPr>
          <w:rFonts w:ascii="Arial" w:cs="Arial" w:eastAsia="Arial" w:hAnsi="Arial"/>
          <w:sz w:val="22"/>
          <w:szCs w:val="22"/>
        </w:rPr>
        <w:t xml:space="preserve">The form serves two submitter types: (A) Employers / hiring managers who want to list a role directly, and (B) Community members who spotted a relevant job and want to share it.</w:t>
      </w:r>
    </w:p>
    <w:p>
      <w:pPr>
        <w:pStyle w:val="Heading3"/>
        <w:spacing w:before="200" w:after="80"/>
      </w:pPr>
      <w:r>
        <w:rPr>
          <w:rFonts w:ascii="Arial" w:cs="Arial" w:eastAsia="Arial" w:hAnsi="Arial"/>
          <w:b/>
          <w:bCs/>
          <w:color w:val="374151"/>
          <w:sz w:val="24"/>
          <w:szCs w:val="24"/>
        </w:rPr>
        <w:t xml:space="preserve">Form trigger &amp; placement</w:t>
      </w:r>
    </w:p>
    <w:p>
      <w:pPr>
        <w:pStyle w:val="ListParagraph"/>
        <w:numPr>
          <w:ilvl w:val="0"/>
          <w:numId w:val="2"/>
        </w:numPr>
        <w:spacing w:before="40" w:after="40"/>
      </w:pPr>
      <w:r>
        <w:rPr>
          <w:rFonts w:ascii="Arial" w:cs="Arial" w:eastAsia="Arial" w:hAnsi="Arial"/>
          <w:sz w:val="22"/>
          <w:szCs w:val="22"/>
        </w:rPr>
        <w:t xml:space="preserve">Primary CTA on /careers page: 'Hiring? Post a Job' button (top right of the page, already exists in MVP).</w:t>
      </w:r>
    </w:p>
    <w:p>
      <w:pPr>
        <w:pStyle w:val="ListParagraph"/>
        <w:numPr>
          <w:ilvl w:val="0"/>
          <w:numId w:val="2"/>
        </w:numPr>
        <w:spacing w:before="40" w:after="40"/>
      </w:pPr>
      <w:r>
        <w:rPr>
          <w:rFonts w:ascii="Arial" w:cs="Arial" w:eastAsia="Arial" w:hAnsi="Arial"/>
          <w:sz w:val="22"/>
          <w:szCs w:val="22"/>
        </w:rPr>
        <w:t xml:space="preserve">Secondary: sticky banner at the bottom of the careers page for community submissions — 'Spotted a great stablecoin role? Share it here.'</w:t>
      </w:r>
    </w:p>
    <w:p>
      <w:pPr>
        <w:pStyle w:val="ListParagraph"/>
        <w:numPr>
          <w:ilvl w:val="0"/>
          <w:numId w:val="2"/>
        </w:numPr>
        <w:spacing w:before="40" w:after="40"/>
      </w:pPr>
      <w:r>
        <w:rPr>
          <w:rFonts w:ascii="Arial" w:cs="Arial" w:eastAsia="Arial" w:hAnsi="Arial"/>
          <w:sz w:val="22"/>
          <w:szCs w:val="22"/>
        </w:rPr>
        <w:t xml:space="preserve">On click: new tab to a Google Form (or modal embed).</w:t>
      </w:r>
    </w:p>
    <w:p>
      <w:pPr>
        <w:pStyle w:val="Heading3"/>
        <w:spacing w:before="200" w:after="80"/>
      </w:pPr>
      <w:r>
        <w:rPr>
          <w:rFonts w:ascii="Arial" w:cs="Arial" w:eastAsia="Arial" w:hAnsi="Arial"/>
          <w:b/>
          <w:bCs/>
          <w:color w:val="374151"/>
          <w:sz w:val="24"/>
          <w:szCs w:val="24"/>
        </w:rPr>
        <w:t xml:space="preserve">Google Form — field specification</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200"/>
        <w:gridCol w:w="4160"/>
      </w:tblGrid>
      <w:tr>
        <w:trPr>
          <w:tblHeader/>
        </w:trPr>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 Label</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1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1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Validation / Notes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Submission type *</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Multiple choice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Options: I am the employer / recruiter, I'm sharing a job I found</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Job Title *</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Short text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Max 150 characters</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Company Name *</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Short 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Job URL / Apply Link *</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Short text (URL)</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Must be a valid https:// URL pointing to the job listing</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Role Family *</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Dropdown</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Product, Engineering, Compliance/Legal, BD/Partnerships, Treasury/Risk, Operations, Design/UX, Data/Analytics, Other</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Location *</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Short text</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Yes</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e.g. 'Singapore', 'Remote (Global)', 'London, UK'</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Work Type *</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Multiple choice</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Remote, Hybrid, On-site</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Relevant Keywords</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Checkboxes</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No</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Stablecoin, Crypto/Blockchain, Digital Assets, VASP, DeFi, Payments, Compliance, Regulatory</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Job Description (optional)</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Long 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Paste job description or summary. Max 2,000 characters. Not required if URL is provided.</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Date Posted (approx)</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Date</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No</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When was this role first posted?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Your Name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Short 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Optional</w:t>
            </w:r>
          </w:p>
        </w:tc>
      </w:tr>
      <w:tr>
        <w:tc>
          <w:tcPr>
            <w:tcW w:type="dxa" w:w="24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Your Email</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Short text (email)</w:t>
            </w:r>
          </w:p>
        </w:tc>
        <w:tc>
          <w:tcPr>
            <w:tcW w:type="dxa" w:w="12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No</w:t>
            </w:r>
          </w:p>
        </w:tc>
        <w:tc>
          <w:tcPr>
            <w:tcW w:type="dxa" w:w="41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Optional — used to confirm if listing is published</w:t>
            </w:r>
          </w:p>
        </w:tc>
      </w:tr>
      <w:tr>
        <w:tc>
          <w:tcPr>
            <w:tcW w:type="dxa" w:w="24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Anything else to share?</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Long text</w:t>
            </w:r>
          </w:p>
        </w:tc>
        <w:tc>
          <w:tcPr>
            <w:tcW w:type="dxa" w:w="12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Any context for the editorial team</w:t>
            </w:r>
          </w:p>
        </w:tc>
      </w:tr>
    </w:tbl>
    <w:p>
      <w:pPr>
        <w:spacing w:before="80"/>
      </w:pPr>
    </w:p>
    <w:p>
      <w:pPr>
        <w:pStyle w:val="Heading3"/>
        <w:spacing w:before="200" w:after="80"/>
      </w:pPr>
      <w:r>
        <w:rPr>
          <w:rFonts w:ascii="Arial" w:cs="Arial" w:eastAsia="Arial" w:hAnsi="Arial"/>
          <w:b/>
          <w:bCs/>
          <w:color w:val="374151"/>
          <w:sz w:val="24"/>
          <w:szCs w:val="24"/>
        </w:rPr>
        <w:t xml:space="preserve">Google Form — setup instructions for the team</w:t>
      </w:r>
    </w:p>
    <w:p>
      <w:pPr>
        <w:pStyle w:val="ListParagraph"/>
        <w:numPr>
          <w:ilvl w:val="0"/>
          <w:numId w:val="3"/>
        </w:numPr>
        <w:spacing w:before="40" w:after="40"/>
      </w:pPr>
      <w:r>
        <w:rPr>
          <w:rFonts w:ascii="Arial" w:cs="Arial" w:eastAsia="Arial" w:hAnsi="Arial"/>
          <w:sz w:val="22"/>
          <w:szCs w:val="22"/>
        </w:rPr>
        <w:t xml:space="preserve">Go to forms.google.com → Blank form.</w:t>
      </w:r>
    </w:p>
    <w:p>
      <w:pPr>
        <w:pStyle w:val="ListParagraph"/>
        <w:numPr>
          <w:ilvl w:val="0"/>
          <w:numId w:val="3"/>
        </w:numPr>
        <w:spacing w:before="40" w:after="40"/>
      </w:pPr>
      <w:r>
        <w:rPr>
          <w:rFonts w:ascii="Arial" w:cs="Arial" w:eastAsia="Arial" w:hAnsi="Arial"/>
          <w:sz w:val="22"/>
          <w:szCs w:val="22"/>
        </w:rPr>
        <w:t xml:space="preserve">Title: 'Stablecoin Atlas — Submit a Job Listing'.</w:t>
      </w:r>
    </w:p>
    <w:p>
      <w:pPr>
        <w:pStyle w:val="ListParagraph"/>
        <w:numPr>
          <w:ilvl w:val="0"/>
          <w:numId w:val="3"/>
        </w:numPr>
        <w:spacing w:before="40" w:after="40"/>
      </w:pPr>
      <w:r>
        <w:rPr>
          <w:rFonts w:ascii="Arial" w:cs="Arial" w:eastAsia="Arial" w:hAnsi="Arial"/>
          <w:sz w:val="22"/>
          <w:szCs w:val="22"/>
        </w:rPr>
        <w:t xml:space="preserve">Description: 'Share a role in the stablecoin, crypto, or digital assets space. Our team reviews all submissions before listing.'</w:t>
      </w:r>
    </w:p>
    <w:p>
      <w:pPr>
        <w:pStyle w:val="ListParagraph"/>
        <w:numPr>
          <w:ilvl w:val="0"/>
          <w:numId w:val="3"/>
        </w:numPr>
        <w:spacing w:before="40" w:after="40"/>
      </w:pPr>
      <w:r>
        <w:rPr>
          <w:rFonts w:ascii="Arial" w:cs="Arial" w:eastAsia="Arial" w:hAnsi="Arial"/>
          <w:sz w:val="22"/>
          <w:szCs w:val="22"/>
        </w:rPr>
        <w:t xml:space="preserve">Add all fields per the specification table above.</w:t>
      </w:r>
    </w:p>
    <w:p>
      <w:pPr>
        <w:pStyle w:val="ListParagraph"/>
        <w:numPr>
          <w:ilvl w:val="0"/>
          <w:numId w:val="3"/>
        </w:numPr>
        <w:spacing w:before="40" w:after="40"/>
      </w:pPr>
      <w:r>
        <w:rPr>
          <w:rFonts w:ascii="Arial" w:cs="Arial" w:eastAsia="Arial" w:hAnsi="Arial"/>
          <w:sz w:val="22"/>
          <w:szCs w:val="22"/>
        </w:rPr>
        <w:t xml:space="preserve">Responses → Link to Google Sheet → create 'Job Submissions' sheet.</w:t>
      </w:r>
    </w:p>
    <w:p>
      <w:pPr>
        <w:pStyle w:val="ListParagraph"/>
        <w:numPr>
          <w:ilvl w:val="0"/>
          <w:numId w:val="3"/>
        </w:numPr>
        <w:spacing w:before="40" w:after="40"/>
      </w:pPr>
      <w:r>
        <w:rPr>
          <w:rFonts w:ascii="Arial" w:cs="Arial" w:eastAsia="Arial" w:hAnsi="Arial"/>
          <w:sz w:val="22"/>
          <w:szCs w:val="22"/>
        </w:rPr>
        <w:t xml:space="preserve">Set up email notification for new responses (notify jobs@stablecoinatlas.com or team alias).</w:t>
      </w:r>
    </w:p>
    <w:p>
      <w:pPr>
        <w:pStyle w:val="ListParagraph"/>
        <w:numPr>
          <w:ilvl w:val="0"/>
          <w:numId w:val="3"/>
        </w:numPr>
        <w:spacing w:before="40" w:after="40"/>
      </w:pPr>
      <w:r>
        <w:rPr>
          <w:rFonts w:ascii="Arial" w:cs="Arial" w:eastAsia="Arial" w:hAnsi="Arial"/>
          <w:sz w:val="22"/>
          <w:szCs w:val="22"/>
        </w:rPr>
        <w:t xml:space="preserve">Confirmation message: 'Thank you for your submission! We review all listings within 2 business days. Active jobs will appear on stablecoin-atlas.netlify.app/careers'</w:t>
      </w:r>
    </w:p>
    <w:p>
      <w:pPr>
        <w:pStyle w:val="ListParagraph"/>
        <w:numPr>
          <w:ilvl w:val="0"/>
          <w:numId w:val="3"/>
        </w:numPr>
        <w:spacing w:before="40" w:after="40"/>
      </w:pPr>
      <w:r>
        <w:rPr>
          <w:rFonts w:ascii="Arial" w:cs="Arial" w:eastAsia="Arial" w:hAnsi="Arial"/>
          <w:sz w:val="22"/>
          <w:szCs w:val="22"/>
        </w:rPr>
        <w:t xml:space="preserve">Share the form URL and add it to your site CMS config as 'jobs_submission_form_url'.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00"/>
        <w:gridCol w:w="9160"/>
      </w:tblGrid>
      <w:tr>
        <w:tc>
          <w:tcPr>
            <w:tcW w:type="dxa" w:w="9360"/>
            <w:gridSpan w:val="2"/>
            <w:tcBorders>
              <w:top w:val="none" w:color="FFFFFF" w:sz="0"/>
              <w:left w:val="single" w:color="1A56DB" w:sz="12"/>
              <w:bottom w:val="none" w:color="FFFFFF" w:sz="0"/>
              <w:right w:val="none" w:color="FFFFFF" w:sz="0"/>
            </w:tcBorders>
            <w:shd w:fill="EFF6FF" w:val="clear"/>
            <w:tcMar>
              <w:top w:type="dxa" w:w="60"/>
              <w:left w:type="dxa" w:w="120"/>
              <w:bottom w:type="dxa" w:w="60"/>
              <w:right w:type="dxa" w:w="60"/>
            </w:tcMar>
          </w:tcPr>
          <w:p>
            <w:pPr>
              <w:spacing w:before="0" w:after="0"/>
            </w:pPr>
            <w:r>
              <w:rPr>
                <w:rFonts w:ascii="Arial" w:cs="Arial" w:eastAsia="Arial" w:hAnsi="Arial"/>
                <w:i/>
                <w:iCs/>
                <w:color w:val="1F2937"/>
                <w:sz w:val="20"/>
                <w:szCs w:val="20"/>
              </w:rPr>
              <w:t xml:space="preserve">Keep the Job Submissions Google Sheet columns aligned with the JobPosting data model so entries can be copy-pasted or auto-synced into the backend. Add a 'Status' column: PENDING / APPROVED / REJECTED.</w:t>
            </w:r>
          </w:p>
        </w:tc>
      </w:tr>
    </w:tbl>
    <w:p>
      <w:pPr>
        <w:spacing w:before="80"/>
      </w:pPr>
    </w:p>
    <w:p>
      <w:pPr>
        <w:pStyle w:val="Heading3"/>
        <w:spacing w:before="200" w:after="80"/>
      </w:pPr>
      <w:r>
        <w:rPr>
          <w:rFonts w:ascii="Arial" w:cs="Arial" w:eastAsia="Arial" w:hAnsi="Arial"/>
          <w:b/>
          <w:bCs/>
          <w:color w:val="374151"/>
          <w:sz w:val="24"/>
          <w:szCs w:val="24"/>
        </w:rPr>
        <w:t xml:space="preserve">Editorial review — jobs</w:t>
      </w:r>
    </w:p>
    <w:p>
      <w:pPr>
        <w:pStyle w:val="ListParagraph"/>
        <w:numPr>
          <w:ilvl w:val="0"/>
          <w:numId w:val="2"/>
        </w:numPr>
        <w:spacing w:before="40" w:after="40"/>
      </w:pPr>
      <w:r>
        <w:rPr>
          <w:rFonts w:ascii="Arial" w:cs="Arial" w:eastAsia="Arial" w:hAnsi="Arial"/>
          <w:sz w:val="22"/>
          <w:szCs w:val="22"/>
        </w:rPr>
        <w:t xml:space="preserve">Editor receives email notification of new submission.</w:t>
      </w:r>
    </w:p>
    <w:p>
      <w:pPr>
        <w:pStyle w:val="ListParagraph"/>
        <w:numPr>
          <w:ilvl w:val="0"/>
          <w:numId w:val="2"/>
        </w:numPr>
        <w:spacing w:before="40" w:after="40"/>
      </w:pPr>
      <w:r>
        <w:rPr>
          <w:rFonts w:ascii="Arial" w:cs="Arial" w:eastAsia="Arial" w:hAnsi="Arial"/>
          <w:sz w:val="22"/>
          <w:szCs w:val="22"/>
        </w:rPr>
        <w:t xml:space="preserve">Checks: job URL is live and real, company is legitimate, keywords are accurate.</w:t>
      </w:r>
    </w:p>
    <w:p>
      <w:pPr>
        <w:pStyle w:val="ListParagraph"/>
        <w:numPr>
          <w:ilvl w:val="0"/>
          <w:numId w:val="2"/>
        </w:numPr>
        <w:spacing w:before="40" w:after="40"/>
      </w:pPr>
      <w:r>
        <w:rPr>
          <w:rFonts w:ascii="Arial" w:cs="Arial" w:eastAsia="Arial" w:hAnsi="Arial"/>
          <w:sz w:val="22"/>
          <w:szCs w:val="22"/>
        </w:rPr>
        <w:t xml:space="preserve">Marks Status = APPROVED or REJECTED in the Google Sheet.</w:t>
      </w:r>
    </w:p>
    <w:p>
      <w:pPr>
        <w:pStyle w:val="ListParagraph"/>
        <w:numPr>
          <w:ilvl w:val="0"/>
          <w:numId w:val="2"/>
        </w:numPr>
        <w:spacing w:before="40" w:after="40"/>
      </w:pPr>
      <w:r>
        <w:rPr>
          <w:rFonts w:ascii="Arial" w:cs="Arial" w:eastAsia="Arial" w:hAnsi="Arial"/>
          <w:sz w:val="22"/>
          <w:szCs w:val="22"/>
        </w:rPr>
        <w:t xml:space="preserve">Approved jobs are imported into the JobPosting table with status = active.</w:t>
      </w:r>
    </w:p>
    <w:p>
      <w:pPr>
        <w:pStyle w:val="ListParagraph"/>
        <w:numPr>
          <w:ilvl w:val="0"/>
          <w:numId w:val="2"/>
        </w:numPr>
        <w:spacing w:before="40" w:after="40"/>
      </w:pPr>
      <w:r>
        <w:rPr>
          <w:rFonts w:ascii="Arial" w:cs="Arial" w:eastAsia="Arial" w:hAnsi="Arial"/>
          <w:sz w:val="22"/>
          <w:szCs w:val="22"/>
        </w:rPr>
        <w:t xml:space="preserve">Community-submitted jobs include a 'Submitted by community' label on the card to distinguish from auto-ingested roles.</w:t>
      </w:r>
    </w:p>
    <w:p>
      <w:pPr>
        <w:spacing w:before="80"/>
      </w:pPr>
    </w:p>
    <w:p>
      <w:r>
        <w:br w:type="page"/>
      </w:r>
    </w:p>
    <w:p>
      <w:pPr>
        <w:pStyle w:val="Heading1"/>
        <w:spacing w:before="360" w:after="120"/>
      </w:pPr>
      <w:r>
        <w:rPr>
          <w:rFonts w:ascii="Arial" w:cs="Arial" w:eastAsia="Arial" w:hAnsi="Arial"/>
          <w:b/>
          <w:bCs/>
          <w:color w:val="111827"/>
          <w:sz w:val="36"/>
          <w:szCs w:val="36"/>
        </w:rPr>
        <w:t xml:space="preserve">SECTION 3 — SUCCESS METRICS</w:t>
      </w:r>
    </w:p>
    <w:p>
      <w:pPr>
        <w:pBdr>
          <w:bottom w:val="single" w:color="E5E7EB" w:sz="4" w:space="1"/>
        </w:pBdr>
        <w:spacing w:before="120" w:after="120"/>
      </w:pPr>
    </w:p>
    <w:p>
      <w:pPr>
        <w:pStyle w:val="Heading2"/>
        <w:spacing w:before="280" w:after="100"/>
      </w:pPr>
      <w:r>
        <w:rPr>
          <w:rFonts w:ascii="Arial" w:cs="Arial" w:eastAsia="Arial" w:hAnsi="Arial"/>
          <w:b/>
          <w:bCs/>
          <w:color w:val="1F2937"/>
          <w:sz w:val="28"/>
          <w:szCs w:val="28"/>
        </w:rPr>
        <w:t xml:space="preserve">3.1  Learning Hub</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(90-day post-launch)</w:t>
            </w:r>
          </w:p>
        </w:tc>
        <w:tc>
          <w:tcPr>
            <w:tcW w:type="dxa" w:w="3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Resource clicks per session</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&gt; 2 resources/visit</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Analytics: outbound link clicks on /learn</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Stage 1 → Stage 2 progression</w:t>
            </w:r>
          </w:p>
        </w:tc>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&gt; 40% of Stage 1 visitors scroll into Stage 2</w:t>
            </w:r>
          </w:p>
        </w:tc>
        <w:tc>
          <w:tcPr>
            <w:tcW w:type="dxa" w:w="3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Scroll depth tracking</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Quiz completion rate</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&gt; 60% of quiz starters complete it</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Interactive module event tracking</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Playbook completion rate</w:t>
            </w:r>
          </w:p>
        </w:tc>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&gt; 30% of playbook starters complete</w:t>
            </w:r>
          </w:p>
        </w:tc>
        <w:tc>
          <w:tcPr>
            <w:tcW w:type="dxa" w:w="3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Wizard step completion events</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Community resource submissions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&gt; 5 submissions/month by month 2</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Google Sheet row count</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Broken link rate</w:t>
            </w:r>
          </w:p>
        </w:tc>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&lt; 2% of listed resources return 404</w:t>
            </w:r>
          </w:p>
        </w:tc>
        <w:tc>
          <w:tcPr>
            <w:tcW w:type="dxa" w:w="3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Weekly link-check cron job</w:t>
            </w:r>
          </w:p>
        </w:tc>
      </w:tr>
    </w:tbl>
    <w:p>
      <w:pPr>
        <w:spacing w:before="80"/>
      </w:pPr>
    </w:p>
    <w:p>
      <w:pPr>
        <w:pStyle w:val="Heading2"/>
        <w:spacing w:before="280" w:after="100"/>
      </w:pPr>
      <w:r>
        <w:rPr>
          <w:rFonts w:ascii="Arial" w:cs="Arial" w:eastAsia="Arial" w:hAnsi="Arial"/>
          <w:b/>
          <w:bCs/>
          <w:color w:val="1F2937"/>
          <w:sz w:val="28"/>
          <w:szCs w:val="28"/>
        </w:rPr>
        <w:t xml:space="preserve">3.2  Careers Hub</w:t>
      </w: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Target (90-day post-launch)</w:t>
            </w:r>
          </w:p>
        </w:tc>
        <w:tc>
          <w:tcPr>
            <w:tcW w:type="dxa" w:w="38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How to measure</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Active job listings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&gt; 50 live listings at any time</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Job count in active status</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Job card click-through rate</w:t>
            </w:r>
          </w:p>
        </w:tc>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&gt; 25% of card views lead to Apply click</w:t>
            </w:r>
          </w:p>
        </w:tc>
        <w:tc>
          <w:tcPr>
            <w:tcW w:type="dxa" w:w="3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CTR on Apply button</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Job alert subscriptions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&gt; 100 email subscribers by month 3</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Subscriber list count</w:t>
            </w:r>
          </w:p>
        </w:tc>
      </w:tr>
      <w:tr>
        <w:tc>
          <w:tcPr>
            <w:tcW w:type="dxa" w:w="30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Community job submissions</w:t>
            </w:r>
          </w:p>
        </w:tc>
        <w:tc>
          <w:tcPr>
            <w:tcW w:type="dxa" w:w="2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&gt; 3 submissions/month by month 2</w:t>
            </w:r>
          </w:p>
        </w:tc>
        <w:tc>
          <w:tcPr>
            <w:tcW w:type="dxa" w:w="38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Google Sheet row count</w:t>
            </w:r>
          </w:p>
        </w:tc>
      </w:tr>
      <w:tr>
        <w:tc>
          <w:tcPr>
            <w:tcW w:type="dxa" w:w="30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Job freshness</w:t>
            </w:r>
          </w:p>
        </w:tc>
        <w:tc>
          <w:tcPr>
            <w:tcW w:type="dxa" w:w="2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&lt; 10% of listings older than 30 days</w:t>
            </w:r>
          </w:p>
        </w:tc>
        <w:tc>
          <w:tcPr>
            <w:tcW w:type="dxa" w:w="38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Auto-expire check</w:t>
            </w:r>
          </w:p>
        </w:tc>
      </w:tr>
    </w:tbl>
    <w:p>
      <w:pPr>
        <w:spacing w:before="80"/>
      </w:pPr>
    </w:p>
    <w:p>
      <w:pPr>
        <w:pStyle w:val="Heading1"/>
        <w:spacing w:before="360" w:after="120"/>
      </w:pPr>
      <w:r>
        <w:rPr>
          <w:rFonts w:ascii="Arial" w:cs="Arial" w:eastAsia="Arial" w:hAnsi="Arial"/>
          <w:b/>
          <w:bCs/>
          <w:color w:val="111827"/>
          <w:sz w:val="36"/>
          <w:szCs w:val="36"/>
        </w:rPr>
        <w:t xml:space="preserve">SECTION 4 — OPEN QUESTIONS FOR ANTIGRAVITY</w:t>
      </w:r>
    </w:p>
    <w:p>
      <w:pPr>
        <w:pBdr>
          <w:bottom w:val="single" w:color="E5E7EB" w:sz="4" w:space="1"/>
        </w:pBdr>
        <w:spacing w:before="120" w:after="120"/>
      </w:pPr>
    </w:p>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5560"/>
        <w:gridCol w:w="1600"/>
        <w:gridCol w:w="1700"/>
      </w:tblGrid>
      <w:tr>
        <w:trPr>
          <w:tblHeader/>
        </w:trPr>
        <w:tc>
          <w:tcPr>
            <w:tcW w:type="dxa" w:w="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556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16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7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Which job board APIs require paid plans vs. free tiers? Recommend starting with 2–3 free/RSS sources to validate demand before paying.</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Engineering</w:t>
            </w:r>
          </w:p>
        </w:tc>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2</w:t>
            </w:r>
          </w:p>
        </w:tc>
        <w:tc>
          <w:tcPr>
            <w:tcW w:type="dxa" w:w="5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Should the learning resource submission form be embedded as an iframe on /learn, or link to Google Forms in a new tab? Iframe is better UX; new tab is faster to build.</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Product / Eng</w:t>
            </w:r>
          </w:p>
        </w:tc>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For the quiz module in Stage 3 — is there an existing quiz component in the codebase or should we build from scratch / use a third-party library?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Engineering</w:t>
            </w:r>
          </w:p>
        </w:tc>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4</w:t>
            </w:r>
          </w:p>
        </w:tc>
        <w:tc>
          <w:tcPr>
            <w:tcW w:type="dxa" w:w="5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Who maintains the curated resources list? Define an editorial owner and quarterly review cadence.</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Product / Content</w:t>
            </w:r>
          </w:p>
        </w:tc>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Job ingestion cron: what hosting environment will run the scheduled job (Vercel cron, GitHub Actions, dedicated server)?</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Engineering</w:t>
            </w:r>
          </w:p>
        </w:tc>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High</w:t>
            </w:r>
          </w:p>
        </w:tc>
      </w:tr>
      <w:tr>
        <w:tc>
          <w:tcPr>
            <w:tcW w:type="dxa" w:w="5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6</w:t>
            </w:r>
          </w:p>
        </w:tc>
        <w:tc>
          <w:tcPr>
            <w:tcW w:type="dxa" w:w="556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For job deduplication across sources, confirm the hash strategy: title + company + location is proposed. Is this sufficient?</w:t>
            </w:r>
          </w:p>
        </w:tc>
        <w:tc>
          <w:tcPr>
            <w:tcW w:type="dxa" w:w="16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Engineering</w:t>
            </w:r>
          </w:p>
        </w:tc>
        <w:tc>
          <w:tcPr>
            <w:tcW w:type="dxa" w:w="1700"/>
            <w:tcBorders>
              <w:top w:val="single" w:color="D1D5DB" w:sz="1"/>
              <w:left w:val="single" w:color="D1D5DB" w:sz="1"/>
              <w:bottom w:val="single" w:color="D1D5DB" w:sz="1"/>
              <w:right w:val="single" w:color="D1D5DB" w:sz="1"/>
            </w:tcBorders>
            <w:shd w:fill="F9FAFB" w:val="clear"/>
            <w:tcMar>
              <w:top w:type="dxa" w:w="60"/>
              <w:left w:type="dxa" w:w="120"/>
              <w:bottom w:type="dxa" w:w="60"/>
              <w:right w:type="dxa" w:w="120"/>
            </w:tcMar>
          </w:tcPr>
          <w:p>
            <w:r>
              <w:rPr>
                <w:rFonts w:ascii="Arial" w:cs="Arial" w:eastAsia="Arial" w:hAnsi="Arial"/>
                <w:sz w:val="20"/>
                <w:szCs w:val="20"/>
              </w:rPr>
              <w:t xml:space="preserve">Medium</w:t>
            </w:r>
          </w:p>
        </w:tc>
      </w:tr>
      <w:tr>
        <w:tc>
          <w:tcPr>
            <w:tcW w:type="dxa" w:w="5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556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Should learning resources have a user-facing rating or 'was this helpful?' signal? This could feed curation but adds complexity.</w:t>
            </w:r>
          </w:p>
        </w:tc>
        <w:tc>
          <w:tcPr>
            <w:tcW w:type="dxa" w:w="16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Product</w:t>
            </w:r>
          </w:p>
        </w:tc>
        <w:tc>
          <w:tcPr>
            <w:tcW w:type="dxa" w:w="1700"/>
            <w:tcBorders>
              <w:top w:val="single" w:color="D1D5DB" w:sz="1"/>
              <w:left w:val="single" w:color="D1D5DB" w:sz="1"/>
              <w:bottom w:val="single" w:color="D1D5DB" w:sz="1"/>
              <w:right w:val="single" w:color="D1D5DB" w:sz="1"/>
            </w:tcBorders>
            <w:shd w:fill="FFFFFF" w:val="clear"/>
            <w:tcMar>
              <w:top w:type="dxa" w:w="60"/>
              <w:left w:type="dxa" w:w="120"/>
              <w:bottom w:type="dxa" w:w="60"/>
              <w:right w:type="dxa" w:w="120"/>
            </w:tcMar>
          </w:tcPr>
          <w:p>
            <w:r>
              <w:rPr>
                <w:rFonts w:ascii="Arial" w:cs="Arial" w:eastAsia="Arial" w:hAnsi="Arial"/>
                <w:sz w:val="20"/>
                <w:szCs w:val="20"/>
              </w:rPr>
              <w:t xml:space="preserve">Low</w:t>
            </w:r>
          </w:p>
        </w:tc>
      </w:tr>
    </w:tbl>
    <w:p>
      <w:pPr>
        <w:spacing w:before="8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900" w:hanging="30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11827"/>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F2937"/>
      <w:sz w:val="30"/>
      <w:szCs w:val="30"/>
    </w:rPr>
  </w:style>
  <w:style w:type="paragraph" w:styleId="Heading3">
    <w:name w:val="Heading 3"/>
    <w:basedOn w:val="Normal"/>
    <w:next w:val="Normal"/>
    <w:qFormat/>
    <w:pPr>
      <w:spacing w:before="200" w:after="8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2026-02-22T05:32:26.228Z</dcterms:created>
  <dcterms:modified xsi:type="dcterms:W3CDTF">2026-02-22T05:32:26.228Z</dcterms:modified>
</cp:coreProperties>
</file>

<file path=docProps/custom.xml><?xml version="1.0" encoding="utf-8"?>
<Properties xmlns="http://schemas.openxmlformats.org/officeDocument/2006/custom-properties" xmlns:vt="http://schemas.openxmlformats.org/officeDocument/2006/docPropsVTypes"/>
</file>