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jc w:val="center"/>
      </w:pPr>
      <w:r>
        <w:rPr>
          <w:rFonts w:ascii="Arial" w:cs="Arial" w:eastAsia="Arial" w:hAnsi="Arial"/>
          <w:b/>
          <w:bCs/>
          <w:color w:val="1A56DB"/>
          <w:sz w:val="56"/>
          <w:szCs w:val="56"/>
        </w:rPr>
        <w:t xml:space="preserve">STABLECOIN ATLAS</w:t>
      </w:r>
    </w:p>
    <w:p>
      <w:pPr>
        <w:spacing w:before="60" w:after="40"/>
        <w:jc w:val="center"/>
      </w:pPr>
      <w:r>
        <w:rPr>
          <w:rFonts w:ascii="Arial" w:cs="Arial" w:eastAsia="Arial" w:hAnsi="Arial"/>
          <w:b/>
          <w:bCs/>
          <w:color w:val="111827"/>
          <w:sz w:val="30"/>
          <w:szCs w:val="30"/>
        </w:rPr>
        <w:t xml:space="preserve">Mini PRD: Newsletter Subscription Feature</w:t>
      </w:r>
    </w:p>
    <w:p>
      <w:pPr>
        <w:spacing w:before="0" w:after="80"/>
        <w:jc w:val="center"/>
      </w:pPr>
      <w:r>
        <w:rPr>
          <w:rFonts w:ascii="Arial" w:cs="Arial" w:eastAsia="Arial" w:hAnsi="Arial"/>
          <w:i/>
          <w:iCs/>
          <w:color w:val="6B7280"/>
          <w:sz w:val="20"/>
          <w:szCs w:val="20"/>
        </w:rPr>
        <w:t xml:space="preserve">For Antigravity  ·  v1.1 (Revised)  ·  March 2026</w:t>
      </w:r>
    </w:p>
    <w:p>
      <w:pPr>
        <w:spacing w:before="0" w:after="400"/>
        <w:jc w:val="center"/>
      </w:pPr>
      <w:r>
        <w:rPr>
          <w:rFonts w:ascii="Arial" w:cs="Arial" w:eastAsia="Arial" w:hAnsi="Arial"/>
          <w:i/>
          <w:iCs/>
          <w:color w:val="92400E"/>
          <w:sz w:val="19"/>
          <w:szCs w:val="19"/>
        </w:rPr>
        <w:t xml:space="preserve">Revision note: Section 5 fully rewritten with accurate, fact-checked email copy.</w:t>
      </w:r>
    </w:p>
    <w:p>
      <w:pPr>
        <w:pBdr>
          <w:bottom w:val="single" w:color="E5E7EB" w:sz="4" w:space="1"/>
        </w:pBdr>
        <w:spacing w:before="120" w:after="120"/>
      </w:pPr>
    </w:p>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1A56DB" w:sz="16"/>
              <w:bottom w:val="none" w:color="FFFFFF" w:sz="0"/>
              <w:right w:val="none" w:color="FFFFFF" w:sz="0"/>
            </w:tcBorders>
            <w:shd w:fill="EFF6FF" w:val="clear"/>
            <w:tcMar>
              <w:top w:type="dxa" w:w="80"/>
              <w:left w:type="dxa" w:w="140"/>
              <w:bottom w:type="dxa" w:w="80"/>
              <w:right w:type="dxa" w:w="100"/>
            </w:tcMar>
          </w:tcPr>
          <w:p>
            <w:pPr>
              <w:spacing w:before="0" w:after="0"/>
            </w:pPr>
            <w:r>
              <w:rPr>
                <w:rFonts w:ascii="Arial" w:cs="Arial" w:eastAsia="Arial" w:hAnsi="Arial"/>
                <w:i/>
                <w:iCs/>
                <w:color w:val="374151"/>
                <w:sz w:val="20"/>
                <w:szCs w:val="20"/>
              </w:rPr>
              <w:t xml:space="preserve">This PRD covers all four subscription entry points, Beehiiv API integration, and the 4-email automated welcome sequence. Section 5 contains the complete, production-ready email copy — written in first-person, fact-checked as of March 2026, and modelled on the weekly digest editions created for Stablecoin Atlas. The React component code (NewsletterWidget.jsx) is referenced throughout.</w:t>
            </w:r>
          </w:p>
        </w:tc>
      </w:tr>
    </w:tbl>
    <w:p>
      <w:r>
        <w:br w:type="page"/>
      </w:r>
    </w:p>
    <w:p>
      <w:pPr>
        <w:pStyle w:val="Heading1"/>
        <w:spacing w:before="360" w:after="100"/>
      </w:pPr>
      <w:r>
        <w:rPr>
          <w:rFonts w:ascii="Arial" w:cs="Arial" w:eastAsia="Arial" w:hAnsi="Arial"/>
          <w:b/>
          <w:bCs/>
          <w:color w:val="111827"/>
          <w:sz w:val="40"/>
          <w:szCs w:val="40"/>
        </w:rPr>
        <w:t xml:space="preserve">1. Overview</w:t>
      </w:r>
    </w:p>
    <w:p>
      <w:pPr>
        <w:pBdr>
          <w:bottom w:val="single" w:color="E5E7EB" w:sz="4" w:space="1"/>
        </w:pBdr>
        <w:spacing w:before="120" w:after="120"/>
      </w:pPr>
    </w:p>
    <w:p>
      <w:pPr>
        <w:pStyle w:val="Heading2"/>
        <w:spacing w:before="260" w:after="80"/>
      </w:pPr>
      <w:r>
        <w:rPr>
          <w:rFonts w:ascii="Arial" w:cs="Arial" w:eastAsia="Arial" w:hAnsi="Arial"/>
          <w:b/>
          <w:bCs/>
          <w:color w:val="111827"/>
          <w:sz w:val="28"/>
          <w:szCs w:val="28"/>
        </w:rPr>
        <w:t xml:space="preserve">1.1  What we're building</w:t>
      </w:r>
    </w:p>
    <w:p>
      <w:pPr>
        <w:spacing w:before="50" w:after="50"/>
      </w:pPr>
      <w:r>
        <w:rPr>
          <w:rFonts w:ascii="Arial" w:cs="Arial" w:eastAsia="Arial" w:hAnsi="Arial"/>
          <w:color w:val="374151"/>
          <w:sz w:val="22"/>
          <w:szCs w:val="22"/>
        </w:rPr>
        <w:t xml:space="preserve">A newsletter subscription system embedded across stablecoinatlas.app. Visitors subscribe to a free weekly digest — the Stablecoin Atlas Weekly — directly from the site. The system captures email addresses, passes them to Beehiiv, and triggers a 4-email evergreen welcome sequence before subscribers join the live Sunday broadcast.</w:t>
      </w:r>
    </w:p>
    <w:p>
      <w:pPr>
        <w:spacing w:before="80" w:after="0"/>
      </w:pPr>
    </w:p>
    <w:p>
      <w:pPr>
        <w:pStyle w:val="Heading2"/>
        <w:spacing w:before="260" w:after="80"/>
      </w:pPr>
      <w:r>
        <w:rPr>
          <w:rFonts w:ascii="Arial" w:cs="Arial" w:eastAsia="Arial" w:hAnsi="Arial"/>
          <w:b/>
          <w:bCs/>
          <w:color w:val="111827"/>
          <w:sz w:val="28"/>
          <w:szCs w:val="28"/>
        </w:rPr>
        <w:t xml:space="preserve">1.2  Goals</w:t>
      </w:r>
    </w:p>
    <w:p>
      <w:pPr>
        <w:spacing w:before="160" w:after="36"/>
      </w:pPr>
      <w:r>
        <w:rPr>
          <w:rFonts w:ascii="Arial" w:cs="Arial" w:eastAsia="Arial" w:hAnsi="Arial"/>
          <w:b/>
          <w:bCs/>
          <w:color w:val="1A56DB"/>
          <w:spacing w:val="20"/>
          <w:sz w:val="17"/>
          <w:szCs w:val="17"/>
        </w:rPr>
        <w:t xml:space="preserve">MUST ACHIEVE</w:t>
      </w:r>
    </w:p>
    <w:p>
      <w:pPr>
        <w:pStyle w:val="ListParagraph"/>
        <w:numPr>
          <w:ilvl w:val="0"/>
          <w:numId w:val="2"/>
        </w:numPr>
        <w:spacing w:before="36" w:after="36"/>
      </w:pPr>
      <w:r>
        <w:rPr>
          <w:rFonts w:ascii="Arial" w:cs="Arial" w:eastAsia="Arial" w:hAnsi="Arial"/>
          <w:color w:val="374151"/>
          <w:sz w:val="22"/>
          <w:szCs w:val="22"/>
        </w:rPr>
        <w:t xml:space="preserve">Any visitor on any page can subscribe in under 30 seconds.</w:t>
      </w:r>
    </w:p>
    <w:p>
      <w:pPr>
        <w:pStyle w:val="ListParagraph"/>
        <w:numPr>
          <w:ilvl w:val="0"/>
          <w:numId w:val="2"/>
        </w:numPr>
        <w:spacing w:before="36" w:after="36"/>
      </w:pPr>
      <w:r>
        <w:rPr>
          <w:rFonts w:ascii="Arial" w:cs="Arial" w:eastAsia="Arial" w:hAnsi="Arial"/>
          <w:color w:val="374151"/>
          <w:sz w:val="22"/>
          <w:szCs w:val="22"/>
        </w:rPr>
        <w:t xml:space="preserve">Subscription is captured in Beehiiv with correct source tagging (which page/widget they used).</w:t>
      </w:r>
    </w:p>
    <w:p>
      <w:pPr>
        <w:pStyle w:val="ListParagraph"/>
        <w:numPr>
          <w:ilvl w:val="0"/>
          <w:numId w:val="2"/>
        </w:numPr>
        <w:spacing w:before="36" w:after="36"/>
      </w:pPr>
      <w:r>
        <w:rPr>
          <w:rFonts w:ascii="Arial" w:cs="Arial" w:eastAsia="Arial" w:hAnsi="Arial"/>
          <w:color w:val="374151"/>
          <w:sz w:val="22"/>
          <w:szCs w:val="22"/>
        </w:rPr>
        <w:t xml:space="preserve">New subscriber automatically receives the 4-email welcome sequence starting immediately.</w:t>
      </w:r>
    </w:p>
    <w:p>
      <w:pPr>
        <w:pStyle w:val="ListParagraph"/>
        <w:numPr>
          <w:ilvl w:val="0"/>
          <w:numId w:val="2"/>
        </w:numPr>
        <w:spacing w:before="36" w:after="36"/>
      </w:pPr>
      <w:r>
        <w:rPr>
          <w:rFonts w:ascii="Arial" w:cs="Arial" w:eastAsia="Arial" w:hAnsi="Arial"/>
          <w:color w:val="374151"/>
          <w:sz w:val="22"/>
          <w:szCs w:val="22"/>
        </w:rPr>
        <w:t xml:space="preserve">After the welcome sequence ends, subscriber joins the live weekly digest every Sunday.</w:t>
      </w:r>
    </w:p>
    <w:p>
      <w:pPr>
        <w:spacing w:before="160" w:after="36"/>
      </w:pPr>
      <w:r>
        <w:rPr>
          <w:rFonts w:ascii="Arial" w:cs="Arial" w:eastAsia="Arial" w:hAnsi="Arial"/>
          <w:b/>
          <w:bCs/>
          <w:color w:val="1A56DB"/>
          <w:spacing w:val="20"/>
          <w:sz w:val="17"/>
          <w:szCs w:val="17"/>
        </w:rPr>
        <w:t xml:space="preserve">NON-GOALS</w:t>
      </w:r>
    </w:p>
    <w:p>
      <w:pPr>
        <w:pStyle w:val="ListParagraph"/>
        <w:numPr>
          <w:ilvl w:val="0"/>
          <w:numId w:val="2"/>
        </w:numPr>
        <w:spacing w:before="36" w:after="36"/>
      </w:pPr>
      <w:r>
        <w:rPr>
          <w:rFonts w:ascii="Arial" w:cs="Arial" w:eastAsia="Arial" w:hAnsi="Arial"/>
          <w:color w:val="374151"/>
          <w:sz w:val="22"/>
          <w:szCs w:val="22"/>
        </w:rPr>
        <w:t xml:space="preserve">No paid tiers, paywalled content, or subscriber segmentation in MVP.</w:t>
      </w:r>
    </w:p>
    <w:p>
      <w:pPr>
        <w:pStyle w:val="ListParagraph"/>
        <w:numPr>
          <w:ilvl w:val="0"/>
          <w:numId w:val="2"/>
        </w:numPr>
        <w:spacing w:before="36" w:after="36"/>
      </w:pPr>
      <w:r>
        <w:rPr>
          <w:rFonts w:ascii="Arial" w:cs="Arial" w:eastAsia="Arial" w:hAnsi="Arial"/>
          <w:color w:val="374151"/>
          <w:sz w:val="22"/>
          <w:szCs w:val="22"/>
        </w:rPr>
        <w:t xml:space="preserve">No custom email sending infrastructure — Beehiiv handles all delivery.</w:t>
      </w:r>
    </w:p>
    <w:p>
      <w:r>
        <w:br w:type="page"/>
      </w:r>
    </w:p>
    <w:p>
      <w:pPr>
        <w:pStyle w:val="Heading1"/>
        <w:spacing w:before="360" w:after="100"/>
      </w:pPr>
      <w:r>
        <w:rPr>
          <w:rFonts w:ascii="Arial" w:cs="Arial" w:eastAsia="Arial" w:hAnsi="Arial"/>
          <w:b/>
          <w:bCs/>
          <w:color w:val="111827"/>
          <w:sz w:val="40"/>
          <w:szCs w:val="40"/>
        </w:rPr>
        <w:t xml:space="preserve">2. Newsletter Architecture</w:t>
      </w:r>
    </w:p>
    <w:p>
      <w:pPr>
        <w:pBdr>
          <w:bottom w:val="single" w:color="E5E7EB" w:sz="4" w:space="1"/>
        </w:pBdr>
        <w:spacing w:before="120" w:after="120"/>
      </w:pPr>
    </w:p>
    <w:p>
      <w:pPr>
        <w:spacing w:before="50" w:after="50"/>
      </w:pPr>
      <w:r>
        <w:rPr>
          <w:rFonts w:ascii="Arial" w:cs="Arial" w:eastAsia="Arial" w:hAnsi="Arial"/>
          <w:color w:val="374151"/>
          <w:sz w:val="22"/>
          <w:szCs w:val="22"/>
        </w:rPr>
        <w:t xml:space="preserve">Two parallel tracks. Every subscriber goes through both in sequence.</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800"/>
        <w:gridCol w:w="1600"/>
      </w:tblGrid>
      <w:tr>
        <w:trPr>
          <w:tblHeader/>
        </w:trPr>
        <w:tc>
          <w:tcPr>
            <w:tcW w:type="dxa" w:w="12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Track</w:t>
            </w:r>
          </w:p>
        </w:tc>
        <w:tc>
          <w:tcPr>
            <w:tcW w:type="dxa" w:w="16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20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Trigger</w:t>
            </w:r>
          </w:p>
        </w:tc>
        <w:tc>
          <w:tcPr>
            <w:tcW w:type="dxa" w:w="28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Content</w:t>
            </w:r>
          </w:p>
        </w:tc>
        <w:tc>
          <w:tcPr>
            <w:tcW w:type="dxa" w:w="16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Timing</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Track 1</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Welcome sequence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Immediately on subscribe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4 evergreen emails — timeless educational content, never stale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Days 0, 3, 7, 14</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Track 2</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Weekly digest</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After welcome sequence ends</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Live broadcast — same email to all subscribers every Sunday</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Every Sunday, indefinitely</w:t>
            </w:r>
          </w:p>
        </w:tc>
      </w:tr>
    </w:tbl>
    <w:p>
      <w:pPr>
        <w:spacing w:before="6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1A56DB" w:sz="16"/>
              <w:bottom w:val="none" w:color="FFFFFF" w:sz="0"/>
              <w:right w:val="none" w:color="FFFFFF" w:sz="0"/>
            </w:tcBorders>
            <w:shd w:fill="EFF6FF" w:val="clear"/>
            <w:tcMar>
              <w:top w:type="dxa" w:w="80"/>
              <w:left w:type="dxa" w:w="140"/>
              <w:bottom w:type="dxa" w:w="80"/>
              <w:right w:type="dxa" w:w="100"/>
            </w:tcMar>
          </w:tcPr>
          <w:p>
            <w:pPr>
              <w:spacing w:before="0" w:after="0"/>
            </w:pPr>
            <w:r>
              <w:rPr>
                <w:rFonts w:ascii="Arial" w:cs="Arial" w:eastAsia="Arial" w:hAnsi="Arial"/>
                <w:i/>
                <w:iCs/>
                <w:color w:val="374151"/>
                <w:sz w:val="20"/>
                <w:szCs w:val="20"/>
              </w:rPr>
              <w:t xml:space="preserve">New subscribers do NOT receive back-issues of the weekly digest. They are onboarded via the evergreen welcome sequence, then join the live broadcast from the current week onwards. All past digest issues remain publicly accessible as archived pages on Beehiiv — indexed by Google, building SEO over time.</w:t>
            </w:r>
          </w:p>
        </w:tc>
      </w:tr>
    </w:tbl>
    <w:p>
      <w:pPr>
        <w:spacing w:before="80" w:after="0"/>
      </w:pPr>
    </w:p>
    <w:p>
      <w:pPr>
        <w:pStyle w:val="Heading2"/>
        <w:spacing w:before="260" w:after="80"/>
      </w:pPr>
      <w:r>
        <w:rPr>
          <w:rFonts w:ascii="Arial" w:cs="Arial" w:eastAsia="Arial" w:hAnsi="Arial"/>
          <w:b/>
          <w:bCs/>
          <w:color w:val="111827"/>
          <w:sz w:val="28"/>
          <w:szCs w:val="28"/>
        </w:rPr>
        <w:t xml:space="preserve">2.1  Beehiiv one-time setup</w:t>
      </w:r>
    </w:p>
    <w:p>
      <w:pPr>
        <w:pStyle w:val="ListParagraph"/>
        <w:numPr>
          <w:ilvl w:val="0"/>
          <w:numId w:val="3"/>
        </w:numPr>
        <w:spacing w:before="40" w:after="40"/>
      </w:pPr>
      <w:r>
        <w:rPr>
          <w:rFonts w:ascii="Arial" w:cs="Arial" w:eastAsia="Arial" w:hAnsi="Arial"/>
          <w:color w:val="374151"/>
          <w:sz w:val="22"/>
          <w:szCs w:val="22"/>
        </w:rPr>
        <w:t xml:space="preserve">Create Beehiiv account → publication name: 'Stablecoin Atlas Weekly'.</w:t>
      </w:r>
    </w:p>
    <w:p>
      <w:pPr>
        <w:pStyle w:val="ListParagraph"/>
        <w:numPr>
          <w:ilvl w:val="0"/>
          <w:numId w:val="3"/>
        </w:numPr>
        <w:spacing w:before="40" w:after="40"/>
      </w:pPr>
      <w:r>
        <w:rPr>
          <w:rFonts w:ascii="Arial" w:cs="Arial" w:eastAsia="Arial" w:hAnsi="Arial"/>
          <w:color w:val="374151"/>
          <w:sz w:val="22"/>
          <w:szCs w:val="22"/>
        </w:rPr>
        <w:t xml:space="preserve">Configure custom subdomain: newsletter.stablecoinatlas.app.</w:t>
      </w:r>
    </w:p>
    <w:p>
      <w:pPr>
        <w:pStyle w:val="ListParagraph"/>
        <w:numPr>
          <w:ilvl w:val="0"/>
          <w:numId w:val="3"/>
        </w:numPr>
        <w:spacing w:before="40" w:after="40"/>
      </w:pPr>
      <w:r>
        <w:rPr>
          <w:rFonts w:ascii="Arial" w:cs="Arial" w:eastAsia="Arial" w:hAnsi="Arial"/>
          <w:color w:val="374151"/>
          <w:sz w:val="22"/>
          <w:szCs w:val="22"/>
        </w:rPr>
        <w:t xml:space="preserve">Get API key: Settings → API → store as BEEHIIV_API_KEY (server-side env var only).</w:t>
      </w:r>
    </w:p>
    <w:p>
      <w:pPr>
        <w:pStyle w:val="ListParagraph"/>
        <w:numPr>
          <w:ilvl w:val="0"/>
          <w:numId w:val="3"/>
        </w:numPr>
        <w:spacing w:before="40" w:after="40"/>
      </w:pPr>
      <w:r>
        <w:rPr>
          <w:rFonts w:ascii="Arial" w:cs="Arial" w:eastAsia="Arial" w:hAnsi="Arial"/>
          <w:color w:val="374151"/>
          <w:sz w:val="22"/>
          <w:szCs w:val="22"/>
        </w:rPr>
        <w:t xml:space="preserve">Get Publication ID: Settings → General → store as BEEHIIV_PUBLICATION_ID.</w:t>
      </w:r>
    </w:p>
    <w:p>
      <w:pPr>
        <w:pStyle w:val="ListParagraph"/>
        <w:numPr>
          <w:ilvl w:val="0"/>
          <w:numId w:val="3"/>
        </w:numPr>
        <w:spacing w:before="40" w:after="40"/>
      </w:pPr>
      <w:r>
        <w:rPr>
          <w:rFonts w:ascii="Arial" w:cs="Arial" w:eastAsia="Arial" w:hAnsi="Arial"/>
          <w:color w:val="374151"/>
          <w:sz w:val="22"/>
          <w:szCs w:val="22"/>
        </w:rPr>
        <w:t xml:space="preserve">Build 4-email automation: Automations → New Automation → Trigger: 'User Subscribes' → add 4 email steps with delays.</w:t>
      </w:r>
    </w:p>
    <w:p>
      <w:pPr>
        <w:pStyle w:val="ListParagraph"/>
        <w:numPr>
          <w:ilvl w:val="0"/>
          <w:numId w:val="3"/>
        </w:numPr>
        <w:spacing w:before="40" w:after="40"/>
      </w:pPr>
      <w:r>
        <w:rPr>
          <w:rFonts w:ascii="Arial" w:cs="Arial" w:eastAsia="Arial" w:hAnsi="Arial"/>
          <w:color w:val="374151"/>
          <w:sz w:val="22"/>
          <w:szCs w:val="22"/>
        </w:rPr>
        <w:t xml:space="preserve">Set weekly digest send: Sunday 9:00 AM SGT (01:00 UTC).</w:t>
      </w:r>
    </w:p>
    <w:p>
      <w:r>
        <w:br w:type="page"/>
      </w:r>
    </w:p>
    <w:p>
      <w:pPr>
        <w:pStyle w:val="Heading1"/>
        <w:spacing w:before="360" w:after="100"/>
      </w:pPr>
      <w:r>
        <w:rPr>
          <w:rFonts w:ascii="Arial" w:cs="Arial" w:eastAsia="Arial" w:hAnsi="Arial"/>
          <w:b/>
          <w:bCs/>
          <w:color w:val="111827"/>
          <w:sz w:val="40"/>
          <w:szCs w:val="40"/>
        </w:rPr>
        <w:t xml:space="preserve">3. Subscription Entry Points</w:t>
      </w:r>
    </w:p>
    <w:p>
      <w:pPr>
        <w:pBdr>
          <w:bottom w:val="single" w:color="E5E7EB" w:sz="4" w:space="1"/>
        </w:pBdr>
        <w:spacing w:before="120"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1800"/>
        <w:gridCol w:w="1400"/>
      </w:tblGrid>
      <w:tr>
        <w:trPr>
          <w:tblHeader/>
        </w:trPr>
        <w:tc>
          <w:tcPr>
            <w:tcW w:type="dxa" w:w="1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Widget</w:t>
            </w:r>
          </w:p>
        </w:tc>
        <w:tc>
          <w:tcPr>
            <w:tcW w:type="dxa" w:w="20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Component</w:t>
            </w:r>
          </w:p>
        </w:tc>
        <w:tc>
          <w:tcPr>
            <w:tcW w:type="dxa" w:w="26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Placement</w:t>
            </w:r>
          </w:p>
        </w:tc>
        <w:tc>
          <w:tcPr>
            <w:tcW w:type="dxa" w:w="18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Source tag</w:t>
            </w:r>
          </w:p>
        </w:tc>
        <w:tc>
          <w:tcPr>
            <w:tcW w:type="dxa" w:w="1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Trigger</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Inline section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&lt;InlineSubscribe /&gt;</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Homepage (below dashboard), bottom of every blog/learn post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inline_homepage / inline_blog</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Always visible</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Sticky bar</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&lt;StickySubscribeBar /&gt;</w:t>
            </w:r>
          </w:p>
        </w:tc>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Global — all pages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sticky_bar</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After 35% scroll depth</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Modal popup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&lt;SubscribeModal /&gt;</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Triggered from nav 'Subscribe' link</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modal_nav</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On button click</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Footer field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&lt;FooterSubscribe /&gt;</w:t>
            </w:r>
          </w:p>
        </w:tc>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Site-wide footer</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footer</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Always visible</w:t>
            </w:r>
          </w:p>
        </w:tc>
      </w:tr>
    </w:tbl>
    <w:p>
      <w:pPr>
        <w:spacing w:before="6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065F46" w:sz="16"/>
              <w:bottom w:val="none" w:color="FFFFFF" w:sz="0"/>
              <w:right w:val="none" w:color="FFFFFF" w:sz="0"/>
            </w:tcBorders>
            <w:shd w:fill="F0FDF4" w:val="clear"/>
            <w:tcMar>
              <w:top w:type="dxa" w:w="80"/>
              <w:left w:type="dxa" w:w="140"/>
              <w:bottom w:type="dxa" w:w="80"/>
              <w:right w:type="dxa" w:w="100"/>
            </w:tcMar>
          </w:tcPr>
          <w:p>
            <w:pPr>
              <w:spacing w:before="0" w:after="0"/>
            </w:pPr>
            <w:r>
              <w:rPr>
                <w:rFonts w:ascii="Arial" w:cs="Arial" w:eastAsia="Arial" w:hAnsi="Arial"/>
                <w:i/>
                <w:iCs/>
                <w:color w:val="374151"/>
                <w:sz w:val="20"/>
                <w:szCs w:val="20"/>
              </w:rPr>
              <w:t xml:space="preserve">NewsletterWidget.jsx containing InlineSubscribe, StickySubscribeBar, and SubscribeModal is already built. FooterSubscribe is a simplified single-line version of the same pattern.</w:t>
            </w:r>
          </w:p>
        </w:tc>
      </w:tr>
    </w:tbl>
    <w:p>
      <w:r>
        <w:br w:type="page"/>
      </w:r>
    </w:p>
    <w:p>
      <w:pPr>
        <w:pStyle w:val="Heading1"/>
        <w:spacing w:before="360" w:after="100"/>
      </w:pPr>
      <w:r>
        <w:rPr>
          <w:rFonts w:ascii="Arial" w:cs="Arial" w:eastAsia="Arial" w:hAnsi="Arial"/>
          <w:b/>
          <w:bCs/>
          <w:color w:val="111827"/>
          <w:sz w:val="40"/>
          <w:szCs w:val="40"/>
        </w:rPr>
        <w:t xml:space="preserve">4. API Integration</w:t>
      </w:r>
    </w:p>
    <w:p>
      <w:pPr>
        <w:pBdr>
          <w:bottom w:val="single" w:color="E5E7EB" w:sz="4" w:space="1"/>
        </w:pBdr>
        <w:spacing w:before="120" w:after="120"/>
      </w:pPr>
    </w:p>
    <w:p>
      <w:pPr>
        <w:pStyle w:val="Heading2"/>
        <w:spacing w:before="260" w:after="80"/>
      </w:pPr>
      <w:r>
        <w:rPr>
          <w:rFonts w:ascii="Arial" w:cs="Arial" w:eastAsia="Arial" w:hAnsi="Arial"/>
          <w:b/>
          <w:bCs/>
          <w:color w:val="111827"/>
          <w:sz w:val="28"/>
          <w:szCs w:val="28"/>
        </w:rPr>
        <w:t xml:space="preserve">4.1  Subscription call</w:t>
      </w:r>
    </w:p>
    <w:p>
      <w:pPr>
        <w:spacing w:before="50" w:after="50"/>
      </w:pPr>
      <w:r>
        <w:rPr>
          <w:rFonts w:ascii="Arial" w:cs="Arial" w:eastAsia="Arial" w:hAnsi="Arial"/>
          <w:color w:val="374151"/>
          <w:sz w:val="22"/>
          <w:szCs w:val="22"/>
        </w:rPr>
        <w:t xml:space="preserve">All widgets call a single internal API route which proxies to Beehiiv server-side.</w:t>
      </w:r>
    </w:p>
    <w:p>
      <w:pPr>
        <w:spacing w:before="4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9CA3AF" w:sz="16"/>
              <w:bottom w:val="none" w:color="FFFFFF" w:sz="0"/>
              <w:right w:val="none" w:color="FFFFFF" w:sz="0"/>
            </w:tcBorders>
            <w:shd w:fill="F9FAFB" w:val="clear"/>
            <w:tcMar>
              <w:top w:type="dxa" w:w="80"/>
              <w:left w:type="dxa" w:w="140"/>
              <w:bottom w:type="dxa" w:w="80"/>
              <w:right w:type="dxa" w:w="100"/>
            </w:tcMar>
          </w:tcPr>
          <w:p>
            <w:pPr>
              <w:spacing w:before="0" w:after="0"/>
            </w:pPr>
            <w:r>
              <w:rPr>
                <w:rFonts w:ascii="Arial" w:cs="Arial" w:eastAsia="Arial" w:hAnsi="Arial"/>
                <w:i/>
                <w:iCs/>
                <w:color w:val="374151"/>
                <w:sz w:val="20"/>
                <w:szCs w:val="20"/>
              </w:rPr>
              <w:t xml:space="preserve">POST /api/subscribe
Body: { email: string, source: string }
Returns: { success: boolean, message: string }</w:t>
            </w:r>
          </w:p>
        </w:tc>
      </w:tr>
    </w:tbl>
    <w:p>
      <w:pPr>
        <w:spacing w:before="4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9CA3AF" w:sz="16"/>
              <w:bottom w:val="none" w:color="FFFFFF" w:sz="0"/>
              <w:right w:val="none" w:color="FFFFFF" w:sz="0"/>
            </w:tcBorders>
            <w:shd w:fill="F9FAFB" w:val="clear"/>
            <w:tcMar>
              <w:top w:type="dxa" w:w="80"/>
              <w:left w:type="dxa" w:w="140"/>
              <w:bottom w:type="dxa" w:w="80"/>
              <w:right w:type="dxa" w:w="100"/>
            </w:tcMar>
          </w:tcPr>
          <w:p>
            <w:pPr>
              <w:spacing w:before="0" w:after="0"/>
            </w:pPr>
            <w:r>
              <w:rPr>
                <w:rFonts w:ascii="Arial" w:cs="Arial" w:eastAsia="Arial" w:hAnsi="Arial"/>
                <w:i/>
                <w:iCs/>
                <w:color w:val="374151"/>
                <w:sz w:val="20"/>
                <w:szCs w:val="20"/>
              </w:rPr>
              <w:t xml:space="preserve">POST https://api.beehiiv.com/v2/publications/{BEEHIIV_PUBLICATION_ID}/subscriptions
Headers: { Authorization: 'Bearer {BEEHIIV_API_KEY}', Content-Type: 'application/json' }
Body: { email, reactivate_existing: false, send_welcome_email: false,
  utm_source: 'stablecoinatlas.app', utm_medium: 'website', utm_campaign: source }</w:t>
            </w:r>
          </w:p>
        </w:tc>
      </w:tr>
    </w:tbl>
    <w:p>
      <w:pPr>
        <w:spacing w:before="60" w:after="0"/>
      </w:pPr>
    </w:p>
    <w:p>
      <w:pPr>
        <w:pStyle w:val="Heading2"/>
        <w:spacing w:before="260" w:after="80"/>
      </w:pPr>
      <w:r>
        <w:rPr>
          <w:rFonts w:ascii="Arial" w:cs="Arial" w:eastAsia="Arial" w:hAnsi="Arial"/>
          <w:b/>
          <w:bCs/>
          <w:color w:val="111827"/>
          <w:sz w:val="28"/>
          <w:szCs w:val="28"/>
        </w:rPr>
        <w:t xml:space="preserve">4.2  Response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rPr>
          <w:tblHeader/>
        </w:trPr>
        <w:tc>
          <w:tcPr>
            <w:tcW w:type="dxa" w:w="2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Scenario</w:t>
            </w:r>
          </w:p>
        </w:tc>
        <w:tc>
          <w:tcPr>
            <w:tcW w:type="dxa" w:w="2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Beehiiv response</w:t>
            </w:r>
          </w:p>
        </w:tc>
        <w:tc>
          <w:tcPr>
            <w:tcW w:type="dxa" w:w="4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Frontend behaviour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New subscriber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201 Created</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Show success state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Already subscribed</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200 OK</w:t>
            </w:r>
          </w:p>
        </w:tc>
        <w:tc>
          <w:tcPr>
            <w:tcW w:type="dxa" w:w="4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Show success state — no error shown to user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Invalid email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422 Unprocessable</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Inline error: 'Please enter a valid email address'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API error / timeout</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5xx / network fail</w:t>
            </w:r>
          </w:p>
        </w:tc>
        <w:tc>
          <w:tcPr>
            <w:tcW w:type="dxa" w:w="4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Inline error: 'Something went wrong. Try again.'</w:t>
            </w:r>
          </w:p>
        </w:tc>
      </w:tr>
    </w:tbl>
    <w:p>
      <w:pPr>
        <w:spacing w:before="60" w:after="0"/>
      </w:pPr>
    </w:p>
    <w:p>
      <w:pPr>
        <w:pStyle w:val="Heading2"/>
        <w:spacing w:before="260" w:after="80"/>
      </w:pPr>
      <w:r>
        <w:rPr>
          <w:rFonts w:ascii="Arial" w:cs="Arial" w:eastAsia="Arial" w:hAnsi="Arial"/>
          <w:b/>
          <w:bCs/>
          <w:color w:val="111827"/>
          <w:sz w:val="28"/>
          <w:szCs w:val="28"/>
        </w:rPr>
        <w:t xml:space="preserve">4.3  Environment variables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Variable</w:t>
            </w:r>
          </w:p>
        </w:tc>
        <w:tc>
          <w:tcPr>
            <w:tcW w:type="dxa" w:w="30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Where to get it</w:t>
            </w:r>
          </w:p>
        </w:tc>
        <w:tc>
          <w:tcPr>
            <w:tcW w:type="dxa" w:w="32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Where to set it</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BEEHIIV_API_KEY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 → Settings → API Keys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Netlify/Vercel env vars — server-side only</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BEEHIIV_PUBLICATION_ID</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 → Settings → General</w:t>
            </w:r>
          </w:p>
        </w:tc>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Same</w:t>
            </w:r>
          </w:p>
        </w:tc>
      </w:tr>
    </w:tbl>
    <w:p>
      <w:r>
        <w:br w:type="page"/>
      </w:r>
    </w:p>
    <w:p>
      <w:pPr>
        <w:pStyle w:val="Heading1"/>
        <w:spacing w:before="360" w:after="100"/>
      </w:pPr>
      <w:r>
        <w:rPr>
          <w:rFonts w:ascii="Arial" w:cs="Arial" w:eastAsia="Arial" w:hAnsi="Arial"/>
          <w:b/>
          <w:bCs/>
          <w:color w:val="111827"/>
          <w:sz w:val="40"/>
          <w:szCs w:val="40"/>
        </w:rPr>
        <w:t xml:space="preserve">5. Welcome Email Sequence — Full Copy</w:t>
      </w:r>
    </w:p>
    <w:p>
      <w:pPr>
        <w:pBdr>
          <w:bottom w:val="single" w:color="E5E7EB" w:sz="4" w:space="1"/>
        </w:pBdr>
        <w:spacing w:before="120" w:after="120"/>
      </w:pPr>
    </w:p>
    <w:p>
      <w:pPr>
        <w:spacing w:before="50" w:after="50"/>
      </w:pPr>
      <w:r>
        <w:rPr>
          <w:rFonts w:ascii="Arial" w:cs="Arial" w:eastAsia="Arial" w:hAnsi="Arial"/>
          <w:color w:val="374151"/>
          <w:sz w:val="22"/>
          <w:szCs w:val="22"/>
        </w:rPr>
        <w:t xml:space="preserve">Four emails sent automatically via Beehiiv Automations. All content is evergreen where possible. Where current facts are referenced (regulatory frameworks, market figures), they are accurate as of March 2026 and should be reviewed quarterly. Written in first-person, conversational voice.</w:t>
      </w:r>
    </w:p>
    <w:p>
      <w:pPr>
        <w:spacing w:before="4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92400E" w:sz="16"/>
              <w:bottom w:val="none" w:color="FFFFFF" w:sz="0"/>
              <w:right w:val="none" w:color="FFFFFF" w:sz="0"/>
            </w:tcBorders>
            <w:shd w:fill="FFFBEB" w:val="clear"/>
            <w:tcMar>
              <w:top w:type="dxa" w:w="80"/>
              <w:left w:type="dxa" w:w="140"/>
              <w:bottom w:type="dxa" w:w="80"/>
              <w:right w:type="dxa" w:w="100"/>
            </w:tcMar>
          </w:tcPr>
          <w:p>
            <w:pPr>
              <w:spacing w:before="0" w:after="0"/>
            </w:pPr>
            <w:r>
              <w:rPr>
                <w:rFonts w:ascii="Arial" w:cs="Arial" w:eastAsia="Arial" w:hAnsi="Arial"/>
                <w:i/>
                <w:iCs/>
                <w:color w:val="374151"/>
                <w:sz w:val="20"/>
                <w:szCs w:val="20"/>
              </w:rPr>
              <w:t xml:space="preserve">FACT-CHECK LOG (March 2026):
• GENIUS Act: Signed into US law July 18, 2025. Senate 68–30, House 308–122. Implementing regulations due July 2026.
• MiCA: Fully in force. Stablecoin rules applicable June 30, 2024. CASP rules December 30, 2024. Full enforcement July 1, 2026.
• EURC: Circle's MiCA-compliant euro stablecoin. USDT delisted from major EU exchanges. USDC also MiCA-compliant.
• MAS: Framework published August 2023. StraitsX's XSGD and XUSD among first MAS-compliant stablecoins.
• HKMA: Stablecoins Ordinance in force August 1, 2025. First licences expected March 2026 — initial batch of a 'very small number'.
• TerraUSD (UST) collapse: May 2022. Factually accurate.</w:t>
            </w:r>
          </w:p>
        </w:tc>
      </w:tr>
    </w:tbl>
    <w:p>
      <w:pPr>
        <w:spacing w:before="80" w:after="0"/>
      </w:pPr>
    </w:p>
    <w:p>
      <w:pPr>
        <w:pStyle w:val="Heading3"/>
        <w:spacing w:before="200" w:after="60"/>
      </w:pPr>
      <w:r>
        <w:rPr>
          <w:rFonts w:ascii="Arial" w:cs="Arial" w:eastAsia="Arial" w:hAnsi="Arial"/>
          <w:b/>
          <w:bCs/>
          <w:color w:val="1E40AF"/>
          <w:sz w:val="22"/>
          <w:szCs w:val="22"/>
        </w:rPr>
        <w:t xml:space="preserve">Email 1  ·  Day 0 — Launch edition  ·  Sent immediately on subscribe</w:t>
      </w:r>
    </w:p>
    <w:p>
      <w:pPr>
        <w:spacing w:before="2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40"/>
            </w:tcMar>
          </w:tcPr>
          <w:p>
            <w:pPr>
              <w:spacing w:before="0" w:after="40"/>
            </w:pPr>
            <w:r>
              <w:rPr>
                <w:rFonts w:ascii="Arial" w:cs="Arial" w:eastAsia="Arial" w:hAnsi="Arial"/>
                <w:b/>
                <w:bCs/>
                <w:color w:val="1A56DB"/>
                <w:sz w:val="18"/>
                <w:szCs w:val="18"/>
              </w:rPr>
              <w:t xml:space="preserve">EMAIL 1  </w:t>
            </w:r>
            <w:r>
              <w:rPr>
                <w:rFonts w:ascii="Arial" w:cs="Arial" w:eastAsia="Arial" w:hAnsi="Arial"/>
                <w:color w:val="6B7280"/>
                <w:sz w:val="18"/>
                <w:szCs w:val="18"/>
              </w:rPr>
              <w:t xml:space="preserve">· Day 0 — sent immediately on subscribe</w:t>
            </w:r>
          </w:p>
          <w:p>
            <w:pPr>
              <w:spacing w:before="0" w:after="80"/>
            </w:pPr>
            <w:r>
              <w:rPr>
                <w:rFonts w:ascii="Arial" w:cs="Arial" w:eastAsia="Arial" w:hAnsi="Arial"/>
                <w:b/>
                <w:bCs/>
                <w:color w:val="111827"/>
                <w:sz w:val="22"/>
                <w:szCs w:val="22"/>
              </w:rPr>
              <w:t xml:space="preserve">Subject: "Welcome to Stablecoin Atlas. Here's what you signed up for."</w:t>
            </w:r>
          </w:p>
          <w:p>
            <w:pPr>
              <w:spacing w:before="40" w:after="40"/>
            </w:pPr>
            <w:r>
              <w:rPr>
                <w:rFonts w:ascii="Arial" w:cs="Arial" w:eastAsia="Arial" w:hAnsi="Arial"/>
                <w:color w:val="374151"/>
                <w:sz w:val="20"/>
                <w:szCs w:val="20"/>
              </w:rPr>
              <w:t xml:space="preserve">Hey,</w:t>
            </w:r>
          </w:p>
          <w:p>
            <w:pPr>
              <w:spacing w:before="40" w:after="40"/>
            </w:pPr>
            <w:r>
              <w:rPr>
                <w:rFonts w:ascii="Arial" w:cs="Arial" w:eastAsia="Arial" w:hAnsi="Arial"/>
                <w:color w:val="374151"/>
                <w:sz w:val="20"/>
                <w:szCs w:val="20"/>
              </w:rPr>
              <w:t xml:space="preserve">Welcome — and thank you for being here from the start.</w:t>
            </w:r>
          </w:p>
          <w:p>
            <w:pPr>
              <w:spacing w:before="40" w:after="40"/>
            </w:pPr>
            <w:r>
              <w:rPr>
                <w:rFonts w:ascii="Arial" w:cs="Arial" w:eastAsia="Arial" w:hAnsi="Arial"/>
                <w:color w:val="374151"/>
                <w:sz w:val="20"/>
                <w:szCs w:val="20"/>
              </w:rPr>
              <w:t xml:space="preserve">This is the Stablecoin Atlas Weekly. Every Sunday, I send one email covering the most important things that happened in the stablecoin world that week. No price charts, no trading calls, no noise. Just the stuff that actually matters.</w:t>
            </w:r>
          </w:p>
          <w:p>
            <w:pPr>
              <w:spacing w:before="80" w:after="40"/>
            </w:pPr>
            <w:r>
              <w:rPr>
                <w:rFonts w:ascii="Arial" w:cs="Arial" w:eastAsia="Arial" w:hAnsi="Arial"/>
                <w:b/>
                <w:bCs/>
                <w:color w:val="1A56DB"/>
                <w:sz w:val="20"/>
                <w:szCs w:val="20"/>
              </w:rPr>
              <w:t xml:space="preserve">What you'll get every Sunday:</w:t>
            </w:r>
          </w:p>
          <w:p>
            <w:pPr>
              <w:pStyle w:val="ListParagraph"/>
              <w:numPr>
                <w:ilvl w:val="0"/>
                <w:numId w:val="2"/>
              </w:numPr>
              <w:spacing w:before="24" w:after="24"/>
            </w:pPr>
            <w:r>
              <w:rPr>
                <w:rFonts w:ascii="Arial" w:cs="Arial" w:eastAsia="Arial" w:hAnsi="Arial"/>
                <w:color w:val="374151"/>
                <w:sz w:val="20"/>
                <w:szCs w:val="20"/>
              </w:rPr>
              <w:t xml:space="preserve">One regulatory move — the framework updates, enforcement actions, and policy shifts worth tracking.</w:t>
            </w:r>
          </w:p>
          <w:p>
            <w:pPr>
              <w:pStyle w:val="ListParagraph"/>
              <w:numPr>
                <w:ilvl w:val="0"/>
                <w:numId w:val="2"/>
              </w:numPr>
              <w:spacing w:before="24" w:after="24"/>
            </w:pPr>
            <w:r>
              <w:rPr>
                <w:rFonts w:ascii="Arial" w:cs="Arial" w:eastAsia="Arial" w:hAnsi="Arial"/>
                <w:color w:val="374151"/>
                <w:sz w:val="20"/>
                <w:szCs w:val="20"/>
              </w:rPr>
              <w:t xml:space="preserve">One company action — what Circle, Tether, StraitsX, Paxos, or others actually did (not just what they announced).</w:t>
            </w:r>
          </w:p>
          <w:p>
            <w:pPr>
              <w:pStyle w:val="ListParagraph"/>
              <w:numPr>
                <w:ilvl w:val="0"/>
                <w:numId w:val="2"/>
              </w:numPr>
              <w:spacing w:before="24" w:after="24"/>
            </w:pPr>
            <w:r>
              <w:rPr>
                <w:rFonts w:ascii="Arial" w:cs="Arial" w:eastAsia="Arial" w:hAnsi="Arial"/>
                <w:color w:val="374151"/>
                <w:sz w:val="20"/>
                <w:szCs w:val="20"/>
              </w:rPr>
              <w:t xml:space="preserve">One concept, clearly explained — from reserve attestations to cross-chain bridges, one idea per week, no jargon.</w:t>
            </w:r>
          </w:p>
          <w:p>
            <w:pPr>
              <w:pStyle w:val="ListParagraph"/>
              <w:numPr>
                <w:ilvl w:val="0"/>
                <w:numId w:val="2"/>
              </w:numPr>
              <w:spacing w:before="24" w:after="24"/>
            </w:pPr>
            <w:r>
              <w:rPr>
                <w:rFonts w:ascii="Arial" w:cs="Arial" w:eastAsia="Arial" w:hAnsi="Arial"/>
                <w:color w:val="374151"/>
                <w:sz w:val="20"/>
                <w:szCs w:val="20"/>
              </w:rPr>
              <w:t xml:space="preserve">Top new roles — curated jobs in stablecoins, digital assets, and VASP across product, compliance, legal, and engineering.</w:t>
            </w:r>
          </w:p>
          <w:p>
            <w:pPr>
              <w:spacing w:before="80" w:after="40"/>
            </w:pPr>
            <w:r>
              <w:rPr>
                <w:rFonts w:ascii="Arial" w:cs="Arial" w:eastAsia="Arial" w:hAnsi="Arial"/>
                <w:b/>
                <w:bCs/>
                <w:color w:val="1A56DB"/>
                <w:sz w:val="20"/>
                <w:szCs w:val="20"/>
              </w:rPr>
              <w:t xml:space="preserve">Why this exists:</w:t>
            </w:r>
          </w:p>
          <w:p>
            <w:pPr>
              <w:spacing w:before="40" w:after="40"/>
            </w:pPr>
            <w:r>
              <w:rPr>
                <w:rFonts w:ascii="Arial" w:cs="Arial" w:eastAsia="Arial" w:hAnsi="Arial"/>
                <w:color w:val="374151"/>
                <w:sz w:val="20"/>
                <w:szCs w:val="20"/>
              </w:rPr>
              <w:t xml:space="preserve">Stablecoin information has a quality problem. There's too much of it, it's scattered across a dozen sources, and most of it is written either for crypto insiders or for people who have never heard of a blockchain. This newsletter is the in-between.</w:t>
            </w:r>
          </w:p>
          <w:p>
            <w:pPr>
              <w:spacing w:before="80" w:after="40"/>
            </w:pPr>
            <w:r>
              <w:rPr>
                <w:rFonts w:ascii="Arial" w:cs="Arial" w:eastAsia="Arial" w:hAnsi="Arial"/>
                <w:b/>
                <w:bCs/>
                <w:color w:val="1A56DB"/>
                <w:sz w:val="20"/>
                <w:szCs w:val="20"/>
              </w:rPr>
              <w:t xml:space="preserve">What happened this week in stablecoins:</w:t>
            </w:r>
          </w:p>
          <w:p>
            <w:pPr>
              <w:spacing w:before="40" w:after="40"/>
            </w:pPr>
            <w:r>
              <w:rPr>
                <w:rFonts w:ascii="Arial" w:cs="Arial" w:eastAsia="Arial" w:hAnsi="Arial"/>
                <w:color w:val="374151"/>
                <w:sz w:val="20"/>
                <w:szCs w:val="20"/>
              </w:rPr>
              <w:t xml:space="preserve">The GENIUS Act — the US's first federal stablecoin law — was signed by President Trump on July 18, 2025, after passing the Senate 68–30 and the House 308–122. The implementing regulations are now being drafted and are due by July 2026. This matters not just for American issuers but for the global ecosystem: US regulatory clarity tends to set the pace for other jurisdictions.</w:t>
            </w:r>
          </w:p>
          <w:p>
            <w:pPr>
              <w:spacing w:before="40" w:after="40"/>
            </w:pPr>
            <w:r>
              <w:rPr>
                <w:rFonts w:ascii="Arial" w:cs="Arial" w:eastAsia="Arial" w:hAnsi="Arial"/>
                <w:color w:val="374151"/>
                <w:sz w:val="20"/>
                <w:szCs w:val="20"/>
              </w:rPr>
              <w:t xml:space="preserve">What to watch: how the OCC and Federal Reserve translate the law into actual operating requirements for issuers. The details will determine whether this framework enables or constrains innovation.</w:t>
            </w:r>
          </w:p>
          <w:p>
            <w:pPr>
              <w:spacing w:before="80" w:after="40"/>
            </w:pPr>
            <w:r>
              <w:rPr>
                <w:rFonts w:ascii="Arial" w:cs="Arial" w:eastAsia="Arial" w:hAnsi="Arial"/>
                <w:b/>
                <w:bCs/>
                <w:color w:val="1A56DB"/>
                <w:sz w:val="20"/>
                <w:szCs w:val="20"/>
              </w:rPr>
              <w:t xml:space="preserve">Concept of the week — What does 'backed' actually mean?</w:t>
            </w:r>
          </w:p>
          <w:p>
            <w:pPr>
              <w:spacing w:before="40" w:after="40"/>
            </w:pPr>
            <w:r>
              <w:rPr>
                <w:rFonts w:ascii="Arial" w:cs="Arial" w:eastAsia="Arial" w:hAnsi="Arial"/>
                <w:color w:val="374151"/>
                <w:sz w:val="20"/>
                <w:szCs w:val="20"/>
              </w:rPr>
              <w:t xml:space="preserve">When a stablecoin claims to be 'backed 1:1 by USD,' that phrase is doing a lot of work. Backed by what, exactly? Cash in a bank? Short-term US Treasuries? Commercial paper from a counterparty you've never heard of?</w:t>
            </w:r>
          </w:p>
          <w:p>
            <w:pPr>
              <w:spacing w:before="40" w:after="40"/>
            </w:pPr>
            <w:r>
              <w:rPr>
                <w:rFonts w:ascii="Arial" w:cs="Arial" w:eastAsia="Arial" w:hAnsi="Arial"/>
                <w:color w:val="374151"/>
                <w:sz w:val="20"/>
                <w:szCs w:val="20"/>
              </w:rPr>
              <w:t xml:space="preserve">The composition of reserves matters enormously. USDC publishes monthly attestations from a major accounting firm confirming its reserves are held in cash and short-duration US Treasuries. That's a meaningfully different risk profile from a stablecoin backed by a mix of undisclosed corporate debt.</w:t>
            </w:r>
          </w:p>
          <w:p>
            <w:pPr>
              <w:spacing w:before="40" w:after="40"/>
            </w:pPr>
            <w:r>
              <w:rPr>
                <w:rFonts w:ascii="Arial" w:cs="Arial" w:eastAsia="Arial" w:hAnsi="Arial"/>
                <w:color w:val="374151"/>
                <w:sz w:val="20"/>
                <w:szCs w:val="20"/>
              </w:rPr>
              <w:t xml:space="preserve">When you evaluate any stablecoin, the first question isn't 'is it pegged?' It's 'what is it pegged to, and who is verifying that?'</w:t>
            </w:r>
          </w:p>
          <w:p>
            <w:pPr>
              <w:spacing w:before="80" w:after="40"/>
            </w:pPr>
            <w:r>
              <w:rPr>
                <w:rFonts w:ascii="Arial" w:cs="Arial" w:eastAsia="Arial" w:hAnsi="Arial"/>
                <w:b/>
                <w:bCs/>
                <w:color w:val="1A56DB"/>
                <w:sz w:val="20"/>
                <w:szCs w:val="20"/>
              </w:rPr>
              <w:t xml:space="preserve">On the Atlas this week:</w:t>
            </w:r>
          </w:p>
          <w:p>
            <w:pPr>
              <w:spacing w:before="40" w:after="40"/>
            </w:pPr>
            <w:r>
              <w:rPr>
                <w:rFonts w:ascii="Arial" w:cs="Arial" w:eastAsia="Arial" w:hAnsi="Arial"/>
                <w:color w:val="374151"/>
                <w:sz w:val="20"/>
                <w:szCs w:val="20"/>
              </w:rPr>
              <w:t xml:space="preserve">The live market dashboard is tracking $238B+ in stablecoin supply, peg health for the top 10 coins, chain distribution, and the issuer leaderboard — all updated hourly. Come see what the stablecoin market looks like right now: stablecoinatlas.app</w:t>
            </w:r>
          </w:p>
          <w:p>
            <w:pPr>
              <w:pBdr>
                <w:top w:val="single" w:color="BFDBFE" w:sz="2" w:space="4"/>
              </w:pBdr>
              <w:spacing w:before="80" w:after="0"/>
            </w:pPr>
            <w:r>
              <w:rPr>
                <w:rFonts w:ascii="Arial" w:cs="Arial" w:eastAsia="Arial" w:hAnsi="Arial"/>
                <w:i/>
                <w:iCs/>
                <w:color w:val="6B7280"/>
                <w:sz w:val="19"/>
                <w:szCs w:val="19"/>
              </w:rPr>
              <w:t xml:space="preserve">Your next email arrives in 3 days. It covers what stablecoins actually are — and why the answer is more interesting than most explainers make it sound.</w:t>
            </w:r>
          </w:p>
        </w:tc>
      </w:tr>
    </w:tbl>
    <w:p>
      <w:pPr>
        <w:spacing w:before="20" w:after="0"/>
      </w:pPr>
    </w:p>
    <w:p>
      <w:pPr>
        <w:pStyle w:val="Heading3"/>
        <w:spacing w:before="200" w:after="60"/>
      </w:pPr>
      <w:r>
        <w:rPr>
          <w:rFonts w:ascii="Arial" w:cs="Arial" w:eastAsia="Arial" w:hAnsi="Arial"/>
          <w:b/>
          <w:bCs/>
          <w:color w:val="1E40AF"/>
          <w:sz w:val="22"/>
          <w:szCs w:val="22"/>
        </w:rPr>
        <w:t xml:space="preserve">Email 2  ·  Day 3 — Regulatory edition</w:t>
      </w:r>
    </w:p>
    <w:p>
      <w:pPr>
        <w:spacing w:before="2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40"/>
            </w:tcMar>
          </w:tcPr>
          <w:p>
            <w:pPr>
              <w:spacing w:before="0" w:after="40"/>
            </w:pPr>
            <w:r>
              <w:rPr>
                <w:rFonts w:ascii="Arial" w:cs="Arial" w:eastAsia="Arial" w:hAnsi="Arial"/>
                <w:b/>
                <w:bCs/>
                <w:color w:val="1A56DB"/>
                <w:sz w:val="18"/>
                <w:szCs w:val="18"/>
              </w:rPr>
              <w:t xml:space="preserve">EMAIL 2  </w:t>
            </w:r>
            <w:r>
              <w:rPr>
                <w:rFonts w:ascii="Arial" w:cs="Arial" w:eastAsia="Arial" w:hAnsi="Arial"/>
                <w:color w:val="6B7280"/>
                <w:sz w:val="18"/>
                <w:szCs w:val="18"/>
              </w:rPr>
              <w:t xml:space="preserve">· Day 3</w:t>
            </w:r>
          </w:p>
          <w:p>
            <w:pPr>
              <w:spacing w:before="0" w:after="80"/>
            </w:pPr>
            <w:r>
              <w:rPr>
                <w:rFonts w:ascii="Arial" w:cs="Arial" w:eastAsia="Arial" w:hAnsi="Arial"/>
                <w:b/>
                <w:bCs/>
                <w:color w:val="111827"/>
                <w:sz w:val="22"/>
                <w:szCs w:val="22"/>
              </w:rPr>
              <w:t xml:space="preserve">Subject: "The map is being drawn. Here's who's drawing it."</w:t>
            </w:r>
          </w:p>
          <w:p>
            <w:pPr>
              <w:spacing w:before="40" w:after="40"/>
            </w:pPr>
            <w:r>
              <w:rPr>
                <w:rFonts w:ascii="Arial" w:cs="Arial" w:eastAsia="Arial" w:hAnsi="Arial"/>
                <w:color w:val="374151"/>
                <w:sz w:val="20"/>
                <w:szCs w:val="20"/>
              </w:rPr>
              <w:t xml:space="preserve">Hey,</w:t>
            </w:r>
          </w:p>
          <w:p>
            <w:pPr>
              <w:spacing w:before="40" w:after="40"/>
            </w:pPr>
            <w:r>
              <w:rPr>
                <w:rFonts w:ascii="Arial" w:cs="Arial" w:eastAsia="Arial" w:hAnsi="Arial"/>
                <w:color w:val="374151"/>
                <w:sz w:val="20"/>
                <w:szCs w:val="20"/>
              </w:rPr>
              <w:t xml:space="preserve">One of the things I find genuinely fascinating about stablecoins right now is that we're watching the regulatory architecture get built in real time. Different jurisdictions, different approaches, different timelines — but a remarkably consistent direction.</w:t>
            </w:r>
          </w:p>
          <w:p>
            <w:pPr>
              <w:spacing w:before="40" w:after="40"/>
            </w:pPr>
            <w:r>
              <w:rPr>
                <w:rFonts w:ascii="Arial" w:cs="Arial" w:eastAsia="Arial" w:hAnsi="Arial"/>
                <w:color w:val="374151"/>
                <w:sz w:val="20"/>
                <w:szCs w:val="20"/>
              </w:rPr>
              <w:t xml:space="preserve">Here's a tour of where things stand as of today.</w:t>
            </w:r>
          </w:p>
          <w:p>
            <w:pPr>
              <w:spacing w:before="80" w:after="40"/>
            </w:pPr>
            <w:r>
              <w:rPr>
                <w:rFonts w:ascii="Arial" w:cs="Arial" w:eastAsia="Arial" w:hAnsi="Arial"/>
                <w:b/>
                <w:bCs/>
                <w:color w:val="1A56DB"/>
                <w:sz w:val="20"/>
                <w:szCs w:val="20"/>
              </w:rPr>
              <w:t xml:space="preserve">The regulatory landscape — current status:</w:t>
            </w:r>
          </w:p>
          <w:p>
            <w:pPr>
              <w:spacing w:before="40" w:after="40"/>
            </w:pPr>
            <w:r>
              <w:rPr>
                <w:rFonts w:ascii="Arial" w:cs="Arial" w:eastAsia="Arial" w:hAnsi="Arial"/>
                <w:b/>
                <w:bCs/>
                <w:color w:val="111827"/>
                <w:sz w:val="20"/>
                <w:szCs w:val="20"/>
              </w:rPr>
              <w:t xml:space="preserve">United States — law, not proposal.</w:t>
            </w:r>
          </w:p>
          <w:p>
            <w:pPr>
              <w:spacing w:before="40" w:after="40"/>
            </w:pPr>
            <w:r>
              <w:rPr>
                <w:rFonts w:ascii="Arial" w:cs="Arial" w:eastAsia="Arial" w:hAnsi="Arial"/>
                <w:color w:val="374151"/>
                <w:sz w:val="20"/>
                <w:szCs w:val="20"/>
              </w:rPr>
              <w:t xml:space="preserve">The GENIUS Act was signed into law on July 18, 2025 — the first federal stablecoin legislation in US history. It establishes a dual-track framework: issuers can be regulated either federally (by the OCC) or at state level, provided state frameworks meet federal standards. Reserves must be held 1:1 in high-quality liquid assets. Monthly reserve disclosures are mandatory. Implementing regulations are due by July 2026.</w:t>
            </w:r>
          </w:p>
          <w:p>
            <w:pPr>
              <w:spacing w:before="40" w:after="40"/>
            </w:pPr>
            <w:r>
              <w:rPr>
                <w:rFonts w:ascii="Arial" w:cs="Arial" w:eastAsia="Arial" w:hAnsi="Arial"/>
                <w:b/>
                <w:bCs/>
                <w:color w:val="111827"/>
                <w:sz w:val="20"/>
                <w:szCs w:val="20"/>
              </w:rPr>
              <w:t xml:space="preserve">European Union — MiCA fully in force.</w:t>
            </w:r>
          </w:p>
          <w:p>
            <w:pPr>
              <w:spacing w:before="40" w:after="40"/>
            </w:pPr>
            <w:r>
              <w:rPr>
                <w:rFonts w:ascii="Arial" w:cs="Arial" w:eastAsia="Arial" w:hAnsi="Arial"/>
                <w:color w:val="374151"/>
                <w:sz w:val="20"/>
                <w:szCs w:val="20"/>
              </w:rPr>
              <w:t xml:space="preserve">The Markets in Crypto-Assets regulation (MiCA) is now fully applicable. Stablecoin rules (for Electronic Money Tokens and Asset-Referenced Tokens) have applied since June 30, 2024. CASP licensing rules came into force December 30, 2024, with a transitional period extending to July 1, 2026 for most member states. Circle's EURC is the leading MiCA-compliant euro stablecoin. USDT was delisted from major EU exchanges including Binance and Coinbase EU for non-compliance. USDC is also MiCA-compliant.</w:t>
            </w:r>
          </w:p>
          <w:p>
            <w:pPr>
              <w:spacing w:before="40" w:after="40"/>
            </w:pPr>
            <w:r>
              <w:rPr>
                <w:rFonts w:ascii="Arial" w:cs="Arial" w:eastAsia="Arial" w:hAnsi="Arial"/>
                <w:b/>
                <w:bCs/>
                <w:color w:val="111827"/>
                <w:sz w:val="20"/>
                <w:szCs w:val="20"/>
              </w:rPr>
              <w:t xml:space="preserve">Singapore — framework published, first compliant coins live.</w:t>
            </w:r>
          </w:p>
          <w:p>
            <w:pPr>
              <w:spacing w:before="40" w:after="40"/>
            </w:pPr>
            <w:r>
              <w:rPr>
                <w:rFonts w:ascii="Arial" w:cs="Arial" w:eastAsia="Arial" w:hAnsi="Arial"/>
                <w:color w:val="374151"/>
                <w:sz w:val="20"/>
                <w:szCs w:val="20"/>
              </w:rPr>
              <w:t xml:space="preserve">MAS published its stablecoin regulatory framework in August 2023. Single-currency stablecoins pegged to SGD or G10 currencies, issued in Singapore, must meet reserve, redemption, and disclosure requirements to carry the 'MAS-regulated stablecoin' label. StraitsX's XSGD and XUSD are among the first to have achieved this status.</w:t>
            </w:r>
          </w:p>
          <w:p>
            <w:pPr>
              <w:spacing w:before="40" w:after="40"/>
            </w:pPr>
            <w:r>
              <w:rPr>
                <w:rFonts w:ascii="Arial" w:cs="Arial" w:eastAsia="Arial" w:hAnsi="Arial"/>
                <w:b/>
                <w:bCs/>
                <w:color w:val="111827"/>
                <w:sz w:val="20"/>
                <w:szCs w:val="20"/>
              </w:rPr>
              <w:t xml:space="preserve">Hong Kong — regime live, first licences imminent.</w:t>
            </w:r>
          </w:p>
          <w:p>
            <w:pPr>
              <w:spacing w:before="40" w:after="40"/>
            </w:pPr>
            <w:r>
              <w:rPr>
                <w:rFonts w:ascii="Arial" w:cs="Arial" w:eastAsia="Arial" w:hAnsi="Arial"/>
                <w:color w:val="374151"/>
                <w:sz w:val="20"/>
                <w:szCs w:val="20"/>
              </w:rPr>
              <w:t xml:space="preserve">Hong Kong's Stablecoins Ordinance took effect on August 1, 2025. Any issuer of fiat-referenced stablecoins in Hong Kong, or any issuer outside Hong Kong whose stablecoin pegs to the Hong Kong dollar, must be licensed by the HKMA. The HKMA has received 36+ applications and has signalled it will issue a first, limited batch of licences in March 2026 — a very small number, as regulators take a cautious initial approach. Applicants include Ant Group.</w:t>
            </w:r>
          </w:p>
          <w:p>
            <w:pPr>
              <w:spacing w:before="80" w:after="40"/>
            </w:pPr>
            <w:r>
              <w:rPr>
                <w:rFonts w:ascii="Arial" w:cs="Arial" w:eastAsia="Arial" w:hAnsi="Arial"/>
                <w:b/>
                <w:bCs/>
                <w:color w:val="1A56DB"/>
                <w:sz w:val="20"/>
                <w:szCs w:val="20"/>
              </w:rPr>
              <w:t xml:space="preserve">The pattern across all four jurisdictions:</w:t>
            </w:r>
          </w:p>
          <w:p>
            <w:pPr>
              <w:spacing w:before="40" w:after="40"/>
            </w:pPr>
            <w:r>
              <w:rPr>
                <w:rFonts w:ascii="Arial" w:cs="Arial" w:eastAsia="Arial" w:hAnsi="Arial"/>
                <w:color w:val="374151"/>
                <w:sz w:val="20"/>
                <w:szCs w:val="20"/>
              </w:rPr>
              <w:t xml:space="preserve">Reserve requirements. Redemption rights. Disclosure obligations. Regular audits. Every framework, everywhere, is converging on these four things. This isn't coincidence — it's coordination.</w:t>
            </w:r>
          </w:p>
          <w:p>
            <w:pPr>
              <w:spacing w:before="40" w:after="40"/>
            </w:pPr>
            <w:r>
              <w:rPr>
                <w:rFonts w:ascii="Arial" w:cs="Arial" w:eastAsia="Arial" w:hAnsi="Arial"/>
                <w:color w:val="374151"/>
                <w:sz w:val="20"/>
                <w:szCs w:val="20"/>
              </w:rPr>
              <w:t xml:space="preserve">And it matters practically: institutional players — banks, asset managers, payment networks — won't touch a stablecoin without regulatory clarity. The frameworks being built right now are what will unlock institutional volume.</w:t>
            </w:r>
          </w:p>
          <w:p>
            <w:pPr>
              <w:spacing w:before="80" w:after="40"/>
            </w:pPr>
            <w:r>
              <w:rPr>
                <w:rFonts w:ascii="Arial" w:cs="Arial" w:eastAsia="Arial" w:hAnsi="Arial"/>
                <w:b/>
                <w:bCs/>
                <w:color w:val="1A56DB"/>
                <w:sz w:val="20"/>
                <w:szCs w:val="20"/>
              </w:rPr>
              <w:t xml:space="preserve">Concept of the week — Attestation vs. Audit:</w:t>
            </w:r>
          </w:p>
          <w:p>
            <w:pPr>
              <w:spacing w:before="40" w:after="40"/>
            </w:pPr>
            <w:r>
              <w:rPr>
                <w:rFonts w:ascii="Arial" w:cs="Arial" w:eastAsia="Arial" w:hAnsi="Arial"/>
                <w:color w:val="374151"/>
                <w:sz w:val="20"/>
                <w:szCs w:val="20"/>
              </w:rPr>
              <w:t xml:space="preserve">These two words get used interchangeably. They mean different things.</w:t>
            </w:r>
          </w:p>
          <w:p>
            <w:pPr>
              <w:spacing w:before="40" w:after="40"/>
            </w:pPr>
            <w:r>
              <w:rPr>
                <w:rFonts w:ascii="Arial" w:cs="Arial" w:eastAsia="Arial" w:hAnsi="Arial"/>
                <w:color w:val="374151"/>
                <w:sz w:val="20"/>
                <w:szCs w:val="20"/>
              </w:rPr>
              <w:t xml:space="preserve">An attestation is a point-in-time verification: an accounting firm confirms reserves existed as claimed on a specific date. Circle does this monthly for USDC. It's useful but limited — it's a snapshot, not a continuous monitor.</w:t>
            </w:r>
          </w:p>
          <w:p>
            <w:pPr>
              <w:spacing w:before="40" w:after="40"/>
            </w:pPr>
            <w:r>
              <w:rPr>
                <w:rFonts w:ascii="Arial" w:cs="Arial" w:eastAsia="Arial" w:hAnsi="Arial"/>
                <w:color w:val="374151"/>
                <w:sz w:val="20"/>
                <w:szCs w:val="20"/>
              </w:rPr>
              <w:t xml:space="preserve">An audit is broader and more rigorous: it examines financial statements, internal controls, and processes over a period of time — not just a single day. Very few stablecoin issuers publish full audits.</w:t>
            </w:r>
          </w:p>
          <w:p>
            <w:pPr>
              <w:spacing w:before="40" w:after="40"/>
            </w:pPr>
            <w:r>
              <w:rPr>
                <w:rFonts w:ascii="Arial" w:cs="Arial" w:eastAsia="Arial" w:hAnsi="Arial"/>
                <w:color w:val="374151"/>
                <w:sz w:val="20"/>
                <w:szCs w:val="20"/>
              </w:rPr>
              <w:t xml:space="preserve">When someone says a stablecoin 'is audited,' ask: attestation or audit? By whom? For what period? The answer tells you a great deal about the issuer's transparency posture.</w:t>
            </w:r>
          </w:p>
          <w:p>
            <w:pPr>
              <w:spacing w:before="80" w:after="40"/>
            </w:pPr>
            <w:r>
              <w:rPr>
                <w:rFonts w:ascii="Arial" w:cs="Arial" w:eastAsia="Arial" w:hAnsi="Arial"/>
                <w:b/>
                <w:bCs/>
                <w:color w:val="1A56DB"/>
                <w:sz w:val="20"/>
                <w:szCs w:val="20"/>
              </w:rPr>
              <w:t xml:space="preserve">On the Atlas:</w:t>
            </w:r>
          </w:p>
          <w:p>
            <w:pPr>
              <w:spacing w:before="40" w:after="40"/>
            </w:pPr>
            <w:r>
              <w:rPr>
                <w:rFonts w:ascii="Arial" w:cs="Arial" w:eastAsia="Arial" w:hAnsi="Arial"/>
                <w:color w:val="374151"/>
                <w:sz w:val="20"/>
                <w:szCs w:val="20"/>
              </w:rPr>
              <w:t xml:space="preserve">The regulatory tracker is coming soon. In the meantime, the latest developments across all jurisdictions are being tracked in the news feed: stablecoinatlas.app/latest</w:t>
            </w:r>
          </w:p>
          <w:p>
            <w:pPr>
              <w:pBdr>
                <w:top w:val="single" w:color="BFDBFE" w:sz="2" w:space="4"/>
              </w:pBdr>
              <w:spacing w:before="80" w:after="0"/>
            </w:pPr>
            <w:r>
              <w:rPr>
                <w:rFonts w:ascii="Arial" w:cs="Arial" w:eastAsia="Arial" w:hAnsi="Arial"/>
                <w:i/>
                <w:iCs/>
                <w:color w:val="6B7280"/>
                <w:sz w:val="19"/>
                <w:szCs w:val="19"/>
              </w:rPr>
              <w:t xml:space="preserve">Your next email arrives in 4 days. It makes stablecoins concrete — three real-world use cases that are happening right now, not hypothetical.</w:t>
            </w:r>
          </w:p>
        </w:tc>
      </w:tr>
    </w:tbl>
    <w:p>
      <w:pPr>
        <w:spacing w:before="20" w:after="0"/>
      </w:pPr>
    </w:p>
    <w:p>
      <w:pPr>
        <w:pStyle w:val="Heading3"/>
        <w:spacing w:before="200" w:after="60"/>
      </w:pPr>
      <w:r>
        <w:rPr>
          <w:rFonts w:ascii="Arial" w:cs="Arial" w:eastAsia="Arial" w:hAnsi="Arial"/>
          <w:b/>
          <w:bCs/>
          <w:color w:val="1E40AF"/>
          <w:sz w:val="22"/>
          <w:szCs w:val="22"/>
        </w:rPr>
        <w:t xml:space="preserve">Email 3  ·  Day 7 — Use cases edition</w:t>
      </w:r>
    </w:p>
    <w:p>
      <w:pPr>
        <w:spacing w:before="2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40"/>
            </w:tcMar>
          </w:tcPr>
          <w:p>
            <w:pPr>
              <w:spacing w:before="0" w:after="40"/>
            </w:pPr>
            <w:r>
              <w:rPr>
                <w:rFonts w:ascii="Arial" w:cs="Arial" w:eastAsia="Arial" w:hAnsi="Arial"/>
                <w:b/>
                <w:bCs/>
                <w:color w:val="1A56DB"/>
                <w:sz w:val="18"/>
                <w:szCs w:val="18"/>
              </w:rPr>
              <w:t xml:space="preserve">EMAIL 3  </w:t>
            </w:r>
            <w:r>
              <w:rPr>
                <w:rFonts w:ascii="Arial" w:cs="Arial" w:eastAsia="Arial" w:hAnsi="Arial"/>
                <w:color w:val="6B7280"/>
                <w:sz w:val="18"/>
                <w:szCs w:val="18"/>
              </w:rPr>
              <w:t xml:space="preserve">· Day 7</w:t>
            </w:r>
          </w:p>
          <w:p>
            <w:pPr>
              <w:spacing w:before="0" w:after="80"/>
            </w:pPr>
            <w:r>
              <w:rPr>
                <w:rFonts w:ascii="Arial" w:cs="Arial" w:eastAsia="Arial" w:hAnsi="Arial"/>
                <w:b/>
                <w:bCs/>
                <w:color w:val="111827"/>
                <w:sz w:val="22"/>
                <w:szCs w:val="22"/>
              </w:rPr>
              <w:t xml:space="preserve">Subject: "Real money moving in the real world. Three stories."</w:t>
            </w:r>
          </w:p>
          <w:p>
            <w:pPr>
              <w:spacing w:before="40" w:after="40"/>
            </w:pPr>
            <w:r>
              <w:rPr>
                <w:rFonts w:ascii="Arial" w:cs="Arial" w:eastAsia="Arial" w:hAnsi="Arial"/>
                <w:color w:val="374151"/>
                <w:sz w:val="20"/>
                <w:szCs w:val="20"/>
              </w:rPr>
              <w:t xml:space="preserve">Hey,</w:t>
            </w:r>
          </w:p>
          <w:p>
            <w:pPr>
              <w:spacing w:before="40" w:after="40"/>
            </w:pPr>
            <w:r>
              <w:rPr>
                <w:rFonts w:ascii="Arial" w:cs="Arial" w:eastAsia="Arial" w:hAnsi="Arial"/>
                <w:color w:val="374151"/>
                <w:sz w:val="20"/>
                <w:szCs w:val="20"/>
              </w:rPr>
              <w:t xml:space="preserve">This week I want to make stablecoins concrete. Not the whitepaper version. The actual, happening-right-now version. Three use cases, each illustrating something different about why this technology matters.</w:t>
            </w:r>
          </w:p>
          <w:p>
            <w:pPr>
              <w:spacing w:before="80" w:after="40"/>
            </w:pPr>
            <w:r>
              <w:rPr>
                <w:rFonts w:ascii="Arial" w:cs="Arial" w:eastAsia="Arial" w:hAnsi="Arial"/>
                <w:b/>
                <w:bCs/>
                <w:color w:val="1A56DB"/>
                <w:sz w:val="20"/>
                <w:szCs w:val="20"/>
              </w:rPr>
              <w:t xml:space="preserve">Story 1: The worker sending money home</w:t>
            </w:r>
          </w:p>
          <w:p>
            <w:pPr>
              <w:spacing w:before="40" w:after="40"/>
            </w:pPr>
            <w:r>
              <w:rPr>
                <w:rFonts w:ascii="Arial" w:cs="Arial" w:eastAsia="Arial" w:hAnsi="Arial"/>
                <w:color w:val="374151"/>
                <w:sz w:val="20"/>
                <w:szCs w:val="20"/>
              </w:rPr>
              <w:t xml:space="preserve">Millions of workers in Singapore send remittances home to the Philippines, Indonesia, and beyond. The traditional route: remittance service or bank transfer, 2–3% fees, 1–3 business days, closed on weekends.</w:t>
            </w:r>
          </w:p>
          <w:p>
            <w:pPr>
              <w:spacing w:before="40" w:after="40"/>
            </w:pPr>
            <w:r>
              <w:rPr>
                <w:rFonts w:ascii="Arial" w:cs="Arial" w:eastAsia="Arial" w:hAnsi="Arial"/>
                <w:color w:val="374151"/>
                <w:sz w:val="20"/>
                <w:szCs w:val="20"/>
              </w:rPr>
              <w:t xml:space="preserve">The stablecoin route: a P2P app sends USDC from a Singapore wallet to an exchange in the destination country in minutes, where it converts to local currency and lands in a bank account — at a fraction of the cost, any hour, any day. StraitsX's platform and others have been building exactly these corridors. The limiting factor today isn't technology — it's onboarding friction and local cash-out infrastructure. Both are improving fast.</w:t>
            </w:r>
          </w:p>
          <w:p>
            <w:pPr>
              <w:spacing w:before="80" w:after="40"/>
            </w:pPr>
            <w:r>
              <w:rPr>
                <w:rFonts w:ascii="Arial" w:cs="Arial" w:eastAsia="Arial" w:hAnsi="Arial"/>
                <w:b/>
                <w:bCs/>
                <w:color w:val="1A56DB"/>
                <w:sz w:val="20"/>
                <w:szCs w:val="20"/>
              </w:rPr>
              <w:t xml:space="preserve">Story 2: The cross-border property deal</w:t>
            </w:r>
          </w:p>
          <w:p>
            <w:pPr>
              <w:spacing w:before="40" w:after="40"/>
            </w:pPr>
            <w:r>
              <w:rPr>
                <w:rFonts w:ascii="Arial" w:cs="Arial" w:eastAsia="Arial" w:hAnsi="Arial"/>
                <w:color w:val="374151"/>
                <w:sz w:val="20"/>
                <w:szCs w:val="20"/>
              </w:rPr>
              <w:t xml:space="preserve">A Singapore-based buyer acquires a London property. Traditionally: multiple FX conversions, correspondent banks, SWIFT transfers that take days, and a closing process riddled with manual reconciliation.</w:t>
            </w:r>
          </w:p>
          <w:p>
            <w:pPr>
              <w:spacing w:before="40" w:after="40"/>
            </w:pPr>
            <w:r>
              <w:rPr>
                <w:rFonts w:ascii="Arial" w:cs="Arial" w:eastAsia="Arial" w:hAnsi="Arial"/>
                <w:color w:val="374151"/>
                <w:sz w:val="20"/>
                <w:szCs w:val="20"/>
              </w:rPr>
              <w:t xml:space="preserve">With stablecoins: the buyer converts SGD to a stablecoin, transfers it to a smart contract in escrow, and the contract releases funds automatically only when both parties' representatives digitally confirm completion. Settlement happens in minutes. Every step is on-chain, auditable, and transparent. This is 'atomic settlement' — the money leg and the asset leg happening simultaneously, programmatically, with no counterparty risk in between.</w:t>
            </w:r>
          </w:p>
          <w:p>
            <w:pPr>
              <w:spacing w:before="80" w:after="40"/>
            </w:pPr>
            <w:r>
              <w:rPr>
                <w:rFonts w:ascii="Arial" w:cs="Arial" w:eastAsia="Arial" w:hAnsi="Arial"/>
                <w:b/>
                <w:bCs/>
                <w:color w:val="1A56DB"/>
                <w:sz w:val="20"/>
                <w:szCs w:val="20"/>
              </w:rPr>
              <w:t xml:space="preserve">Story 3: The freelancer getting paid across borders</w:t>
            </w:r>
          </w:p>
          <w:p>
            <w:pPr>
              <w:spacing w:before="40" w:after="40"/>
            </w:pPr>
            <w:r>
              <w:rPr>
                <w:rFonts w:ascii="Arial" w:cs="Arial" w:eastAsia="Arial" w:hAnsi="Arial"/>
                <w:color w:val="374151"/>
                <w:sz w:val="20"/>
                <w:szCs w:val="20"/>
              </w:rPr>
              <w:t xml:space="preserve">A product designer based in Kuala Lumpur, working for a startup in San Francisco. Invoice in USD, received in ringgit — losing 2–4% to FX and bank fees in both directions.</w:t>
            </w:r>
          </w:p>
          <w:p>
            <w:pPr>
              <w:spacing w:before="40" w:after="40"/>
            </w:pPr>
            <w:r>
              <w:rPr>
                <w:rFonts w:ascii="Arial" w:cs="Arial" w:eastAsia="Arial" w:hAnsi="Arial"/>
                <w:color w:val="374151"/>
                <w:sz w:val="20"/>
                <w:szCs w:val="20"/>
              </w:rPr>
              <w:t xml:space="preserve">With USDC: the startup sends directly to the designer's wallet. The designer holds it as a stable USD asset and converts when rates are favourable. No intermediary banks. No FX spread. No cut-off times.</w:t>
            </w:r>
          </w:p>
          <w:p>
            <w:pPr>
              <w:spacing w:before="80" w:after="40"/>
            </w:pPr>
            <w:r>
              <w:rPr>
                <w:rFonts w:ascii="Arial" w:cs="Arial" w:eastAsia="Arial" w:hAnsi="Arial"/>
                <w:b/>
                <w:bCs/>
                <w:color w:val="1A56DB"/>
                <w:sz w:val="20"/>
                <w:szCs w:val="20"/>
              </w:rPr>
              <w:t xml:space="preserve">The common thread:</w:t>
            </w:r>
          </w:p>
          <w:p>
            <w:pPr>
              <w:spacing w:before="40" w:after="40"/>
            </w:pPr>
            <w:r>
              <w:rPr>
                <w:rFonts w:ascii="Arial" w:cs="Arial" w:eastAsia="Arial" w:hAnsi="Arial"/>
                <w:color w:val="374151"/>
                <w:sz w:val="20"/>
                <w:szCs w:val="20"/>
              </w:rPr>
              <w:t xml:space="preserve">In every case, stablecoins aren't replacing the purpose of money. They're replacing the plumbing — the intermediaries, the delays, the opacity — and doing it with programmability and transparency that the old plumbing never had.</w:t>
            </w:r>
          </w:p>
          <w:p>
            <w:pPr>
              <w:spacing w:before="80" w:after="40"/>
            </w:pPr>
            <w:r>
              <w:rPr>
                <w:rFonts w:ascii="Arial" w:cs="Arial" w:eastAsia="Arial" w:hAnsi="Arial"/>
                <w:b/>
                <w:bCs/>
                <w:color w:val="1A56DB"/>
                <w:sz w:val="20"/>
                <w:szCs w:val="20"/>
              </w:rPr>
              <w:t xml:space="preserve">Concept of the week — What is a corridor?</w:t>
            </w:r>
          </w:p>
          <w:p>
            <w:pPr>
              <w:spacing w:before="40" w:after="40"/>
            </w:pPr>
            <w:r>
              <w:rPr>
                <w:rFonts w:ascii="Arial" w:cs="Arial" w:eastAsia="Arial" w:hAnsi="Arial"/>
                <w:color w:val="374151"/>
                <w:sz w:val="20"/>
                <w:szCs w:val="20"/>
              </w:rPr>
              <w:t xml:space="preserve">In payments, a corridor is a specific source-to-destination pair: Singapore to Philippines, US to UK, UK to EU. Each has its own regulatory requirements, on-ramp and off-ramp options, and liquidity characteristics.</w:t>
            </w:r>
          </w:p>
          <w:p>
            <w:pPr>
              <w:spacing w:before="40" w:after="40"/>
            </w:pPr>
            <w:r>
              <w:rPr>
                <w:rFonts w:ascii="Arial" w:cs="Arial" w:eastAsia="Arial" w:hAnsi="Arial"/>
                <w:color w:val="374151"/>
                <w:sz w:val="20"/>
                <w:szCs w:val="20"/>
              </w:rPr>
              <w:t xml:space="preserve">What works for SG → UK doesn't automatically work for UK → EU. Jurisdiction matters. The stablecoin you use matters. The blockchain network you use matters. Stablecoin Atlas is building practical corridor guides — the kind of step-by-step playbook that currently doesn't exist anywhere.</w:t>
            </w:r>
          </w:p>
          <w:p>
            <w:pPr>
              <w:spacing w:before="80" w:after="40"/>
            </w:pPr>
            <w:r>
              <w:rPr>
                <w:rFonts w:ascii="Arial" w:cs="Arial" w:eastAsia="Arial" w:hAnsi="Arial"/>
                <w:b/>
                <w:bCs/>
                <w:color w:val="1A56DB"/>
                <w:sz w:val="20"/>
                <w:szCs w:val="20"/>
              </w:rPr>
              <w:t xml:space="preserve">On the Atlas:</w:t>
            </w:r>
          </w:p>
          <w:p>
            <w:pPr>
              <w:spacing w:before="40" w:after="40"/>
            </w:pPr>
            <w:r>
              <w:rPr>
                <w:rFonts w:ascii="Arial" w:cs="Arial" w:eastAsia="Arial" w:hAnsi="Arial"/>
                <w:color w:val="374151"/>
                <w:sz w:val="20"/>
                <w:szCs w:val="20"/>
              </w:rPr>
              <w:t xml:space="preserve">Learning resources for all three use cases, and more, are available in the learning hub: stablecoinatlas.app/learning</w:t>
            </w:r>
          </w:p>
          <w:p>
            <w:pPr>
              <w:pBdr>
                <w:top w:val="single" w:color="BFDBFE" w:sz="2" w:space="4"/>
              </w:pBdr>
              <w:spacing w:before="80" w:after="0"/>
            </w:pPr>
            <w:r>
              <w:rPr>
                <w:rFonts w:ascii="Arial" w:cs="Arial" w:eastAsia="Arial" w:hAnsi="Arial"/>
                <w:i/>
                <w:iCs/>
                <w:color w:val="6B7280"/>
                <w:sz w:val="19"/>
                <w:szCs w:val="19"/>
              </w:rPr>
              <w:t xml:space="preserve">Your next email arrives in 7 days — the last in this introductory series. It covers careers: what the stablecoin industry is actually hiring for, and how to get in if you're coming from outside the space.</w:t>
            </w:r>
          </w:p>
        </w:tc>
      </w:tr>
    </w:tbl>
    <w:p>
      <w:pPr>
        <w:spacing w:before="20" w:after="0"/>
      </w:pPr>
    </w:p>
    <w:p>
      <w:pPr>
        <w:pStyle w:val="Heading3"/>
        <w:spacing w:before="200" w:after="60"/>
      </w:pPr>
      <w:r>
        <w:rPr>
          <w:rFonts w:ascii="Arial" w:cs="Arial" w:eastAsia="Arial" w:hAnsi="Arial"/>
          <w:b/>
          <w:bCs/>
          <w:color w:val="1E40AF"/>
          <w:sz w:val="22"/>
          <w:szCs w:val="22"/>
        </w:rPr>
        <w:t xml:space="preserve">Email 4  ·  Day 14 — Careers edition</w:t>
      </w:r>
    </w:p>
    <w:p>
      <w:pPr>
        <w:spacing w:before="2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40"/>
            </w:tcMar>
          </w:tcPr>
          <w:p>
            <w:pPr>
              <w:spacing w:before="0" w:after="40"/>
            </w:pPr>
            <w:r>
              <w:rPr>
                <w:rFonts w:ascii="Arial" w:cs="Arial" w:eastAsia="Arial" w:hAnsi="Arial"/>
                <w:b/>
                <w:bCs/>
                <w:color w:val="1A56DB"/>
                <w:sz w:val="18"/>
                <w:szCs w:val="18"/>
              </w:rPr>
              <w:t xml:space="preserve">EMAIL 4  </w:t>
            </w:r>
            <w:r>
              <w:rPr>
                <w:rFonts w:ascii="Arial" w:cs="Arial" w:eastAsia="Arial" w:hAnsi="Arial"/>
                <w:color w:val="6B7280"/>
                <w:sz w:val="18"/>
                <w:szCs w:val="18"/>
              </w:rPr>
              <w:t xml:space="preserve">· Day 14 — last email in welcome sequence; subscriber joins live digest from next Sunday</w:t>
            </w:r>
          </w:p>
          <w:p>
            <w:pPr>
              <w:spacing w:before="0" w:after="80"/>
            </w:pPr>
            <w:r>
              <w:rPr>
                <w:rFonts w:ascii="Arial" w:cs="Arial" w:eastAsia="Arial" w:hAnsi="Arial"/>
                <w:b/>
                <w:bCs/>
                <w:color w:val="111827"/>
                <w:sz w:val="22"/>
                <w:szCs w:val="22"/>
              </w:rPr>
              <w:t xml:space="preserve">Subject: "The jobs are real. Here's what the industry actually needs."</w:t>
            </w:r>
          </w:p>
          <w:p>
            <w:pPr>
              <w:spacing w:before="40" w:after="40"/>
            </w:pPr>
            <w:r>
              <w:rPr>
                <w:rFonts w:ascii="Arial" w:cs="Arial" w:eastAsia="Arial" w:hAnsi="Arial"/>
                <w:color w:val="374151"/>
                <w:sz w:val="20"/>
                <w:szCs w:val="20"/>
              </w:rPr>
              <w:t xml:space="preserve">Hey,</w:t>
            </w:r>
          </w:p>
          <w:p>
            <w:pPr>
              <w:spacing w:before="40" w:after="40"/>
            </w:pPr>
            <w:r>
              <w:rPr>
                <w:rFonts w:ascii="Arial" w:cs="Arial" w:eastAsia="Arial" w:hAnsi="Arial"/>
                <w:color w:val="374151"/>
                <w:sz w:val="20"/>
                <w:szCs w:val="20"/>
              </w:rPr>
              <w:t xml:space="preserve">I get asked this regularly: 'Is there actually a career in stablecoins, or is it just hype?'</w:t>
            </w:r>
          </w:p>
          <w:p>
            <w:pPr>
              <w:spacing w:before="40" w:after="40"/>
            </w:pPr>
            <w:r>
              <w:rPr>
                <w:rFonts w:ascii="Arial" w:cs="Arial" w:eastAsia="Arial" w:hAnsi="Arial"/>
                <w:color w:val="374151"/>
                <w:sz w:val="20"/>
                <w:szCs w:val="20"/>
              </w:rPr>
              <w:t xml:space="preserve">The answer: the jobs are real, they pay well, and the talent gap is significant. But the roles look different from what most people expect.</w:t>
            </w:r>
          </w:p>
          <w:p>
            <w:pPr>
              <w:spacing w:before="80" w:after="40"/>
            </w:pPr>
            <w:r>
              <w:rPr>
                <w:rFonts w:ascii="Arial" w:cs="Arial" w:eastAsia="Arial" w:hAnsi="Arial"/>
                <w:b/>
                <w:bCs/>
                <w:color w:val="1A56DB"/>
                <w:sz w:val="20"/>
                <w:szCs w:val="20"/>
              </w:rPr>
              <w:t xml:space="preserve">What the industry is actually hiring for right now:</w:t>
            </w:r>
          </w:p>
          <w:p>
            <w:pPr>
              <w:spacing w:before="40" w:after="40"/>
            </w:pPr>
            <w:r>
              <w:rPr>
                <w:rFonts w:ascii="Arial" w:cs="Arial" w:eastAsia="Arial" w:hAnsi="Arial"/>
                <w:b/>
                <w:bCs/>
                <w:color w:val="111827"/>
                <w:sz w:val="20"/>
                <w:szCs w:val="20"/>
              </w:rPr>
              <w:t xml:space="preserve">Compliance and regulatory affairs — the hottest area.</w:t>
            </w:r>
          </w:p>
          <w:p>
            <w:pPr>
              <w:spacing w:before="40" w:after="40"/>
            </w:pPr>
            <w:r>
              <w:rPr>
                <w:rFonts w:ascii="Arial" w:cs="Arial" w:eastAsia="Arial" w:hAnsi="Arial"/>
                <w:color w:val="374151"/>
                <w:sz w:val="20"/>
                <w:szCs w:val="20"/>
              </w:rPr>
              <w:t xml:space="preserve">Every stablecoin issuer, exchange, and fintech building on stablecoin rails needs people who understand the regulatory frameworks — MiCA, MAS, the GENIUS Act, FATF Travel Rule implementation. The talent pool is tiny relative to demand. If you have a background in financial regulation and can learn the crypto-specific layer, you are extremely employable right now.</w:t>
            </w:r>
          </w:p>
          <w:p>
            <w:pPr>
              <w:spacing w:before="40" w:after="40"/>
            </w:pPr>
            <w:r>
              <w:rPr>
                <w:rFonts w:ascii="Arial" w:cs="Arial" w:eastAsia="Arial" w:hAnsi="Arial"/>
                <w:b/>
                <w:bCs/>
                <w:color w:val="111827"/>
                <w:sz w:val="20"/>
                <w:szCs w:val="20"/>
              </w:rPr>
              <w:t xml:space="preserve">Product management — the second most in-demand.</w:t>
            </w:r>
          </w:p>
          <w:p>
            <w:pPr>
              <w:spacing w:before="40" w:after="40"/>
            </w:pPr>
            <w:r>
              <w:rPr>
                <w:rFonts w:ascii="Arial" w:cs="Arial" w:eastAsia="Arial" w:hAnsi="Arial"/>
                <w:color w:val="374151"/>
                <w:sz w:val="20"/>
                <w:szCs w:val="20"/>
              </w:rPr>
              <w:t xml:space="preserve">Building stablecoin products — wallet UX, on-ramp and off-ramp flows, treasury management tools — requires PMs who understand both financial products and blockchain primitives. Most traditional fintech PMs find the learning curve steeper than expected. Most crypto-native PMs lack the financial product depth. The people who bridge both are rare and in high demand.</w:t>
            </w:r>
          </w:p>
          <w:p>
            <w:pPr>
              <w:spacing w:before="40" w:after="40"/>
            </w:pPr>
            <w:r>
              <w:rPr>
                <w:rFonts w:ascii="Arial" w:cs="Arial" w:eastAsia="Arial" w:hAnsi="Arial"/>
                <w:b/>
                <w:bCs/>
                <w:color w:val="111827"/>
                <w:sz w:val="20"/>
                <w:szCs w:val="20"/>
              </w:rPr>
              <w:t xml:space="preserve">Legal — payments law, securities law, cross-border regulatory counsel.</w:t>
            </w:r>
          </w:p>
          <w:p>
            <w:pPr>
              <w:spacing w:before="40" w:after="40"/>
            </w:pPr>
            <w:r>
              <w:rPr>
                <w:rFonts w:ascii="Arial" w:cs="Arial" w:eastAsia="Arial" w:hAnsi="Arial"/>
                <w:color w:val="374151"/>
                <w:sz w:val="20"/>
                <w:szCs w:val="20"/>
              </w:rPr>
              <w:t xml:space="preserve">In high demand at both issuers (Circle, Paxos, StraitsX) and at traditional financial institutions building stablecoin capability. MiCA and the GENIUS Act have created an entirely new body of compliance work that lawyers need to get up to speed on quickly.</w:t>
            </w:r>
          </w:p>
          <w:p>
            <w:pPr>
              <w:spacing w:before="40" w:after="40"/>
            </w:pPr>
            <w:r>
              <w:rPr>
                <w:rFonts w:ascii="Arial" w:cs="Arial" w:eastAsia="Arial" w:hAnsi="Arial"/>
                <w:b/>
                <w:bCs/>
                <w:color w:val="111827"/>
                <w:sz w:val="20"/>
                <w:szCs w:val="20"/>
              </w:rPr>
              <w:t xml:space="preserve">Smart contract engineering.</w:t>
            </w:r>
          </w:p>
          <w:p>
            <w:pPr>
              <w:spacing w:before="40" w:after="40"/>
            </w:pPr>
            <w:r>
              <w:rPr>
                <w:rFonts w:ascii="Arial" w:cs="Arial" w:eastAsia="Arial" w:hAnsi="Arial"/>
                <w:color w:val="374151"/>
                <w:sz w:val="20"/>
                <w:szCs w:val="20"/>
              </w:rPr>
              <w:t xml:space="preserve">Solidity developers who can build and audit production-grade contracts. High supply relative to some roles, but quality engineers who understand the financial application layer — not just the code — remain genuinely scarce.</w:t>
            </w:r>
          </w:p>
          <w:p>
            <w:pPr>
              <w:spacing w:before="80" w:after="40"/>
            </w:pPr>
            <w:r>
              <w:rPr>
                <w:rFonts w:ascii="Arial" w:cs="Arial" w:eastAsia="Arial" w:hAnsi="Arial"/>
                <w:b/>
                <w:bCs/>
                <w:color w:val="1A56DB"/>
                <w:sz w:val="20"/>
                <w:szCs w:val="20"/>
              </w:rPr>
              <w:t xml:space="preserve">The roles that might surprise you:</w:t>
            </w:r>
          </w:p>
          <w:p>
            <w:pPr>
              <w:spacing w:before="40" w:after="40"/>
            </w:pPr>
            <w:r>
              <w:rPr>
                <w:rFonts w:ascii="Arial" w:cs="Arial" w:eastAsia="Arial" w:hAnsi="Arial"/>
                <w:color w:val="374151"/>
                <w:sz w:val="20"/>
                <w:szCs w:val="20"/>
              </w:rPr>
              <w:t xml:space="preserve">Treasury and risk management for stablecoin issuers is a real function. Someone has to manage a $50B+ reserve portfolio, make decisions about asset composition, and model depeg scenarios. These are serious financial roles dressed in crypto clothing.</w:t>
            </w:r>
          </w:p>
          <w:p>
            <w:pPr>
              <w:spacing w:before="40" w:after="40"/>
            </w:pPr>
            <w:r>
              <w:rPr>
                <w:rFonts w:ascii="Arial" w:cs="Arial" w:eastAsia="Arial" w:hAnsi="Arial"/>
                <w:color w:val="374151"/>
                <w:sz w:val="20"/>
                <w:szCs w:val="20"/>
              </w:rPr>
              <w:t xml:space="preserve">Policy and government affairs is growing fast as regulatory engagement becomes strategically important for every major player. MiCA, GENIUS, and the HKMA regime have all created demand for people who can represent companies in regulatory processes.</w:t>
            </w:r>
          </w:p>
          <w:p>
            <w:pPr>
              <w:spacing w:before="80" w:after="40"/>
            </w:pPr>
            <w:r>
              <w:rPr>
                <w:rFonts w:ascii="Arial" w:cs="Arial" w:eastAsia="Arial" w:hAnsi="Arial"/>
                <w:b/>
                <w:bCs/>
                <w:color w:val="1A56DB"/>
                <w:sz w:val="20"/>
                <w:szCs w:val="20"/>
              </w:rPr>
              <w:t xml:space="preserve">How to break in from outside the industry:</w:t>
            </w:r>
          </w:p>
          <w:p>
            <w:pPr>
              <w:spacing w:before="40" w:after="40"/>
            </w:pPr>
            <w:r>
              <w:rPr>
                <w:rFonts w:ascii="Arial" w:cs="Arial" w:eastAsia="Arial" w:hAnsi="Arial"/>
                <w:color w:val="374151"/>
                <w:sz w:val="20"/>
                <w:szCs w:val="20"/>
              </w:rPr>
              <w:t xml:space="preserve">The honest path: build knowledge publicly. Write about what you're learning. Engage with the community. The stablecoin industry is small enough that signal travels fast — being visibly knowledgeable about, say, MiCA compliance requirements will get you noticed by the right people.</w:t>
            </w:r>
          </w:p>
          <w:p>
            <w:pPr>
              <w:spacing w:before="80" w:after="40"/>
            </w:pPr>
            <w:r>
              <w:rPr>
                <w:rFonts w:ascii="Arial" w:cs="Arial" w:eastAsia="Arial" w:hAnsi="Arial"/>
                <w:b/>
                <w:bCs/>
                <w:color w:val="1A56DB"/>
                <w:sz w:val="20"/>
                <w:szCs w:val="20"/>
              </w:rPr>
              <w:t xml:space="preserve">On the Atlas:</w:t>
            </w:r>
          </w:p>
          <w:p>
            <w:pPr>
              <w:spacing w:before="40" w:after="40"/>
            </w:pPr>
            <w:r>
              <w:rPr>
                <w:rFonts w:ascii="Arial" w:cs="Arial" w:eastAsia="Arial" w:hAnsi="Arial"/>
                <w:color w:val="374151"/>
                <w:sz w:val="20"/>
                <w:szCs w:val="20"/>
              </w:rPr>
              <w:t xml:space="preserve">Current openings across all of these function families are on the careers page, curated from across the ecosystem: stablecoinatlas.app/careers</w:t>
            </w:r>
          </w:p>
          <w:p>
            <w:pPr>
              <w:spacing w:before="40" w:after="40"/>
            </w:pPr>
            <w:r>
              <w:rPr>
                <w:rFonts w:ascii="Arial" w:cs="Arial" w:eastAsia="Arial" w:hAnsi="Arial"/>
                <w:color w:val="374151"/>
                <w:sz w:val="20"/>
                <w:szCs w:val="20"/>
              </w:rPr>
              <w:t xml:space="preserve">If you're hiring, you can submit a role directly — it reaches exactly the audience you want.</w:t>
            </w:r>
          </w:p>
          <w:p>
            <w:pPr>
              <w:spacing w:before="80" w:after="40"/>
            </w:pPr>
            <w:r>
              <w:rPr>
                <w:rFonts w:ascii="Arial" w:cs="Arial" w:eastAsia="Arial" w:hAnsi="Arial"/>
                <w:b/>
                <w:bCs/>
                <w:color w:val="1A56DB"/>
                <w:sz w:val="20"/>
                <w:szCs w:val="20"/>
              </w:rPr>
              <w:t xml:space="preserve">What comes next:</w:t>
            </w:r>
          </w:p>
          <w:p>
            <w:pPr>
              <w:spacing w:before="40" w:after="40"/>
            </w:pPr>
            <w:r>
              <w:rPr>
                <w:rFonts w:ascii="Arial" w:cs="Arial" w:eastAsia="Arial" w:hAnsi="Arial"/>
                <w:color w:val="374151"/>
                <w:sz w:val="20"/>
                <w:szCs w:val="20"/>
              </w:rPr>
              <w:t xml:space="preserve">You've now got the full picture: what stablecoins are, how regulation is taking shape globally, what the real-world use cases look like, and where the careers are. That's this introductory series done.</w:t>
            </w:r>
          </w:p>
          <w:p>
            <w:pPr>
              <w:spacing w:before="40" w:after="40"/>
            </w:pPr>
            <w:r>
              <w:rPr>
                <w:rFonts w:ascii="Arial" w:cs="Arial" w:eastAsia="Arial" w:hAnsi="Arial"/>
                <w:color w:val="374151"/>
                <w:sz w:val="20"/>
                <w:szCs w:val="20"/>
              </w:rPr>
              <w:t xml:space="preserve">Starting from this Sunday, you'll receive the Stablecoin Atlas Weekly — every week, what moved in the stablecoin world and what it means. I'll see you then.</w:t>
            </w:r>
          </w:p>
          <w:p>
            <w:pPr>
              <w:pBdr>
                <w:top w:val="single" w:color="BFDBFE" w:sz="2" w:space="4"/>
              </w:pBdr>
              <w:spacing w:before="80" w:after="0"/>
            </w:pPr>
            <w:r>
              <w:rPr>
                <w:rFonts w:ascii="Arial" w:cs="Arial" w:eastAsia="Arial" w:hAnsi="Arial"/>
                <w:i/>
                <w:iCs/>
                <w:color w:val="6B7280"/>
                <w:sz w:val="19"/>
                <w:szCs w:val="19"/>
              </w:rPr>
              <w:t xml:space="preserve">Your first weekly digest arrives this Sunday at 9:00 AM SGT. From then on, every Sunday — same time, same format. Welcome to the Atlas.</w:t>
            </w:r>
          </w:p>
        </w:tc>
      </w:tr>
    </w:tbl>
    <w:p>
      <w:pPr>
        <w:spacing w:before="20" w:after="0"/>
      </w:pPr>
    </w:p>
    <w:p>
      <w:r>
        <w:br w:type="page"/>
      </w:r>
    </w:p>
    <w:p>
      <w:pPr>
        <w:pStyle w:val="Heading1"/>
        <w:spacing w:before="360" w:after="100"/>
      </w:pPr>
      <w:r>
        <w:rPr>
          <w:rFonts w:ascii="Arial" w:cs="Arial" w:eastAsia="Arial" w:hAnsi="Arial"/>
          <w:b/>
          <w:bCs/>
          <w:color w:val="111827"/>
          <w:sz w:val="40"/>
          <w:szCs w:val="40"/>
        </w:rPr>
        <w:t xml:space="preserve">6. Site Navigation Change</w:t>
      </w:r>
    </w:p>
    <w:p>
      <w:pPr>
        <w:pBdr>
          <w:bottom w:val="single" w:color="E5E7EB" w:sz="4" w:space="1"/>
        </w:pBdr>
        <w:spacing w:before="120"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600"/>
      </w:tblGrid>
      <w:tr>
        <w:trPr>
          <w:tblHeader/>
        </w:trPr>
        <w:tc>
          <w:tcPr>
            <w:tcW w:type="dxa" w:w="20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Element</w:t>
            </w:r>
          </w:p>
        </w:tc>
        <w:tc>
          <w:tcPr>
            <w:tcW w:type="dxa" w:w="22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Current state</w:t>
            </w:r>
          </w:p>
        </w:tc>
        <w:tc>
          <w:tcPr>
            <w:tcW w:type="dxa" w:w="2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New state</w:t>
            </w:r>
          </w:p>
        </w:tc>
        <w:tc>
          <w:tcPr>
            <w:tcW w:type="dxa" w:w="26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Top nav</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Learning · Latest · Careers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Learning · Latest · Careers · Subscribe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Add 'Subscribe' as rightmost nav item</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Subscribe nav item</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Does not exist</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Text link as subtle pill (outline, blue border)</w:t>
            </w:r>
          </w:p>
        </w:tc>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On click: opens &lt;SubscribeModal /&gt;</w:t>
            </w:r>
          </w:p>
        </w:tc>
      </w:tr>
    </w:tbl>
    <w:p>
      <w:pPr>
        <w:spacing w:before="6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92400E" w:sz="16"/>
              <w:bottom w:val="none" w:color="FFFFFF" w:sz="0"/>
              <w:right w:val="none" w:color="FFFFFF" w:sz="0"/>
            </w:tcBorders>
            <w:shd w:fill="FFFBEB" w:val="clear"/>
            <w:tcMar>
              <w:top w:type="dxa" w:w="80"/>
              <w:left w:type="dxa" w:w="140"/>
              <w:bottom w:type="dxa" w:w="80"/>
              <w:right w:type="dxa" w:w="100"/>
            </w:tcMar>
          </w:tcPr>
          <w:p>
            <w:pPr>
              <w:spacing w:before="0" w:after="0"/>
            </w:pPr>
            <w:r>
              <w:rPr>
                <w:rFonts w:ascii="Arial" w:cs="Arial" w:eastAsia="Arial" w:hAnsi="Arial"/>
                <w:i/>
                <w:iCs/>
                <w:color w:val="374151"/>
                <w:sz w:val="20"/>
                <w:szCs w:val="20"/>
              </w:rPr>
              <w:t xml:space="preserve">Keep the nav link lightweight. The existing 'Start Learning' CTA already occupies filled-button visual weight. The Subscribe item should feel like a utility link, not a competing CTA.</w:t>
            </w:r>
          </w:p>
        </w:tc>
      </w:tr>
    </w:tbl>
    <w:p>
      <w:r>
        <w:br w:type="page"/>
      </w:r>
    </w:p>
    <w:p>
      <w:pPr>
        <w:pStyle w:val="Heading1"/>
        <w:spacing w:before="360" w:after="100"/>
      </w:pPr>
      <w:r>
        <w:rPr>
          <w:rFonts w:ascii="Arial" w:cs="Arial" w:eastAsia="Arial" w:hAnsi="Arial"/>
          <w:b/>
          <w:bCs/>
          <w:color w:val="111827"/>
          <w:sz w:val="40"/>
          <w:szCs w:val="40"/>
        </w:rPr>
        <w:t xml:space="preserve">7. Success Metrics</w:t>
      </w:r>
    </w:p>
    <w:p>
      <w:pPr>
        <w:pBdr>
          <w:bottom w:val="single" w:color="E5E7EB" w:sz="4" w:space="1"/>
        </w:pBdr>
        <w:spacing w:before="120" w:after="120"/>
      </w:pP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400"/>
      </w:tblGrid>
      <w:tr>
        <w:trPr>
          <w:tblHeader/>
        </w:trPr>
        <w:tc>
          <w:tcPr>
            <w:tcW w:type="dxa" w:w="30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28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Target (60 days post-launch)</w:t>
            </w:r>
          </w:p>
        </w:tc>
        <w:tc>
          <w:tcPr>
            <w:tcW w:type="dxa" w:w="3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Measured via</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Total subscribers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&gt;200 in first 60 days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 dashboard</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Homepage inline widget CVR</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&gt;3% of homepage visitors who see widget</w:t>
            </w:r>
          </w:p>
        </w:tc>
        <w:tc>
          <w:tcPr>
            <w:tcW w:type="dxa" w:w="3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 UTM source 'inline_homepage'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Sticky bar CVR</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&gt;1.5% of triggered impressions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 UTM source 'sticky_bar'</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Welcome sequence open rate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&gt;50% Email 1, &gt;35% Emails 2–4</w:t>
            </w:r>
          </w:p>
        </w:tc>
        <w:tc>
          <w:tcPr>
            <w:tcW w:type="dxa" w:w="3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 automation analytics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Weekly digest open rate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&gt;40% (niche newsletter average is 35–45%)</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 broadcast analytics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Unsubscribe rate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&lt;2% per edition</w:t>
            </w:r>
          </w:p>
        </w:tc>
        <w:tc>
          <w:tcPr>
            <w:tcW w:type="dxa" w:w="3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 dashboard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Portal return visit from email</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&gt;20% of digest openers click through to site</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UTM tracking on all email links</w:t>
            </w:r>
          </w:p>
        </w:tc>
      </w:tr>
    </w:tbl>
    <w:p>
      <w:r>
        <w:br w:type="page"/>
      </w:r>
    </w:p>
    <w:p>
      <w:pPr>
        <w:pStyle w:val="Heading1"/>
        <w:spacing w:before="360" w:after="100"/>
      </w:pPr>
      <w:r>
        <w:rPr>
          <w:rFonts w:ascii="Arial" w:cs="Arial" w:eastAsia="Arial" w:hAnsi="Arial"/>
          <w:b/>
          <w:bCs/>
          <w:color w:val="111827"/>
          <w:sz w:val="40"/>
          <w:szCs w:val="40"/>
        </w:rPr>
        <w:t xml:space="preserve">8. Open Questions for Antigravity</w:t>
      </w:r>
    </w:p>
    <w:p>
      <w:pPr>
        <w:pBdr>
          <w:bottom w:val="single" w:color="E5E7EB" w:sz="4" w:space="1"/>
        </w:pBdr>
        <w:spacing w:before="120" w:after="120"/>
      </w:pP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2000"/>
        <w:gridCol w:w="2400"/>
      </w:tblGrid>
      <w:tr>
        <w:trPr>
          <w:tblHeader/>
        </w:trPr>
        <w:tc>
          <w:tcPr>
            <w:tcW w:type="dxa" w:w="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4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Question</w:t>
            </w:r>
          </w:p>
        </w:tc>
        <w:tc>
          <w:tcPr>
            <w:tcW w:type="dxa" w:w="20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Decision needed</w:t>
            </w:r>
          </w:p>
        </w:tc>
        <w:tc>
          <w:tcPr>
            <w:tcW w:type="dxa" w:w="2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Default if no answer</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Is the site on Next.js, Remix, or vanilla React + Netlify Functions? Determines where /api/subscribe lives.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Before build starts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Assume Netlify Functions</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2</w:t>
            </w:r>
          </w:p>
        </w:tc>
        <w:tc>
          <w:tcPr>
            <w:tcW w:type="dxa" w:w="4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Should sticky bar be suppressed on /careers to avoid competing CTAs?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Sprint 1</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Yes — suppress on /careers</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3</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Exit-intent trigger for modal (user moves mouse to browser bar) in addition to nav click?</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Sprint 1</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No — nav click only for MVP</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4</w:t>
            </w:r>
          </w:p>
        </w:tc>
        <w:tc>
          <w:tcPr>
            <w:tcW w:type="dxa" w:w="4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Footer field: add inline to existing footer component, or as a separate pre-footer band?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Sprint 1</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Inline to existing footer</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5</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Beehiiv account — does it exist yet, or does Antigravity need to set it up?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Before build starts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Shubhanshu sets up Beehiiv; provides API key + Publication ID to Antigravity</w:t>
            </w:r>
          </w:p>
        </w:tc>
      </w:tr>
    </w:tbl>
    <w:p>
      <w:pPr>
        <w:spacing w:before="80" w:after="0"/>
      </w:pPr>
    </w:p>
    <w:p>
      <w:pPr>
        <w:pStyle w:val="Heading2"/>
        <w:spacing w:before="260" w:after="80"/>
      </w:pPr>
      <w:r>
        <w:rPr>
          <w:rFonts w:ascii="Arial" w:cs="Arial" w:eastAsia="Arial" w:hAnsi="Arial"/>
          <w:b/>
          <w:bCs/>
          <w:color w:val="111827"/>
          <w:sz w:val="28"/>
          <w:szCs w:val="28"/>
        </w:rPr>
        <w:t xml:space="preserve">Phased delivery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400"/>
      </w:tblGrid>
      <w:tr>
        <w:trPr>
          <w:tblHeader/>
        </w:trPr>
        <w:tc>
          <w:tcPr>
            <w:tcW w:type="dxa" w:w="12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Phase</w:t>
            </w:r>
          </w:p>
        </w:tc>
        <w:tc>
          <w:tcPr>
            <w:tcW w:type="dxa" w:w="56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Scope</w:t>
            </w:r>
          </w:p>
        </w:tc>
        <w:tc>
          <w:tcPr>
            <w:tcW w:type="dxa" w:w="2400"/>
            <w:tcBorders>
              <w:top w:val="single" w:color="93C5FD" w:sz="1"/>
              <w:left w:val="single" w:color="93C5FD" w:sz="1"/>
              <w:bottom w:val="single" w:color="93C5FD" w:sz="1"/>
              <w:right w:val="single" w:color="93C5FD"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Ships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MVP</w:t>
            </w:r>
          </w:p>
        </w:tc>
        <w:tc>
          <w:tcPr>
            <w:tcW w:type="dxa" w:w="5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Inline widget + sticky bar + Beehiiv API + nav Subscribe link + modal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All four entry points functional, subscriptions captured in Beehiiv</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v1.1</w:t>
            </w:r>
          </w:p>
        </w:tc>
        <w:tc>
          <w:tcPr>
            <w:tcW w:type="dxa" w:w="5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Footer field, localStorage dismiss flag for sticky bar, welcome sequence live in Beehiiv</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Full dual-track architecture live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v1.2</w:t>
            </w:r>
          </w:p>
        </w:tc>
        <w:tc>
          <w:tcPr>
            <w:tcW w:type="dxa" w:w="5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Subscriber count social proof ('Join 500+ readers'), A/B test headline copy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Conversion optimisation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11827"/>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11827"/>
      <w:sz w:val="28"/>
      <w:szCs w:val="28"/>
    </w:rPr>
  </w:style>
  <w:style w:type="paragraph" w:styleId="Heading3">
    <w:name w:val="Heading 3"/>
    <w:basedOn w:val="Normal"/>
    <w:next w:val="Normal"/>
    <w:qFormat/>
    <w:pPr>
      <w:spacing w:before="200" w:after="7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2026-03-08T10:50:36.987Z</dcterms:created>
  <dcterms:modified xsi:type="dcterms:W3CDTF">2026-03-08T10:50:36.988Z</dcterms:modified>
</cp:coreProperties>
</file>

<file path=docProps/custom.xml><?xml version="1.0" encoding="utf-8"?>
<Properties xmlns="http://schemas.openxmlformats.org/officeDocument/2006/custom-properties" xmlns:vt="http://schemas.openxmlformats.org/officeDocument/2006/docPropsVTypes"/>
</file>