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Times New Roman" w:hAnsi="Times New Roman"/>
          <w:b w:val="0"/>
          <w:i w:val="0"/>
          <w:sz w:val="44"/>
        </w:rPr>
        <w:t>CrowdSafe: Zero-Shot Crowd Density Estimation and Uncertainty-Aware Forecasting for CCTV-Based Early Warning</w:t>
      </w:r>
    </w:p>
    <w:p>
      <w:pPr>
        <w:spacing w:after="0"/>
        <w:jc w:val="center"/>
      </w:pPr>
      <w:r>
        <w:rPr>
          <w:rFonts w:ascii="Times New Roman" w:hAnsi="Times New Roman"/>
          <w:b w:val="0"/>
          <w:i w:val="0"/>
          <w:sz w:val="22"/>
        </w:rPr>
        <w:t>Shruti Mishra</w:t>
      </w:r>
    </w:p>
    <w:p>
      <w:pPr>
        <w:spacing w:after="0"/>
        <w:jc w:val="center"/>
      </w:pPr>
      <w:r>
        <w:rPr>
          <w:rFonts w:ascii="Times New Roman" w:hAnsi="Times New Roman"/>
          <w:b w:val="0"/>
          <w:i/>
          <w:sz w:val="18"/>
        </w:rPr>
        <w:t>KIET Group of Institutions</w:t>
      </w:r>
    </w:p>
    <w:p>
      <w:pPr>
        <w:spacing w:after="0"/>
        <w:jc w:val="center"/>
      </w:pPr>
      <w:r>
        <w:rPr>
          <w:rFonts w:ascii="Times New Roman" w:hAnsi="Times New Roman"/>
          <w:b w:val="0"/>
          <w:i w:val="0"/>
          <w:sz w:val="18"/>
        </w:rPr>
        <w:t>Ghaziabad, India</w:t>
      </w:r>
    </w:p>
    <w:p>
      <w:pPr>
        <w:spacing w:after="0"/>
        <w:jc w:val="center"/>
      </w:pPr>
      <w:r>
        <w:rPr>
          <w:rFonts w:ascii="Times New Roman" w:hAnsi="Times New Roman"/>
          <w:b w:val="0"/>
          <w:i w:val="0"/>
          <w:sz w:val="18"/>
        </w:rPr>
        <w:t>shruti.2327cseml1093@kiet.edu</w:t>
      </w:r>
    </w:p>
    <w:p>
      <w:pPr>
        <w:spacing w:after="40"/>
        <w:jc w:val="both"/>
      </w:pPr>
      <w:r>
        <w:rPr>
          <w:rFonts w:ascii="Times New Roman" w:hAnsi="Times New Roman"/>
          <w:b w:val="0"/>
          <w:i w:val="0"/>
          <w:sz w:val="8"/>
        </w:rPr>
      </w:r>
    </w:p>
    <w:p>
      <w:pPr>
        <w:spacing w:after="0"/>
        <w:jc w:val="center"/>
      </w:pPr>
      <w:r>
        <w:rPr>
          <w:rFonts w:ascii="Times New Roman" w:hAnsi="Times New Roman"/>
          <w:b w:val="0"/>
          <w:i w:val="0"/>
          <w:sz w:val="22"/>
        </w:rPr>
        <w:t>Shubhendra Singh</w:t>
      </w:r>
    </w:p>
    <w:p>
      <w:pPr>
        <w:spacing w:after="0"/>
        <w:jc w:val="center"/>
      </w:pPr>
      <w:r>
        <w:rPr>
          <w:rFonts w:ascii="Times New Roman" w:hAnsi="Times New Roman"/>
          <w:b w:val="0"/>
          <w:i/>
          <w:sz w:val="18"/>
        </w:rPr>
        <w:t>KIET Group of Institutions</w:t>
      </w:r>
    </w:p>
    <w:p>
      <w:pPr>
        <w:spacing w:after="0"/>
        <w:jc w:val="center"/>
      </w:pPr>
      <w:r>
        <w:rPr>
          <w:rFonts w:ascii="Times New Roman" w:hAnsi="Times New Roman"/>
          <w:b w:val="0"/>
          <w:i w:val="0"/>
          <w:sz w:val="18"/>
        </w:rPr>
        <w:t>Ghaziabad, India</w:t>
      </w:r>
    </w:p>
    <w:p>
      <w:pPr>
        <w:spacing w:after="0"/>
        <w:jc w:val="center"/>
      </w:pPr>
      <w:r>
        <w:rPr>
          <w:rFonts w:ascii="Times New Roman" w:hAnsi="Times New Roman"/>
          <w:b w:val="0"/>
          <w:i w:val="0"/>
          <w:sz w:val="18"/>
        </w:rPr>
        <w:t>shubhendra.2327cseml@kiet.edu</w:t>
      </w:r>
    </w:p>
    <w:p>
      <w:pPr>
        <w:spacing w:after="40"/>
        <w:jc w:val="both"/>
      </w:pPr>
      <w:r>
        <w:rPr>
          <w:rFonts w:ascii="Times New Roman" w:hAnsi="Times New Roman"/>
          <w:b w:val="0"/>
          <w:i w:val="0"/>
          <w:sz w:val="8"/>
        </w:rPr>
      </w:r>
    </w:p>
    <w:p>
      <w:pPr>
        <w:spacing w:after="0"/>
        <w:jc w:val="center"/>
      </w:pPr>
      <w:r>
        <w:rPr>
          <w:rFonts w:ascii="Times New Roman" w:hAnsi="Times New Roman"/>
          <w:b w:val="0"/>
          <w:i w:val="0"/>
          <w:sz w:val="22"/>
        </w:rPr>
        <w:t>Riddhima Sangal</w:t>
      </w:r>
    </w:p>
    <w:p>
      <w:pPr>
        <w:spacing w:after="0"/>
        <w:jc w:val="center"/>
      </w:pPr>
      <w:r>
        <w:rPr>
          <w:rFonts w:ascii="Times New Roman" w:hAnsi="Times New Roman"/>
          <w:b w:val="0"/>
          <w:i/>
          <w:sz w:val="18"/>
        </w:rPr>
        <w:t>KIET Group of Institutions</w:t>
      </w:r>
    </w:p>
    <w:p>
      <w:pPr>
        <w:spacing w:after="0"/>
        <w:jc w:val="center"/>
      </w:pPr>
      <w:r>
        <w:rPr>
          <w:rFonts w:ascii="Times New Roman" w:hAnsi="Times New Roman"/>
          <w:b w:val="0"/>
          <w:i w:val="0"/>
          <w:sz w:val="18"/>
        </w:rPr>
        <w:t>Ghaziabad, India</w:t>
      </w:r>
    </w:p>
    <w:p>
      <w:pPr>
        <w:spacing w:after="0"/>
        <w:jc w:val="center"/>
      </w:pPr>
      <w:r>
        <w:rPr>
          <w:rFonts w:ascii="Times New Roman" w:hAnsi="Times New Roman"/>
          <w:b w:val="0"/>
          <w:i w:val="0"/>
          <w:sz w:val="18"/>
        </w:rPr>
        <w:t>riddhima.2327cseml10@kiet.edu</w:t>
      </w:r>
    </w:p>
    <w:p>
      <w:pPr>
        <w:spacing w:after="40"/>
        <w:jc w:val="both"/>
      </w:pPr>
      <w:r>
        <w:rPr>
          <w:rFonts w:ascii="Times New Roman" w:hAnsi="Times New Roman"/>
          <w:b w:val="0"/>
          <w:i w:val="0"/>
          <w:sz w:val="8"/>
        </w:rPr>
      </w:r>
    </w:p>
    <w:p>
      <w:pPr>
        <w:spacing w:after="0"/>
        <w:jc w:val="center"/>
      </w:pPr>
      <w:r>
        <w:rPr>
          <w:rFonts w:ascii="Times New Roman" w:hAnsi="Times New Roman"/>
          <w:b w:val="0"/>
          <w:i w:val="0"/>
          <w:sz w:val="22"/>
        </w:rPr>
        <w:t>Sidharth Gautam</w:t>
      </w:r>
    </w:p>
    <w:p>
      <w:pPr>
        <w:spacing w:after="0"/>
        <w:jc w:val="center"/>
      </w:pPr>
      <w:r>
        <w:rPr>
          <w:rFonts w:ascii="Times New Roman" w:hAnsi="Times New Roman"/>
          <w:b w:val="0"/>
          <w:i/>
          <w:sz w:val="18"/>
        </w:rPr>
        <w:t>KIET Group of Institutions</w:t>
      </w:r>
    </w:p>
    <w:p>
      <w:pPr>
        <w:spacing w:after="0"/>
        <w:jc w:val="center"/>
      </w:pPr>
      <w:r>
        <w:rPr>
          <w:rFonts w:ascii="Times New Roman" w:hAnsi="Times New Roman"/>
          <w:b w:val="0"/>
          <w:i w:val="0"/>
          <w:sz w:val="18"/>
        </w:rPr>
        <w:t>Ghaziabad, India</w:t>
      </w:r>
    </w:p>
    <w:p>
      <w:pPr>
        <w:spacing w:after="0"/>
        <w:jc w:val="center"/>
      </w:pPr>
      <w:r>
        <w:rPr>
          <w:rFonts w:ascii="Times New Roman" w:hAnsi="Times New Roman"/>
          <w:b w:val="0"/>
          <w:i w:val="0"/>
          <w:sz w:val="18"/>
        </w:rPr>
        <w:t>sidharth.2327cseml10@kiet.edu</w:t>
      </w:r>
    </w:p>
    <w:p>
      <w:pPr>
        <w:spacing w:after="40"/>
        <w:jc w:val="both"/>
      </w:pPr>
      <w:r>
        <w:rPr>
          <w:rFonts w:ascii="Times New Roman" w:hAnsi="Times New Roman"/>
          <w:b w:val="0"/>
          <w:i w:val="0"/>
          <w:sz w:val="8"/>
        </w:rPr>
      </w:r>
    </w:p>
    <w:p>
      <w:pPr>
        <w:spacing w:after="0"/>
        <w:jc w:val="center"/>
      </w:pPr>
      <w:r>
        <w:rPr>
          <w:rFonts w:ascii="Times New Roman" w:hAnsi="Times New Roman"/>
          <w:b w:val="0"/>
          <w:i w:val="0"/>
          <w:sz w:val="22"/>
        </w:rPr>
        <w:t>Nidhi Singh</w:t>
      </w:r>
    </w:p>
    <w:p>
      <w:pPr>
        <w:spacing w:after="0"/>
        <w:jc w:val="center"/>
      </w:pPr>
      <w:r>
        <w:rPr>
          <w:rFonts w:ascii="Times New Roman" w:hAnsi="Times New Roman"/>
          <w:b w:val="0"/>
          <w:i/>
          <w:sz w:val="18"/>
        </w:rPr>
        <w:t>KIET Group of Institutions</w:t>
      </w:r>
    </w:p>
    <w:p>
      <w:pPr>
        <w:spacing w:after="0"/>
        <w:jc w:val="center"/>
      </w:pPr>
      <w:r>
        <w:rPr>
          <w:rFonts w:ascii="Times New Roman" w:hAnsi="Times New Roman"/>
          <w:b w:val="0"/>
          <w:i w:val="0"/>
          <w:sz w:val="18"/>
        </w:rPr>
        <w:t>Ghaziabad, India</w:t>
      </w:r>
    </w:p>
    <w:p>
      <w:pPr>
        <w:spacing w:after="0"/>
        <w:jc w:val="center"/>
      </w:pPr>
      <w:r>
        <w:rPr>
          <w:rFonts w:ascii="Times New Roman" w:hAnsi="Times New Roman"/>
          <w:b w:val="0"/>
          <w:i w:val="0"/>
          <w:sz w:val="18"/>
        </w:rPr>
        <w:t>nidhi.singh@kiet.edu</w:t>
      </w:r>
    </w:p>
    <w:p>
      <w:pPr>
        <w:spacing w:after="40"/>
        <w:jc w:val="both"/>
      </w:pPr>
      <w:r>
        <w:rPr>
          <w:rFonts w:ascii="Times New Roman" w:hAnsi="Times New Roman"/>
          <w:b w:val="0"/>
          <w:i w:val="0"/>
          <w:sz w:val="8"/>
        </w:rPr>
      </w:r>
    </w:p>
    <w:p>
      <w:pPr>
        <w:spacing w:after="120"/>
        <w:jc w:val="both"/>
      </w:pPr>
      <w:r>
        <w:rPr>
          <w:rFonts w:ascii="Times New Roman" w:hAnsi="Times New Roman"/>
          <w:b/>
          <w:i w:val="0"/>
          <w:sz w:val="18"/>
        </w:rPr>
        <w:t>Abstract—</w:t>
      </w:r>
      <w:r>
        <w:rPr>
          <w:rFonts w:ascii="Times New Roman" w:hAnsi="Times New Roman"/>
          <w:b/>
          <w:i w:val="0"/>
          <w:sz w:val="18"/>
        </w:rPr>
        <w:t>Crowd safety depends on how many people stand on each square metre of floor, while most camera systems only count people in the whole image. CrowdSafe turns the video of a fixed CCTV camera into crowd density, in persons/m², for every zone of the floor and raises alerts before a zone becomes overcrowded. First, a camera model is fitted to desks of known size, which links every image pixel to a floor position in metres. Next, the CLIP-EBC model produces a density map of the people in each frame, and RAFT optical flow measures how the people move. The camera model then converts these maps into the density and walking speed of every floor zone, once per second. The Chronos-2 forecasting model predicts the density of each zone 10–60 s ahead, and conformal calibration adds a safe upper limit to each forecast. This upper limit places every zone in one of four levels, Low, Medium, High or Critical, and an alert is raised when a zone stays at High or above for 10 s. The system is tested on classroom CCTV recordings with 6,715 hand-labelled heads, on real crowd experiments from Jülich and on JuPedSim simulations. People are counted with an error of 2.0–5.1 per frame, zone density is measured within 0.08–0.10 persons/m², the upper limit holds for 84–96 % of forecasts, alerts arrive a median of 7.5 s ahead for 34 % of simulated dangerous events, and the full pipeline runs on one A100 GPU with a median delay of 0.49 s.</w:t>
      </w:r>
    </w:p>
    <w:p>
      <w:pPr>
        <w:spacing w:after="200"/>
        <w:jc w:val="both"/>
      </w:pPr>
      <w:r>
        <w:rPr>
          <w:rFonts w:ascii="Times New Roman" w:hAnsi="Times New Roman"/>
          <w:b/>
          <w:i w:val="0"/>
          <w:sz w:val="18"/>
        </w:rPr>
        <w:t>Index Terms—</w:t>
      </w:r>
      <w:r>
        <w:rPr>
          <w:rFonts w:ascii="Times New Roman" w:hAnsi="Times New Roman"/>
          <w:b/>
          <w:i w:val="0"/>
          <w:sz w:val="18"/>
        </w:rPr>
        <w:t>crowd counting, crowd density estimation, zero-shot learning, time-series forecasting, conformal prediction, optical flow, early warning</w:t>
      </w:r>
    </w:p>
    <w:p>
      <w:pPr>
        <w:spacing w:after="80"/>
        <w:jc w:val="center"/>
      </w:pPr>
      <w:r>
        <w:rPr>
          <w:rFonts w:ascii="Times New Roman" w:hAnsi="Times New Roman"/>
          <w:b w:val="0"/>
          <w:i w:val="0"/>
          <w:sz w:val="20"/>
        </w:rPr>
        <w:t>I. INTRODUCTION</w:t>
      </w:r>
    </w:p>
    <w:p>
      <w:pPr>
        <w:spacing w:after="80"/>
        <w:ind w:firstLine="245"/>
        <w:jc w:val="both"/>
      </w:pPr>
      <w:r>
        <w:rPr>
          <w:rFonts w:ascii="Times New Roman" w:hAnsi="Times New Roman"/>
          <w:b w:val="0"/>
          <w:i w:val="0"/>
          <w:sz w:val="20"/>
        </w:rPr>
        <w:t xml:space="preserve">Crowd disasters are caused by local density, not by the total number of people present. Dangerous conditions begin at roughly 4–5 persons/m², with stop-and-go and turbulent flow at higher densities [1], [2]. Many venues already operate fixed CCTV cameras. Crowd-counting methods and most deployed analytics report people per image [3], [4], [5]. Such a count does not show </w:t>
      </w:r>
      <w:r>
        <w:rPr>
          <w:rFonts w:ascii="Times New Roman" w:hAnsi="Times New Roman"/>
          <w:b w:val="0"/>
          <w:i/>
          <w:sz w:val="20"/>
        </w:rPr>
        <w:t>where</w:t>
      </w:r>
      <w:r>
        <w:rPr>
          <w:rFonts w:ascii="Times New Roman" w:hAnsi="Times New Roman"/>
          <w:b w:val="0"/>
          <w:i w:val="0"/>
          <w:sz w:val="20"/>
        </w:rPr>
        <w:t xml:space="preserve"> density builds up and cannot be compared with density limits without the floor area that each image region covers, which requires a camera calibration that existing installations rarely have. Anticipating danger also needs a forecaster that works without venue-specific training data, because dangerous events are rare. Given an existing CCTV camera and a few measured dimensions in the scene, the task is to estimate the density of each floor zone every second, forecast that density with a reliable upper bound, and raise an alert </w:t>
      </w:r>
      <w:r>
        <w:rPr>
          <w:rFonts w:ascii="Times New Roman" w:hAnsi="Times New Roman"/>
          <w:b w:val="0"/>
          <w:i/>
          <w:sz w:val="20"/>
        </w:rPr>
        <w:t>before</w:t>
      </w:r>
      <w:r>
        <w:rPr>
          <w:rFonts w:ascii="Times New Roman" w:hAnsi="Times New Roman"/>
          <w:b w:val="0"/>
          <w:i w:val="0"/>
          <w:sz w:val="20"/>
        </w:rPr>
        <w:t xml:space="preserve"> a zone becomes dangerous, with few false alarms. The objectives are (i) zone density in persons/m² without training a counting model; (ii) a forecast bound with coverage checked on separate test data; (iii) alert lead time and false alarms measured on real and simulated dense crowds; and (iv) live latency on one GPU. The contributions are:</w:t>
      </w:r>
    </w:p>
    <w:p>
      <w:pPr>
        <w:spacing w:after="40"/>
        <w:jc w:val="both"/>
      </w:pPr>
      <w:r>
        <w:rPr>
          <w:rFonts w:ascii="Times New Roman" w:hAnsi="Times New Roman"/>
          <w:b w:val="0"/>
          <w:i w:val="0"/>
          <w:sz w:val="20"/>
        </w:rPr>
        <w:t xml:space="preserve">1) </w:t>
      </w:r>
      <w:r>
        <w:rPr>
          <w:rFonts w:ascii="Times New Roman" w:hAnsi="Times New Roman"/>
          <w:b w:val="0"/>
          <w:i w:val="0"/>
          <w:sz w:val="20"/>
        </w:rPr>
        <w:t>A camera calibration that fits a camera model with lens distortion to desk tops of known length and to straight edges in the room, so that every image pixel maps to a floor position in metres; the result is checked against tape-measured distances that are not used in the fit.</w:t>
      </w:r>
    </w:p>
    <w:p>
      <w:pPr>
        <w:spacing w:after="40"/>
        <w:jc w:val="both"/>
      </w:pPr>
      <w:r>
        <w:rPr>
          <w:rFonts w:ascii="Times New Roman" w:hAnsi="Times New Roman"/>
          <w:b w:val="0"/>
          <w:i w:val="0"/>
          <w:sz w:val="20"/>
        </w:rPr>
        <w:t xml:space="preserve">2) </w:t>
      </w:r>
      <w:r>
        <w:rPr>
          <w:rFonts w:ascii="Times New Roman" w:hAnsi="Times New Roman"/>
          <w:b w:val="0"/>
          <w:i w:val="0"/>
          <w:sz w:val="20"/>
        </w:rPr>
        <w:t>A counting evaluation on real CCTV across rooms, which selects a zero-shot density model over person detectors and detector–density combinations.</w:t>
      </w:r>
    </w:p>
    <w:p>
      <w:pPr>
        <w:spacing w:after="40"/>
        <w:jc w:val="both"/>
      </w:pPr>
      <w:r>
        <w:rPr>
          <w:rFonts w:ascii="Times New Roman" w:hAnsi="Times New Roman"/>
          <w:b w:val="0"/>
          <w:i w:val="0"/>
          <w:sz w:val="20"/>
        </w:rPr>
        <w:t xml:space="preserve">3) </w:t>
      </w:r>
      <w:r>
        <w:rPr>
          <w:rFonts w:ascii="Times New Roman" w:hAnsi="Times New Roman"/>
          <w:b w:val="0"/>
          <w:i w:val="0"/>
          <w:sz w:val="20"/>
        </w:rPr>
        <w:t>Zero-shot forecasting of zone density with a conformally calibrated upper bound.</w:t>
      </w:r>
    </w:p>
    <w:p>
      <w:pPr>
        <w:spacing w:after="40"/>
        <w:jc w:val="both"/>
      </w:pPr>
      <w:r>
        <w:rPr>
          <w:rFonts w:ascii="Times New Roman" w:hAnsi="Times New Roman"/>
          <w:b w:val="0"/>
          <w:i w:val="0"/>
          <w:sz w:val="20"/>
        </w:rPr>
        <w:t xml:space="preserve">4) </w:t>
      </w:r>
      <w:r>
        <w:rPr>
          <w:rFonts w:ascii="Times New Roman" w:hAnsi="Times New Roman"/>
          <w:b w:val="0"/>
          <w:i w:val="0"/>
          <w:sz w:val="20"/>
        </w:rPr>
        <w:t>An early-warning evaluation with a clear lead-time protocol on real and simulated dense crowds.</w:t>
      </w:r>
    </w:p>
    <w:p>
      <w:pPr>
        <w:spacing w:after="40"/>
        <w:jc w:val="both"/>
      </w:pPr>
      <w:r>
        <w:rPr>
          <w:rFonts w:ascii="Times New Roman" w:hAnsi="Times New Roman"/>
          <w:b w:val="0"/>
          <w:i w:val="0"/>
          <w:sz w:val="20"/>
        </w:rPr>
        <w:t xml:space="preserve">5) </w:t>
      </w:r>
      <w:r>
        <w:rPr>
          <w:rFonts w:ascii="Times New Roman" w:hAnsi="Times New Roman"/>
          <w:b w:val="0"/>
          <w:i w:val="0"/>
          <w:sz w:val="20"/>
        </w:rPr>
        <w:t>A live implementation with measured latency and a replay dashboard.</w:t>
      </w:r>
    </w:p>
    <w:p>
      <w:pPr>
        <w:spacing w:after="80"/>
        <w:jc w:val="center"/>
      </w:pPr>
      <w:r>
        <w:rPr>
          <w:rFonts w:ascii="Times New Roman" w:hAnsi="Times New Roman"/>
          <w:b w:val="0"/>
          <w:i w:val="0"/>
          <w:sz w:val="20"/>
        </w:rPr>
        <w:t>II. RELATED WORK</w:t>
      </w:r>
    </w:p>
    <w:p>
      <w:pPr>
        <w:spacing w:after="60"/>
        <w:jc w:val="left"/>
      </w:pPr>
      <w:r>
        <w:rPr>
          <w:rFonts w:ascii="Times New Roman" w:hAnsi="Times New Roman"/>
          <w:b w:val="0"/>
          <w:i/>
          <w:sz w:val="20"/>
        </w:rPr>
        <w:t>A. Crowd Counting: Detection versus Density Estimation</w:t>
      </w:r>
    </w:p>
    <w:p>
      <w:pPr>
        <w:spacing w:after="80"/>
        <w:ind w:firstLine="245"/>
        <w:jc w:val="both"/>
      </w:pPr>
      <w:r>
        <w:rPr>
          <w:rFonts w:ascii="Times New Roman" w:hAnsi="Times New Roman"/>
          <w:b w:val="0"/>
          <w:i w:val="0"/>
          <w:sz w:val="20"/>
        </w:rPr>
        <w:t>Density-map methods estimate a per-pixel density whose sum is the count. MCNN introduced the ShanghaiTech benchmark [3]. CSRNet replaced pooling with dilated convolutions [4]. CLIP-EBC recasts counting as blockwise classification on a CLIP backbone trained on NWPU-Crowd [5], [6]. Detectors such as YOLO11, including models trained on CrowdHuman, count only visible people [7], [8].</w:t>
      </w:r>
    </w:p>
    <w:p>
      <w:pPr>
        <w:spacing w:after="60"/>
        <w:jc w:val="left"/>
      </w:pPr>
      <w:r>
        <w:rPr>
          <w:rFonts w:ascii="Times New Roman" w:hAnsi="Times New Roman"/>
          <w:b w:val="0"/>
          <w:i/>
          <w:sz w:val="20"/>
        </w:rPr>
        <w:t>B. Crowd Dynamics and Danger Indicators</w:t>
      </w:r>
    </w:p>
    <w:p>
      <w:pPr>
        <w:spacing w:after="80"/>
        <w:ind w:firstLine="245"/>
        <w:jc w:val="both"/>
      </w:pPr>
      <w:r>
        <w:rPr>
          <w:rFonts w:ascii="Times New Roman" w:hAnsi="Times New Roman"/>
          <w:b w:val="0"/>
          <w:i w:val="0"/>
          <w:sz w:val="20"/>
        </w:rPr>
        <w:t>Video of the 2006 Hajj disaster shows a transition from laminar to stop-and-go to turbulent flow, and crowd pressure, defined as density times velocity variance, is proposed as a danger indicator [2]. The Jülich archive provides trajectories of controlled high-density experiments [9]. PedPy analyses and JuPedSim simulates such pedestrian data [10], [11].</w:t>
      </w:r>
    </w:p>
    <w:p>
      <w:pPr>
        <w:spacing w:after="60"/>
        <w:jc w:val="left"/>
      </w:pPr>
      <w:r>
        <w:rPr>
          <w:rFonts w:ascii="Times New Roman" w:hAnsi="Times New Roman"/>
          <w:b w:val="0"/>
          <w:i/>
          <w:sz w:val="20"/>
        </w:rPr>
        <w:t>C. Crowd Density and Flow Forecasting</w:t>
      </w:r>
    </w:p>
    <w:p>
      <w:pPr>
        <w:spacing w:after="80"/>
        <w:ind w:firstLine="245"/>
        <w:jc w:val="both"/>
      </w:pPr>
      <w:r>
        <w:rPr>
          <w:rFonts w:ascii="Times New Roman" w:hAnsi="Times New Roman"/>
          <w:b w:val="0"/>
          <w:i w:val="0"/>
          <w:sz w:val="20"/>
        </w:rPr>
        <w:t>ST-ResNet forecasts the inflow and outflow of city regions [12]. A two-stream recurrent network forecasts future crowd distributions from video [13]. Chronos and Chronos-2 forecast new series without training [14], [15]. Split conformal prediction gives a bound with finite-sample coverage [16].</w:t>
      </w:r>
    </w:p>
    <w:p>
      <w:pPr>
        <w:spacing w:after="60"/>
        <w:jc w:val="left"/>
      </w:pPr>
      <w:r>
        <w:rPr>
          <w:rFonts w:ascii="Times New Roman" w:hAnsi="Times New Roman"/>
          <w:b w:val="0"/>
          <w:i/>
          <w:sz w:val="20"/>
        </w:rPr>
        <w:t>D. Integrated Crowd Monitoring and Early-Warning Systems</w:t>
      </w:r>
    </w:p>
    <w:p>
      <w:pPr>
        <w:spacing w:after="80"/>
        <w:ind w:firstLine="245"/>
        <w:jc w:val="both"/>
      </w:pPr>
      <w:r>
        <w:rPr>
          <w:rFonts w:ascii="Times New Roman" w:hAnsi="Times New Roman"/>
          <w:b w:val="0"/>
          <w:i w:val="0"/>
          <w:sz w:val="20"/>
        </w:rPr>
        <w:t>A video-based system estimates and predicts crowd density over a multi-camera network for wide-area surveillance [17]. Forecasting of future crowd distributions is also motivated by alerts for regions that will become over-crowded [13].</w:t>
      </w:r>
    </w:p>
    <w:p>
      <w:pPr>
        <w:spacing w:after="60"/>
        <w:jc w:val="left"/>
      </w:pPr>
      <w:r>
        <w:rPr>
          <w:rFonts w:ascii="Times New Roman" w:hAnsi="Times New Roman"/>
          <w:b w:val="0"/>
          <w:i/>
          <w:sz w:val="20"/>
        </w:rPr>
        <w:t>E. Research Gap</w:t>
      </w:r>
    </w:p>
    <w:p>
      <w:pPr>
        <w:spacing w:after="80"/>
        <w:ind w:firstLine="245"/>
        <w:jc w:val="both"/>
      </w:pPr>
      <w:r>
        <w:rPr>
          <w:rFonts w:ascii="Times New Roman" w:hAnsi="Times New Roman"/>
          <w:b w:val="0"/>
          <w:i w:val="0"/>
          <w:sz w:val="20"/>
        </w:rPr>
        <w:t>Table I summarises the reviewed studies. The reviewed sources contain no evaluation that combines density in persons/m² per floor zone from an existing uncalibrated camera, a forecast bound with verified coverage, and alert lead time measured on real dense crowds. CrowdSafe covers this combination with pretrained components only.</w:t>
      </w:r>
    </w:p>
    <w:p>
      <w:pPr>
        <w:spacing w:after="40"/>
        <w:jc w:val="center"/>
      </w:pPr>
      <w:r>
        <w:rPr>
          <w:rFonts w:ascii="Times New Roman" w:hAnsi="Times New Roman"/>
          <w:b w:val="0"/>
          <w:i w:val="0"/>
          <w:sz w:val="18"/>
        </w:rPr>
        <w:t>TABLE I: Research Gap per Reviewed Study</w:t>
      </w:r>
    </w:p>
    <w:tbl>
      <w:tblPr>
        <w:tblW w:type="auto" w:w="0"/>
        <w:jc w:val="center"/>
        <w:tblLook w:firstColumn="1" w:firstRow="1" w:lastColumn="0" w:lastRow="0" w:noHBand="0" w:noVBand="1" w:val="04A0"/>
        <w:tblBorders>
          <w:top w:val="single" w:sz="4" w:color="000000"/>
          <w:bottom w:val="single" w:sz="4" w:color="000000"/>
          <w:insideH w:val="single" w:sz="4" w:color="000000"/>
        </w:tblBorders>
      </w:tblPr>
      <w:tblGrid>
        <w:gridCol w:w="2520"/>
        <w:gridCol w:w="2520"/>
        <w:gridCol w:w="2520"/>
        <w:gridCol w:w="2520"/>
      </w:tblGrid>
      <w:tr>
        <w:tc>
          <w:tcPr>
            <w:tcW w:type="dxa" w:w="2520"/>
          </w:tcPr>
          <w:p>
            <w:pPr>
              <w:spacing w:after="0"/>
            </w:pPr>
            <w:r>
              <w:rPr>
                <w:rFonts w:ascii="Times New Roman" w:hAnsi="Times New Roman"/>
                <w:b/>
                <w:i w:val="0"/>
                <w:sz w:val="16"/>
              </w:rPr>
              <w:t>Study</w:t>
            </w:r>
          </w:p>
        </w:tc>
        <w:tc>
          <w:tcPr>
            <w:tcW w:type="dxa" w:w="2520"/>
          </w:tcPr>
          <w:p>
            <w:pPr>
              <w:spacing w:after="0"/>
            </w:pPr>
            <w:r>
              <w:rPr>
                <w:rFonts w:ascii="Times New Roman" w:hAnsi="Times New Roman"/>
                <w:b/>
                <w:i w:val="0"/>
                <w:sz w:val="16"/>
              </w:rPr>
              <w:t>Approach and evaluated setting</w:t>
            </w:r>
          </w:p>
        </w:tc>
        <w:tc>
          <w:tcPr>
            <w:tcW w:type="dxa" w:w="2520"/>
          </w:tcPr>
          <w:p>
            <w:pPr>
              <w:spacing w:after="0"/>
            </w:pPr>
            <w:r>
              <w:rPr>
                <w:rFonts w:ascii="Times New Roman" w:hAnsi="Times New Roman"/>
                <w:b/>
                <w:i w:val="0"/>
                <w:sz w:val="16"/>
              </w:rPr>
              <w:t>Difference relevant to CrowdSafe</w:t>
            </w:r>
          </w:p>
        </w:tc>
        <w:tc>
          <w:tcPr>
            <w:tcW w:type="dxa" w:w="2520"/>
          </w:tcPr>
          <w:p>
            <w:pPr>
              <w:spacing w:after="0"/>
            </w:pPr>
            <w:r>
              <w:rPr>
                <w:rFonts w:ascii="Times New Roman" w:hAnsi="Times New Roman"/>
                <w:b/>
                <w:i w:val="0"/>
                <w:sz w:val="16"/>
              </w:rPr>
              <w:t>Relation to this work</w:t>
            </w:r>
          </w:p>
        </w:tc>
      </w:tr>
      <w:tr>
        <w:tc>
          <w:tcPr>
            <w:tcW w:type="dxa" w:w="2520"/>
          </w:tcPr>
          <w:p>
            <w:pPr>
              <w:spacing w:after="0"/>
            </w:pPr>
            <w:r>
              <w:rPr>
                <w:rFonts w:ascii="Times New Roman" w:hAnsi="Times New Roman"/>
                <w:b w:val="0"/>
                <w:i w:val="0"/>
                <w:sz w:val="16"/>
              </w:rPr>
              <w:t>MCNN [3], CSRNet [4]</w:t>
            </w:r>
          </w:p>
        </w:tc>
        <w:tc>
          <w:tcPr>
            <w:tcW w:type="dxa" w:w="2520"/>
          </w:tcPr>
          <w:p>
            <w:pPr>
              <w:spacing w:after="0"/>
            </w:pPr>
            <w:r>
              <w:rPr>
                <w:rFonts w:ascii="Times New Roman" w:hAnsi="Times New Roman"/>
                <w:b w:val="0"/>
                <w:i w:val="0"/>
                <w:sz w:val="16"/>
              </w:rPr>
              <w:t>CNN density maps, trained per dataset (ShanghaiTech and others)</w:t>
            </w:r>
          </w:p>
        </w:tc>
        <w:tc>
          <w:tcPr>
            <w:tcW w:type="dxa" w:w="2520"/>
          </w:tcPr>
          <w:p>
            <w:pPr>
              <w:spacing w:after="0"/>
            </w:pPr>
            <w:r>
              <w:rPr>
                <w:rFonts w:ascii="Times New Roman" w:hAnsi="Times New Roman"/>
                <w:b w:val="0"/>
                <w:i w:val="0"/>
                <w:sz w:val="16"/>
              </w:rPr>
              <w:t>count per image; trained on the target data</w:t>
            </w:r>
          </w:p>
        </w:tc>
        <w:tc>
          <w:tcPr>
            <w:tcW w:type="dxa" w:w="2520"/>
          </w:tcPr>
          <w:p>
            <w:pPr>
              <w:spacing w:after="0"/>
            </w:pPr>
            <w:r>
              <w:rPr>
                <w:rFonts w:ascii="Times New Roman" w:hAnsi="Times New Roman"/>
                <w:b w:val="0"/>
                <w:i w:val="0"/>
                <w:sz w:val="16"/>
              </w:rPr>
              <w:t>compared on ShanghaiTech (Section V-A)</w:t>
            </w:r>
          </w:p>
        </w:tc>
      </w:tr>
      <w:tr>
        <w:tc>
          <w:tcPr>
            <w:tcW w:type="dxa" w:w="2520"/>
          </w:tcPr>
          <w:p>
            <w:pPr>
              <w:spacing w:after="0"/>
            </w:pPr>
            <w:r>
              <w:rPr>
                <w:rFonts w:ascii="Times New Roman" w:hAnsi="Times New Roman"/>
                <w:b w:val="0"/>
                <w:i w:val="0"/>
                <w:sz w:val="16"/>
              </w:rPr>
              <w:t>CLIP-EBC [5]</w:t>
            </w:r>
          </w:p>
        </w:tc>
        <w:tc>
          <w:tcPr>
            <w:tcW w:type="dxa" w:w="2520"/>
          </w:tcPr>
          <w:p>
            <w:pPr>
              <w:spacing w:after="0"/>
            </w:pPr>
            <w:r>
              <w:rPr>
                <w:rFonts w:ascii="Times New Roman" w:hAnsi="Times New Roman"/>
                <w:b w:val="0"/>
                <w:i w:val="0"/>
                <w:sz w:val="16"/>
              </w:rPr>
              <w:t>CLIP backbone, blockwise count classification; state of the art on NWPU-Crowd</w:t>
            </w:r>
          </w:p>
        </w:tc>
        <w:tc>
          <w:tcPr>
            <w:tcW w:type="dxa" w:w="2520"/>
          </w:tcPr>
          <w:p>
            <w:pPr>
              <w:spacing w:after="0"/>
            </w:pPr>
            <w:r>
              <w:rPr>
                <w:rFonts w:ascii="Times New Roman" w:hAnsi="Times New Roman"/>
                <w:b w:val="0"/>
                <w:i w:val="0"/>
                <w:sz w:val="16"/>
              </w:rPr>
              <w:t>image-level counts</w:t>
            </w:r>
          </w:p>
        </w:tc>
        <w:tc>
          <w:tcPr>
            <w:tcW w:type="dxa" w:w="2520"/>
          </w:tcPr>
          <w:p>
            <w:pPr>
              <w:spacing w:after="0"/>
            </w:pPr>
            <w:r>
              <w:rPr>
                <w:rFonts w:ascii="Times New Roman" w:hAnsi="Times New Roman"/>
                <w:b w:val="0"/>
                <w:i w:val="0"/>
                <w:sz w:val="16"/>
              </w:rPr>
              <w:t>used zero-shot, projected to persons/m² per zone</w:t>
            </w:r>
          </w:p>
        </w:tc>
      </w:tr>
      <w:tr>
        <w:tc>
          <w:tcPr>
            <w:tcW w:type="dxa" w:w="2520"/>
          </w:tcPr>
          <w:p>
            <w:pPr>
              <w:spacing w:after="0"/>
            </w:pPr>
            <w:r>
              <w:rPr>
                <w:rFonts w:ascii="Times New Roman" w:hAnsi="Times New Roman"/>
                <w:b w:val="0"/>
                <w:i w:val="0"/>
                <w:sz w:val="16"/>
              </w:rPr>
              <w:t>CrowdHuman [8]</w:t>
            </w:r>
          </w:p>
        </w:tc>
        <w:tc>
          <w:tcPr>
            <w:tcW w:type="dxa" w:w="2520"/>
          </w:tcPr>
          <w:p>
            <w:pPr>
              <w:spacing w:after="0"/>
            </w:pPr>
            <w:r>
              <w:rPr>
                <w:rFonts w:ascii="Times New Roman" w:hAnsi="Times New Roman"/>
                <w:b w:val="0"/>
                <w:i w:val="0"/>
                <w:sz w:val="16"/>
              </w:rPr>
              <w:t>full, visible and head boxes in crowded images</w:t>
            </w:r>
          </w:p>
        </w:tc>
        <w:tc>
          <w:tcPr>
            <w:tcW w:type="dxa" w:w="2520"/>
          </w:tcPr>
          <w:p>
            <w:pPr>
              <w:spacing w:after="0"/>
            </w:pPr>
            <w:r>
              <w:rPr>
                <w:rFonts w:ascii="Times New Roman" w:hAnsi="Times New Roman"/>
                <w:b w:val="0"/>
                <w:i w:val="0"/>
                <w:sz w:val="16"/>
              </w:rPr>
              <w:t>detectors count visible people only</w:t>
            </w:r>
          </w:p>
        </w:tc>
        <w:tc>
          <w:tcPr>
            <w:tcW w:type="dxa" w:w="2520"/>
          </w:tcPr>
          <w:p>
            <w:pPr>
              <w:spacing w:after="0"/>
            </w:pPr>
            <w:r>
              <w:rPr>
                <w:rFonts w:ascii="Times New Roman" w:hAnsi="Times New Roman"/>
                <w:b w:val="0"/>
                <w:i w:val="0"/>
                <w:sz w:val="16"/>
              </w:rPr>
              <w:t>detectors used as counting baselines</w:t>
            </w:r>
          </w:p>
        </w:tc>
      </w:tr>
      <w:tr>
        <w:tc>
          <w:tcPr>
            <w:tcW w:type="dxa" w:w="2520"/>
          </w:tcPr>
          <w:p>
            <w:pPr>
              <w:spacing w:after="0"/>
            </w:pPr>
            <w:r>
              <w:rPr>
                <w:rFonts w:ascii="Times New Roman" w:hAnsi="Times New Roman"/>
                <w:b w:val="0"/>
                <w:i w:val="0"/>
                <w:sz w:val="16"/>
              </w:rPr>
              <w:t>Crowd-disaster analysis [2]</w:t>
            </w:r>
          </w:p>
        </w:tc>
        <w:tc>
          <w:tcPr>
            <w:tcW w:type="dxa" w:w="2520"/>
          </w:tcPr>
          <w:p>
            <w:pPr>
              <w:spacing w:after="0"/>
            </w:pPr>
            <w:r>
              <w:rPr>
                <w:rFonts w:ascii="Times New Roman" w:hAnsi="Times New Roman"/>
                <w:b w:val="0"/>
                <w:i w:val="0"/>
                <w:sz w:val="16"/>
              </w:rPr>
              <w:t>empirical analysis of the 2006 Hajj disaster video; crowd pressure</w:t>
            </w:r>
          </w:p>
        </w:tc>
        <w:tc>
          <w:tcPr>
            <w:tcW w:type="dxa" w:w="2520"/>
          </w:tcPr>
          <w:p>
            <w:pPr>
              <w:spacing w:after="0"/>
            </w:pPr>
            <w:r>
              <w:rPr>
                <w:rFonts w:ascii="Times New Roman" w:hAnsi="Times New Roman"/>
                <w:b w:val="0"/>
                <w:i w:val="0"/>
                <w:sz w:val="16"/>
              </w:rPr>
              <w:t>empirical study, not a forecasting system</w:t>
            </w:r>
          </w:p>
        </w:tc>
        <w:tc>
          <w:tcPr>
            <w:tcW w:type="dxa" w:w="2520"/>
          </w:tcPr>
          <w:p>
            <w:pPr>
              <w:spacing w:after="0"/>
            </w:pPr>
            <w:r>
              <w:rPr>
                <w:rFonts w:ascii="Times New Roman" w:hAnsi="Times New Roman"/>
                <w:b w:val="0"/>
                <w:i w:val="0"/>
                <w:sz w:val="16"/>
              </w:rPr>
              <w:t>crowd pressure computed for every zone</w:t>
            </w:r>
          </w:p>
        </w:tc>
      </w:tr>
      <w:tr>
        <w:tc>
          <w:tcPr>
            <w:tcW w:type="dxa" w:w="2520"/>
          </w:tcPr>
          <w:p>
            <w:pPr>
              <w:spacing w:after="0"/>
            </w:pPr>
            <w:r>
              <w:rPr>
                <w:rFonts w:ascii="Times New Roman" w:hAnsi="Times New Roman"/>
                <w:b w:val="0"/>
                <w:i w:val="0"/>
                <w:sz w:val="16"/>
              </w:rPr>
              <w:t>ST-ResNet [12]</w:t>
            </w:r>
          </w:p>
        </w:tc>
        <w:tc>
          <w:tcPr>
            <w:tcW w:type="dxa" w:w="2520"/>
          </w:tcPr>
          <w:p>
            <w:pPr>
              <w:spacing w:after="0"/>
            </w:pPr>
            <w:r>
              <w:rPr>
                <w:rFonts w:ascii="Times New Roman" w:hAnsi="Times New Roman"/>
                <w:b w:val="0"/>
                <w:i w:val="0"/>
                <w:sz w:val="16"/>
              </w:rPr>
              <w:t>forecasts city-region inflow/outflow from trajectory data</w:t>
            </w:r>
          </w:p>
        </w:tc>
        <w:tc>
          <w:tcPr>
            <w:tcW w:type="dxa" w:w="2520"/>
          </w:tcPr>
          <w:p>
            <w:pPr>
              <w:spacing w:after="0"/>
            </w:pPr>
            <w:r>
              <w:rPr>
                <w:rFonts w:ascii="Times New Roman" w:hAnsi="Times New Roman"/>
                <w:b w:val="0"/>
                <w:i w:val="0"/>
                <w:sz w:val="16"/>
              </w:rPr>
              <w:t>grid flows, not CCTV zones</w:t>
            </w:r>
          </w:p>
        </w:tc>
        <w:tc>
          <w:tcPr>
            <w:tcW w:type="dxa" w:w="2520"/>
          </w:tcPr>
          <w:p>
            <w:pPr>
              <w:spacing w:after="0"/>
            </w:pPr>
            <w:r>
              <w:rPr>
                <w:rFonts w:ascii="Times New Roman" w:hAnsi="Times New Roman"/>
                <w:b w:val="0"/>
                <w:i w:val="0"/>
                <w:sz w:val="16"/>
              </w:rPr>
              <w:t>motivates the inflow/outflow baseline</w:t>
            </w:r>
          </w:p>
        </w:tc>
      </w:tr>
      <w:tr>
        <w:tc>
          <w:tcPr>
            <w:tcW w:type="dxa" w:w="2520"/>
          </w:tcPr>
          <w:p>
            <w:pPr>
              <w:spacing w:after="0"/>
            </w:pPr>
            <w:r>
              <w:rPr>
                <w:rFonts w:ascii="Times New Roman" w:hAnsi="Times New Roman"/>
                <w:b w:val="0"/>
                <w:i w:val="0"/>
                <w:sz w:val="16"/>
              </w:rPr>
              <w:t>Crowd-distribution forecasting [13]</w:t>
            </w:r>
          </w:p>
        </w:tc>
        <w:tc>
          <w:tcPr>
            <w:tcW w:type="dxa" w:w="2520"/>
          </w:tcPr>
          <w:p>
            <w:pPr>
              <w:spacing w:after="0"/>
            </w:pPr>
            <w:r>
              <w:rPr>
                <w:rFonts w:ascii="Times New Roman" w:hAnsi="Times New Roman"/>
                <w:b w:val="0"/>
                <w:i w:val="0"/>
                <w:sz w:val="16"/>
              </w:rPr>
              <w:t>forecasts future crowd distribution from video frames and density maps</w:t>
            </w:r>
          </w:p>
        </w:tc>
        <w:tc>
          <w:tcPr>
            <w:tcW w:type="dxa" w:w="2520"/>
          </w:tcPr>
          <w:p>
            <w:pPr>
              <w:spacing w:after="0"/>
            </w:pPr>
            <w:r>
              <w:rPr>
                <w:rFonts w:ascii="Times New Roman" w:hAnsi="Times New Roman"/>
                <w:b w:val="0"/>
                <w:i w:val="0"/>
                <w:sz w:val="16"/>
              </w:rPr>
              <w:t>image-plane density</w:t>
            </w:r>
          </w:p>
        </w:tc>
        <w:tc>
          <w:tcPr>
            <w:tcW w:type="dxa" w:w="2520"/>
          </w:tcPr>
          <w:p>
            <w:pPr>
              <w:spacing w:after="0"/>
            </w:pPr>
            <w:r>
              <w:rPr>
                <w:rFonts w:ascii="Times New Roman" w:hAnsi="Times New Roman"/>
                <w:b w:val="0"/>
                <w:i w:val="0"/>
                <w:sz w:val="16"/>
              </w:rPr>
              <w:t>CrowdSafe forecasts zone density in persons/m² with a calibrated bound</w:t>
            </w:r>
          </w:p>
        </w:tc>
      </w:tr>
      <w:tr>
        <w:tc>
          <w:tcPr>
            <w:tcW w:type="dxa" w:w="2520"/>
          </w:tcPr>
          <w:p>
            <w:pPr>
              <w:spacing w:after="0"/>
            </w:pPr>
            <w:r>
              <w:rPr>
                <w:rFonts w:ascii="Times New Roman" w:hAnsi="Times New Roman"/>
                <w:b w:val="0"/>
                <w:i w:val="0"/>
                <w:sz w:val="16"/>
              </w:rPr>
              <w:t>Wide-area density prediction [17]</w:t>
            </w:r>
          </w:p>
        </w:tc>
        <w:tc>
          <w:tcPr>
            <w:tcW w:type="dxa" w:w="2520"/>
          </w:tcPr>
          <w:p>
            <w:pPr>
              <w:spacing w:after="0"/>
            </w:pPr>
            <w:r>
              <w:rPr>
                <w:rFonts w:ascii="Times New Roman" w:hAnsi="Times New Roman"/>
                <w:b w:val="0"/>
                <w:i w:val="0"/>
                <w:sz w:val="16"/>
              </w:rPr>
              <w:t>multi-camera density estimation with minutes-ahead prediction</w:t>
            </w:r>
          </w:p>
        </w:tc>
        <w:tc>
          <w:tcPr>
            <w:tcW w:type="dxa" w:w="2520"/>
          </w:tcPr>
          <w:p>
            <w:pPr>
              <w:spacing w:after="0"/>
            </w:pPr>
            <w:r>
              <w:rPr>
                <w:rFonts w:ascii="Times New Roman" w:hAnsi="Times New Roman"/>
                <w:b w:val="0"/>
                <w:i w:val="0"/>
                <w:sz w:val="16"/>
              </w:rPr>
              <w:t>different data and metrics</w:t>
            </w:r>
          </w:p>
        </w:tc>
        <w:tc>
          <w:tcPr>
            <w:tcW w:type="dxa" w:w="2520"/>
          </w:tcPr>
          <w:p>
            <w:pPr>
              <w:spacing w:after="0"/>
            </w:pPr>
            <w:r>
              <w:rPr>
                <w:rFonts w:ascii="Times New Roman" w:hAnsi="Times New Roman"/>
                <w:b w:val="0"/>
                <w:i w:val="0"/>
                <w:sz w:val="16"/>
              </w:rPr>
              <w:t>closest system; not directly comparable</w:t>
            </w:r>
          </w:p>
        </w:tc>
      </w:tr>
      <w:tr>
        <w:tc>
          <w:tcPr>
            <w:tcW w:type="dxa" w:w="2520"/>
          </w:tcPr>
          <w:p>
            <w:pPr>
              <w:spacing w:after="0"/>
            </w:pPr>
            <w:r>
              <w:rPr>
                <w:rFonts w:ascii="Times New Roman" w:hAnsi="Times New Roman"/>
                <w:b w:val="0"/>
                <w:i w:val="0"/>
                <w:sz w:val="16"/>
              </w:rPr>
              <w:t>Chronos-2 [15]</w:t>
            </w:r>
          </w:p>
        </w:tc>
        <w:tc>
          <w:tcPr>
            <w:tcW w:type="dxa" w:w="2520"/>
          </w:tcPr>
          <w:p>
            <w:pPr>
              <w:spacing w:after="0"/>
            </w:pPr>
            <w:r>
              <w:rPr>
                <w:rFonts w:ascii="Times New Roman" w:hAnsi="Times New Roman"/>
                <w:b w:val="0"/>
                <w:i w:val="0"/>
                <w:sz w:val="16"/>
              </w:rPr>
              <w:t>pretrained, zero-shot time-series forecaster</w:t>
            </w:r>
          </w:p>
        </w:tc>
        <w:tc>
          <w:tcPr>
            <w:tcW w:type="dxa" w:w="2520"/>
          </w:tcPr>
          <w:p>
            <w:pPr>
              <w:spacing w:after="0"/>
            </w:pPr>
            <w:r>
              <w:rPr>
                <w:rFonts w:ascii="Times New Roman" w:hAnsi="Times New Roman"/>
                <w:b w:val="0"/>
                <w:i w:val="0"/>
                <w:sz w:val="16"/>
              </w:rPr>
              <w:t>not evaluated on crowd density</w:t>
            </w:r>
          </w:p>
        </w:tc>
        <w:tc>
          <w:tcPr>
            <w:tcW w:type="dxa" w:w="2520"/>
          </w:tcPr>
          <w:p>
            <w:pPr>
              <w:spacing w:after="0"/>
            </w:pPr>
            <w:r>
              <w:rPr>
                <w:rFonts w:ascii="Times New Roman" w:hAnsi="Times New Roman"/>
                <w:b w:val="0"/>
                <w:i w:val="0"/>
                <w:sz w:val="16"/>
              </w:rPr>
              <w:t>used as the forecaster</w:t>
            </w:r>
          </w:p>
        </w:tc>
      </w:tr>
    </w:tbl>
    <w:p>
      <w:pPr>
        <w:spacing w:after="80"/>
        <w:jc w:val="both"/>
      </w:pPr>
      <w:r>
        <w:rPr>
          <w:rFonts w:ascii="Times New Roman" w:hAnsi="Times New Roman"/>
          <w:b w:val="0"/>
          <w:i w:val="0"/>
          <w:sz w:val="8"/>
        </w:rPr>
      </w:r>
    </w:p>
    <w:p>
      <w:pPr>
        <w:jc w:val="center"/>
      </w:pPr>
      <w:r>
        <w:drawing>
          <wp:inline xmlns:a="http://schemas.openxmlformats.org/drawingml/2006/main" xmlns:pic="http://schemas.openxmlformats.org/drawingml/2006/picture">
            <wp:extent cx="5943600" cy="4026637"/>
            <wp:docPr id="1" name="Picture 1"/>
            <wp:cNvGraphicFramePr>
              <a:graphicFrameLocks noChangeAspect="1"/>
            </wp:cNvGraphicFramePr>
            <a:graphic>
              <a:graphicData uri="http://schemas.openxmlformats.org/drawingml/2006/picture">
                <pic:pic>
                  <pic:nvPicPr>
                    <pic:cNvPr id="0" name="paper_pipeline.png"/>
                    <pic:cNvPicPr/>
                  </pic:nvPicPr>
                  <pic:blipFill>
                    <a:blip r:embed="rId9"/>
                    <a:stretch>
                      <a:fillRect/>
                    </a:stretch>
                  </pic:blipFill>
                  <pic:spPr>
                    <a:xfrm>
                      <a:off x="0" y="0"/>
                      <a:ext cx="5943600" cy="4026637"/>
                    </a:xfrm>
                    <a:prstGeom prst="rect"/>
                  </pic:spPr>
                </pic:pic>
              </a:graphicData>
            </a:graphic>
          </wp:inline>
        </w:drawing>
      </w:r>
    </w:p>
    <w:p>
      <w:pPr>
        <w:spacing w:after="200"/>
        <w:jc w:val="center"/>
      </w:pPr>
      <w:r>
        <w:rPr>
          <w:rFonts w:ascii="Times New Roman" w:hAnsi="Times New Roman"/>
          <w:b w:val="0"/>
          <w:i w:val="0"/>
          <w:sz w:val="18"/>
        </w:rPr>
        <w:t xml:space="preserve">Fig. 1. </w:t>
      </w:r>
      <w:r>
        <w:rPr>
          <w:rFonts w:ascii="Times New Roman" w:hAnsi="Times New Roman"/>
          <w:b w:val="0"/>
          <w:i w:val="0"/>
          <w:sz w:val="18"/>
        </w:rPr>
        <w:t>CrowdSafe pipeline: solid blocks form the deployed path; the dashed detector block serves frame-level counting comparison only.</w:t>
      </w:r>
    </w:p>
    <w:p>
      <w:pPr>
        <w:spacing w:after="80"/>
        <w:jc w:val="center"/>
      </w:pPr>
      <w:r>
        <w:rPr>
          <w:rFonts w:ascii="Times New Roman" w:hAnsi="Times New Roman"/>
          <w:b w:val="0"/>
          <w:i w:val="0"/>
          <w:sz w:val="20"/>
        </w:rPr>
        <w:t>III. PROPOSED METHODOLOGY</w:t>
      </w:r>
    </w:p>
    <w:p>
      <w:pPr>
        <w:spacing w:after="80"/>
        <w:ind w:firstLine="245"/>
        <w:jc w:val="both"/>
      </w:pPr>
      <w:r>
        <w:rPr>
          <w:rFonts w:ascii="Times New Roman" w:hAnsi="Times New Roman"/>
          <w:b w:val="0"/>
          <w:i w:val="0"/>
          <w:sz w:val="20"/>
        </w:rPr>
        <w:t>CrowdSafe is a chain of steps that turns camera frames into alerts, and each step works on the output of the previous one, as shown in Fig. 1. A camera model, fitted once, relates image pixels to the floor. Every second, a frame becomes a map of where people are, and a pair of frames becomes a field of how people move; both are collected per floor zone into densities in persons/m² and motion statistics, stored as one row per zone and second. Every 5 s, the recent rows of each zone are forecast, the calibrated upper bound of the forecast becomes a risk level, and sustained high levels become alerts on a dashboard. Each subsection states the operation of one step and gives an example from the real CCTV, Jülich and simulated data.</w:t>
      </w:r>
    </w:p>
    <w:p>
      <w:pPr>
        <w:spacing w:after="60"/>
        <w:jc w:val="left"/>
      </w:pPr>
      <w:r>
        <w:rPr>
          <w:rFonts w:ascii="Times New Roman" w:hAnsi="Times New Roman"/>
          <w:b w:val="0"/>
          <w:i/>
          <w:sz w:val="20"/>
        </w:rPr>
        <w:t>A. Camera Calibration</w:t>
      </w:r>
    </w:p>
    <w:p>
      <w:pPr>
        <w:spacing w:after="80"/>
        <w:ind w:firstLine="245"/>
        <w:jc w:val="both"/>
      </w:pPr>
      <w:r>
        <w:rPr>
          <w:rFonts w:ascii="Times New Roman" w:hAnsi="Times New Roman"/>
          <w:b w:val="0"/>
          <w:i w:val="0"/>
          <w:sz w:val="20"/>
        </w:rPr>
        <w:t>Density in persons/m² requires knowing which floor area each part of the image shows. CrowdSafe fits a camera model, namely a pinhole camera with radial lens distortion (k</w:t>
      </w:r>
      <w:r>
        <w:rPr>
          <w:rFonts w:ascii="Times New Roman" w:hAnsi="Times New Roman"/>
          <w:b w:val="0"/>
          <w:i w:val="0"/>
          <w:sz w:val="20"/>
          <w:vertAlign w:val="subscript"/>
        </w:rPr>
        <w:t>1</w:t>
      </w:r>
      <w:r>
        <w:rPr>
          <w:rFonts w:ascii="Times New Roman" w:hAnsi="Times New Roman"/>
          <w:b w:val="0"/>
          <w:i w:val="0"/>
          <w:sz w:val="20"/>
        </w:rPr>
        <w:t>,k</w:t>
      </w:r>
      <w:r>
        <w:rPr>
          <w:rFonts w:ascii="Times New Roman" w:hAnsi="Times New Roman"/>
          <w:b w:val="0"/>
          <w:i w:val="0"/>
          <w:sz w:val="20"/>
          <w:vertAlign w:val="subscript"/>
        </w:rPr>
        <w:t>2</w:t>
      </w:r>
      <w:r>
        <w:rPr>
          <w:rFonts w:ascii="Times New Roman" w:hAnsi="Times New Roman"/>
          <w:b w:val="0"/>
          <w:i w:val="0"/>
          <w:sz w:val="20"/>
        </w:rPr>
        <w:t>), focal length, position and tilt, by robust least squares to a few objects of known size in a still frame and to straight edges, which must appear straight once the distortion is removed. A tape measure is the only extra resource. The fitted model carries any pixel to a point on the floor at a chosen height, which the zone and motion steps rely on. In the classrooms, desk tops of measured length (1.00 m) serve as rectangles, with each desk position left free so that the row and column spacing remain independent checks, and door frames and the ceiling duct serve as straight edges. In the computer lab, monitors hide most desk tops, so long table edges at measured positions, vertical edges and the measured camera height are used instead.</w:t>
      </w:r>
    </w:p>
    <w:p>
      <w:pPr>
        <w:spacing w:after="60"/>
        <w:jc w:val="left"/>
      </w:pPr>
      <w:r>
        <w:rPr>
          <w:rFonts w:ascii="Times New Roman" w:hAnsi="Times New Roman"/>
          <w:b w:val="0"/>
          <w:i/>
          <w:sz w:val="20"/>
        </w:rPr>
        <w:t>B. Zone Definition and Area Computation</w:t>
      </w:r>
    </w:p>
    <w:p>
      <w:pPr>
        <w:spacing w:after="80"/>
        <w:ind w:firstLine="245"/>
        <w:jc w:val="both"/>
      </w:pPr>
      <w:r>
        <w:rPr>
          <w:rFonts w:ascii="Times New Roman" w:hAnsi="Times New Roman"/>
          <w:b w:val="0"/>
          <w:i w:val="0"/>
          <w:sz w:val="20"/>
        </w:rPr>
        <w:t>The floor is then divided into zones on a plan in metres, small enough that a dangerous pocket is not averaged away by an empty corner. The camera model projects each zone into the image at the height where heads appear, which gives the image region M</w:t>
      </w:r>
      <w:r>
        <w:rPr>
          <w:rFonts w:ascii="Times New Roman" w:hAnsi="Times New Roman"/>
          <w:b w:val="0"/>
          <w:i w:val="0"/>
          <w:sz w:val="20"/>
          <w:vertAlign w:val="subscript"/>
        </w:rPr>
        <w:t>z</w:t>
      </w:r>
      <w:r>
        <w:rPr>
          <w:rFonts w:ascii="Times New Roman" w:hAnsi="Times New Roman"/>
          <w:b w:val="0"/>
          <w:i w:val="0"/>
          <w:sz w:val="20"/>
        </w:rPr>
        <w:t xml:space="preserve"> that belongs to zone z and the floor area A</w:t>
      </w:r>
      <w:r>
        <w:rPr>
          <w:rFonts w:ascii="Times New Roman" w:hAnsi="Times New Roman"/>
          <w:b w:val="0"/>
          <w:i w:val="0"/>
          <w:sz w:val="20"/>
          <w:vertAlign w:val="subscript"/>
        </w:rPr>
        <w:t>z</w:t>
      </w:r>
      <w:r>
        <w:rPr>
          <w:rFonts w:ascii="Times New Roman" w:hAnsi="Times New Roman"/>
          <w:b w:val="0"/>
          <w:i w:val="0"/>
          <w:sz w:val="20"/>
        </w:rPr>
        <w:t xml:space="preserve"> that the camera actually sees. These two quantities later turn a count of people into a density. Each classroom uses 3×3 seating blocks plus the front aisle (4–16 m</w:t>
      </w:r>
      <w:r>
        <w:rPr>
          <w:rFonts w:ascii="Times New Roman" w:hAnsi="Times New Roman"/>
          <w:b w:val="0"/>
          <w:i w:val="0"/>
          <w:sz w:val="20"/>
          <w:vertAlign w:val="superscript"/>
        </w:rPr>
        <w:t>2</w:t>
      </w:r>
      <w:r>
        <w:rPr>
          <w:rFonts w:ascii="Times New Roman" w:hAnsi="Times New Roman"/>
          <w:b w:val="0"/>
          <w:i w:val="0"/>
          <w:sz w:val="20"/>
        </w:rPr>
        <w:t xml:space="preserve"> each), projected at seated head height (1.2 m); in the computer lab, a glass partition that shows the neighbouring room is masked out.</w:t>
      </w:r>
    </w:p>
    <w:p>
      <w:pPr>
        <w:spacing w:after="60"/>
        <w:jc w:val="left"/>
      </w:pPr>
      <w:r>
        <w:rPr>
          <w:rFonts w:ascii="Times New Roman" w:hAnsi="Times New Roman"/>
          <w:b w:val="0"/>
          <w:i/>
          <w:sz w:val="20"/>
        </w:rPr>
        <w:t>C. People Counting</w:t>
      </w:r>
    </w:p>
    <w:p>
      <w:pPr>
        <w:spacing w:after="80"/>
        <w:ind w:firstLine="245"/>
        <w:jc w:val="both"/>
      </w:pPr>
      <w:r>
        <w:rPr>
          <w:rFonts w:ascii="Times New Roman" w:hAnsi="Times New Roman"/>
          <w:b w:val="0"/>
          <w:i w:val="0"/>
          <w:sz w:val="20"/>
        </w:rPr>
        <w:t>Every second, a video frame passes to a pretrained density model, CLIP-EBC ViT-B/16 with NWPU-Crowd weights, used without any training [5], [6]. Applied in non-overlapping 224-pixel windows (45 windows for a zero-padded 1080p frame), the model returns a density map D</w:t>
      </w:r>
      <w:r>
        <w:rPr>
          <w:rFonts w:ascii="Times New Roman" w:hAnsi="Times New Roman"/>
          <w:b w:val="0"/>
          <w:i w:val="0"/>
          <w:sz w:val="20"/>
          <w:vertAlign w:val="subscript"/>
        </w:rPr>
        <w:t>t</w:t>
      </w:r>
      <w:r>
        <w:rPr>
          <w:rFonts w:ascii="Times New Roman" w:hAnsi="Times New Roman"/>
          <w:b w:val="0"/>
          <w:i w:val="0"/>
          <w:sz w:val="20"/>
        </w:rPr>
        <w:t xml:space="preserve"> of 135×240 cells, one per 8×8 pixels, whose values are expected numbers of heads, so the map can be summed over any image region. A density model is chosen over person detectors because detectors count only the people visible as separate boxes, and desks, monitors and other people hide many bodies in seated rooms. Combinations of detector and density-model frame counts serve as further baselines: a hard switch to the detector below a threshold τ, a constant or 50/50 weighting, and a learned per-frame weight. The detectors are YOLO11l and a YOLO11 head detector trained on CrowdHuman [7], [8]. In the recordings, one frame per second of every classroom and lab video passes through CLIP-EBC; the detectors and combinations run on the 160 hand-labelled frames to select the counting route, as reported in Section V-B.</w:t>
      </w:r>
    </w:p>
    <w:p>
      <w:pPr>
        <w:spacing w:after="60"/>
        <w:jc w:val="left"/>
      </w:pPr>
      <w:r>
        <w:rPr>
          <w:rFonts w:ascii="Times New Roman" w:hAnsi="Times New Roman"/>
          <w:b w:val="0"/>
          <w:i/>
          <w:sz w:val="20"/>
        </w:rPr>
        <w:t>D. Zone Density Estimation in Persons per m2</w:t>
      </w:r>
    </w:p>
    <w:p>
      <w:pPr>
        <w:spacing w:after="80"/>
        <w:ind w:firstLine="245"/>
        <w:jc w:val="both"/>
      </w:pPr>
      <w:r>
        <w:rPr>
          <w:rFonts w:ascii="Times New Roman" w:hAnsi="Times New Roman"/>
          <w:b w:val="0"/>
          <w:i w:val="0"/>
          <w:sz w:val="20"/>
        </w:rPr>
        <w:t>The density map from the counting step meets the zone regions and areas from the zone step. Summing the map inside a zone region gives the count c</w:t>
      </w:r>
      <w:r>
        <w:rPr>
          <w:rFonts w:ascii="Times New Roman" w:hAnsi="Times New Roman"/>
          <w:b w:val="0"/>
          <w:i w:val="0"/>
          <w:sz w:val="20"/>
          <w:vertAlign w:val="subscript"/>
        </w:rPr>
        <w:t>z,t</w:t>
      </w:r>
      <w:r>
        <w:rPr>
          <w:rFonts w:ascii="Times New Roman" w:hAnsi="Times New Roman"/>
          <w:b w:val="0"/>
          <w:i w:val="0"/>
          <w:sz w:val="20"/>
        </w:rPr>
        <w:t>=Σ D</w:t>
      </w:r>
      <w:r>
        <w:rPr>
          <w:rFonts w:ascii="Times New Roman" w:hAnsi="Times New Roman"/>
          <w:b w:val="0"/>
          <w:i w:val="0"/>
          <w:sz w:val="20"/>
          <w:vertAlign w:val="subscript"/>
        </w:rPr>
        <w:t>t</w:t>
      </w:r>
      <w:r>
        <w:rPr>
          <w:rFonts w:ascii="Times New Roman" w:hAnsi="Times New Roman"/>
          <w:b w:val="0"/>
          <w:i w:val="0"/>
          <w:sz w:val="20"/>
        </w:rPr>
        <w:t>⊙ M</w:t>
      </w:r>
      <w:r>
        <w:rPr>
          <w:rFonts w:ascii="Times New Roman" w:hAnsi="Times New Roman"/>
          <w:b w:val="0"/>
          <w:i w:val="0"/>
          <w:sz w:val="20"/>
          <w:vertAlign w:val="subscript"/>
        </w:rPr>
        <w:t>z</w:t>
      </w:r>
      <w:r>
        <w:rPr>
          <w:rFonts w:ascii="Times New Roman" w:hAnsi="Times New Roman"/>
          <w:b w:val="0"/>
          <w:i w:val="0"/>
          <w:sz w:val="20"/>
        </w:rPr>
        <w:t>, and dividing by the visible area gives the density ρ</w:t>
      </w:r>
      <w:r>
        <w:rPr>
          <w:rFonts w:ascii="Times New Roman" w:hAnsi="Times New Roman"/>
          <w:b w:val="0"/>
          <w:i w:val="0"/>
          <w:sz w:val="20"/>
          <w:vertAlign w:val="subscript"/>
        </w:rPr>
        <w:t>z,t</w:t>
      </w:r>
      <w:r>
        <w:rPr>
          <w:rFonts w:ascii="Times New Roman" w:hAnsi="Times New Roman"/>
          <w:b w:val="0"/>
          <w:i w:val="0"/>
          <w:sz w:val="20"/>
        </w:rPr>
        <w:t>=c</w:t>
      </w:r>
      <w:r>
        <w:rPr>
          <w:rFonts w:ascii="Times New Roman" w:hAnsi="Times New Roman"/>
          <w:b w:val="0"/>
          <w:i w:val="0"/>
          <w:sz w:val="20"/>
          <w:vertAlign w:val="subscript"/>
        </w:rPr>
        <w:t>z,t</w:t>
      </w:r>
      <w:r>
        <w:rPr>
          <w:rFonts w:ascii="Times New Roman" w:hAnsi="Times New Roman"/>
          <w:b w:val="0"/>
          <w:i w:val="0"/>
          <w:sz w:val="20"/>
        </w:rPr>
        <w:t>/A</w:t>
      </w:r>
      <w:r>
        <w:rPr>
          <w:rFonts w:ascii="Times New Roman" w:hAnsi="Times New Roman"/>
          <w:b w:val="0"/>
          <w:i w:val="0"/>
          <w:sz w:val="20"/>
          <w:vertAlign w:val="subscript"/>
        </w:rPr>
        <w:t>z</w:t>
      </w:r>
      <w:r>
        <w:rPr>
          <w:rFonts w:ascii="Times New Roman" w:hAnsi="Times New Roman"/>
          <w:b w:val="0"/>
          <w:i w:val="0"/>
          <w:sz w:val="20"/>
        </w:rPr>
        <w:t xml:space="preserve"> in persons/m². Zones with less than 2 m</w:t>
      </w:r>
      <w:r>
        <w:rPr>
          <w:rFonts w:ascii="Times New Roman" w:hAnsi="Times New Roman"/>
          <w:b w:val="0"/>
          <w:i w:val="0"/>
          <w:sz w:val="20"/>
          <w:vertAlign w:val="superscript"/>
        </w:rPr>
        <w:t>2</w:t>
      </w:r>
      <w:r>
        <w:rPr>
          <w:rFonts w:ascii="Times New Roman" w:hAnsi="Times New Roman"/>
          <w:b w:val="0"/>
          <w:i w:val="0"/>
          <w:sz w:val="20"/>
        </w:rPr>
        <w:t xml:space="preserve"> in view are skipped, because the density of such small areas is unstable. This per-second density is the quantity that the rest of the pipeline monitors. For one classroom, this step produces ten densities every second, one for each seating block and the aisle.</w:t>
      </w:r>
    </w:p>
    <w:p>
      <w:pPr>
        <w:spacing w:after="60"/>
        <w:jc w:val="left"/>
      </w:pPr>
      <w:r>
        <w:rPr>
          <w:rFonts w:ascii="Times New Roman" w:hAnsi="Times New Roman"/>
          <w:b w:val="0"/>
          <w:i/>
          <w:sz w:val="20"/>
        </w:rPr>
        <w:t>E. Crowd Motion Feature Extraction</w:t>
      </w:r>
    </w:p>
    <w:p>
      <w:pPr>
        <w:spacing w:after="80"/>
        <w:ind w:firstLine="245"/>
        <w:jc w:val="both"/>
      </w:pPr>
      <w:r>
        <w:rPr>
          <w:rFonts w:ascii="Times New Roman" w:hAnsi="Times New Roman"/>
          <w:b w:val="0"/>
          <w:i w:val="0"/>
          <w:sz w:val="20"/>
        </w:rPr>
        <w:t>Density shows how full a zone is; motion shows how the crowd behaves. The same sampled frame and a second frame 0.2 s later pass to pretrained RAFT-large optical flow at 544×960 pixels with 12 refinement iterations, and the flow is averaged into the same 135×240 cells as D</w:t>
      </w:r>
      <w:r>
        <w:rPr>
          <w:rFonts w:ascii="Times New Roman" w:hAnsi="Times New Roman"/>
          <w:b w:val="0"/>
          <w:i w:val="0"/>
          <w:sz w:val="20"/>
          <w:vertAlign w:val="subscript"/>
        </w:rPr>
        <w:t>t</w:t>
      </w:r>
      <w:r>
        <w:rPr>
          <w:rFonts w:ascii="Times New Roman" w:hAnsi="Times New Roman"/>
          <w:b w:val="0"/>
          <w:i w:val="0"/>
          <w:sz w:val="20"/>
        </w:rPr>
        <w:t xml:space="preserve"> [18]. The camera model carries each displacement to the floor, turning pixel shifts into velocities in m/s, weighted by the density map so that empty floor contributes nothing. Per zone, this gives the mean speed, the velocity variance, crowd pressure ρ·var, the entropy of an 8-bin direction histogram and the share of counter-flow [2]. The number of people crossing a zone boundary per second (inflow and outflow) needs individual trajectories, so these values exist only where trajectories exist. For the real CCTV data, all motion values come from RAFT and inflow and outflow remain empty; for the Jülich and simulated data, speeds and boundary crossings come directly from each trajectory.</w:t>
      </w:r>
    </w:p>
    <w:p>
      <w:pPr>
        <w:spacing w:after="60"/>
        <w:jc w:val="left"/>
      </w:pPr>
      <w:r>
        <w:rPr>
          <w:rFonts w:ascii="Times New Roman" w:hAnsi="Times New Roman"/>
          <w:b w:val="0"/>
          <w:i/>
          <w:sz w:val="20"/>
        </w:rPr>
        <w:t>F. Zone Feature Table Construction</w:t>
      </w:r>
    </w:p>
    <w:p>
      <w:pPr>
        <w:spacing w:after="80"/>
        <w:ind w:firstLine="245"/>
        <w:jc w:val="both"/>
      </w:pPr>
      <w:r>
        <w:rPr>
          <w:rFonts w:ascii="Times New Roman" w:hAnsi="Times New Roman"/>
          <w:b w:val="0"/>
          <w:i w:val="0"/>
          <w:sz w:val="20"/>
        </w:rPr>
        <w:t>All measurements meet in a single table with one row per camera (or run), zone and second, holding count, density, the motion values, inflow, outflow and the data source. Forecasting and alerting read only this table, so every source that fills the table is evaluated in exactly the same way. The real CCTV data fill the table through the density and motion steps. The Jülich and simulated data fill the table directly, with 2 m×2 m floor cells as zones, and the Jülich densities agree exactly with PedPy on six checked runs [10]. Dense crowds absent from the classroom recordings therefore pass through the same downstream steps.</w:t>
      </w:r>
    </w:p>
    <w:p>
      <w:pPr>
        <w:spacing w:after="60"/>
        <w:jc w:val="left"/>
      </w:pPr>
      <w:r>
        <w:rPr>
          <w:rFonts w:ascii="Times New Roman" w:hAnsi="Times New Roman"/>
          <w:b w:val="0"/>
          <w:i/>
          <w:sz w:val="20"/>
        </w:rPr>
        <w:t>G. Crowd Density Forecasting</w:t>
      </w:r>
    </w:p>
    <w:p>
      <w:pPr>
        <w:spacing w:after="80"/>
        <w:ind w:firstLine="245"/>
        <w:jc w:val="both"/>
      </w:pPr>
      <w:r>
        <w:rPr>
          <w:rFonts w:ascii="Times New Roman" w:hAnsi="Times New Roman"/>
          <w:b w:val="0"/>
          <w:i w:val="0"/>
          <w:sz w:val="20"/>
        </w:rPr>
        <w:t xml:space="preserve">Every 5 s, the last 30 s of each zone are read from the table as a regular 1-Hz series and forecast 10, 30 and 60 s ahead. The forecaster is Chronos-2, a pretrained time-series model used zero-shot [15]. A zero-shot model is chosen because dangerous crowd events are too rare to train a forecaster on venue data. The model runs either </w:t>
      </w:r>
      <w:r>
        <w:rPr>
          <w:rFonts w:ascii="Times New Roman" w:hAnsi="Times New Roman"/>
          <w:b w:val="0"/>
          <w:i/>
          <w:sz w:val="20"/>
        </w:rPr>
        <w:t>per zone</w:t>
      </w:r>
      <w:r>
        <w:rPr>
          <w:rFonts w:ascii="Times New Roman" w:hAnsi="Times New Roman"/>
          <w:b w:val="0"/>
          <w:i w:val="0"/>
          <w:sz w:val="20"/>
        </w:rPr>
        <w:t xml:space="preserve">, with pressure, inflow, outflow and mean speed as additional inputs (set to zero when missing), or </w:t>
      </w:r>
      <w:r>
        <w:rPr>
          <w:rFonts w:ascii="Times New Roman" w:hAnsi="Times New Roman"/>
          <w:b w:val="0"/>
          <w:i/>
          <w:sz w:val="20"/>
        </w:rPr>
        <w:t>jointly</w:t>
      </w:r>
      <w:r>
        <w:rPr>
          <w:rFonts w:ascii="Times New Roman" w:hAnsi="Times New Roman"/>
          <w:b w:val="0"/>
          <w:i w:val="0"/>
          <w:sz w:val="20"/>
        </w:rPr>
        <w:t xml:space="preserve"> over all zones of one camera so that neighbouring zones inform each other, and returns the 10, 50 and 90 % quantiles for each zone and horizon. Two simple forecasters serve as baselines: </w:t>
      </w:r>
      <w:r>
        <w:rPr>
          <w:rFonts w:ascii="Times New Roman" w:hAnsi="Times New Roman"/>
          <w:b w:val="0"/>
          <w:i/>
          <w:sz w:val="20"/>
        </w:rPr>
        <w:t>persistence</w:t>
      </w:r>
      <w:r>
        <w:rPr>
          <w:rFonts w:ascii="Times New Roman" w:hAnsi="Times New Roman"/>
          <w:b w:val="0"/>
          <w:i w:val="0"/>
          <w:sz w:val="20"/>
        </w:rPr>
        <w:t xml:space="preserve">, which repeats the last value, and a </w:t>
      </w:r>
      <w:r>
        <w:rPr>
          <w:rFonts w:ascii="Times New Roman" w:hAnsi="Times New Roman"/>
          <w:b w:val="0"/>
          <w:i/>
          <w:sz w:val="20"/>
        </w:rPr>
        <w:t>physics</w:t>
      </w:r>
      <w:r>
        <w:rPr>
          <w:rFonts w:ascii="Times New Roman" w:hAnsi="Times New Roman"/>
          <w:b w:val="0"/>
          <w:i w:val="0"/>
          <w:sz w:val="20"/>
        </w:rPr>
        <w:t xml:space="preserve"> fill-rate model, ρ+(q</w:t>
      </w:r>
      <w:r>
        <w:rPr>
          <w:rFonts w:ascii="Times New Roman" w:hAnsi="Times New Roman"/>
          <w:b w:val="0"/>
          <w:i w:val="0"/>
          <w:sz w:val="20"/>
          <w:vertAlign w:val="subscript"/>
        </w:rPr>
        <w:t>in</w:t>
      </w:r>
      <w:r>
        <w:rPr>
          <w:rFonts w:ascii="Times New Roman" w:hAnsi="Times New Roman"/>
          <w:b w:val="0"/>
          <w:i w:val="0"/>
          <w:sz w:val="20"/>
        </w:rPr>
        <w:t>-q</w:t>
      </w:r>
      <w:r>
        <w:rPr>
          <w:rFonts w:ascii="Times New Roman" w:hAnsi="Times New Roman"/>
          <w:b w:val="0"/>
          <w:i w:val="0"/>
          <w:sz w:val="20"/>
          <w:vertAlign w:val="subscript"/>
        </w:rPr>
        <w:t>out</w:t>
      </w:r>
      <w:r>
        <w:rPr>
          <w:rFonts w:ascii="Times New Roman" w:hAnsi="Times New Roman"/>
          <w:b w:val="0"/>
          <w:i w:val="0"/>
          <w:sz w:val="20"/>
        </w:rPr>
        <w:t>) h/A</w:t>
      </w:r>
      <w:r>
        <w:rPr>
          <w:rFonts w:ascii="Times New Roman" w:hAnsi="Times New Roman"/>
          <w:b w:val="0"/>
          <w:i w:val="0"/>
          <w:sz w:val="20"/>
          <w:vertAlign w:val="subscript"/>
        </w:rPr>
        <w:t>z</w:t>
      </w:r>
      <w:r>
        <w:rPr>
          <w:rFonts w:ascii="Times New Roman" w:hAnsi="Times New Roman"/>
          <w:b w:val="0"/>
          <w:i w:val="0"/>
          <w:sz w:val="20"/>
        </w:rPr>
        <w:t>, which needs inflow and outflow. In live operation, a second skipped by a slow cycle is filled with the previous value so that the series stays regular. The horizon limits how early a warning can arrive, but the horizon is not the warning time itself. Because most Jülich runs last only 1–3 min, horizons of 10–60 s apply there and on the real CCTV data, with 120 s added on the longer simulations; the physics model runs only on the Jülich and simulated data.</w:t>
      </w:r>
    </w:p>
    <w:p>
      <w:pPr>
        <w:spacing w:after="60"/>
        <w:jc w:val="left"/>
      </w:pPr>
      <w:r>
        <w:rPr>
          <w:rFonts w:ascii="Times New Roman" w:hAnsi="Times New Roman"/>
          <w:b w:val="0"/>
          <w:i/>
          <w:sz w:val="20"/>
        </w:rPr>
        <w:t>H. Reliable Upper Bound via Conformal Calibration</w:t>
      </w:r>
    </w:p>
    <w:p>
      <w:pPr>
        <w:spacing w:after="80"/>
        <w:ind w:firstLine="245"/>
        <w:jc w:val="both"/>
      </w:pPr>
      <w:r>
        <w:rPr>
          <w:rFonts w:ascii="Times New Roman" w:hAnsi="Times New Roman"/>
          <w:b w:val="0"/>
          <w:i w:val="0"/>
          <w:sz w:val="20"/>
        </w:rPr>
        <w:t>The 90 % quantile of a forecaster carries no guarantee of being exceeded only 10 % of the time, and point forecasts have no spread at all. CrowdSafe therefore calibrates the upper bound with split conformal prediction [16]. On validation runs, the amount by which the realised density rose above the 90 % quantile is measured, and the finite-sample 90 % quantile of these residuals becomes an offset q</w:t>
      </w:r>
      <w:r>
        <w:rPr>
          <w:rFonts w:ascii="Times New Roman" w:hAnsi="Times New Roman"/>
          <w:b w:val="0"/>
          <w:i w:val="0"/>
          <w:sz w:val="20"/>
          <w:vertAlign w:val="subscript"/>
        </w:rPr>
        <w:t>h</w:t>
      </w:r>
      <w:r>
        <w:rPr>
          <w:rFonts w:ascii="Times New Roman" w:hAnsi="Times New Roman"/>
          <w:b w:val="0"/>
          <w:i w:val="0"/>
          <w:sz w:val="20"/>
        </w:rPr>
        <w:t xml:space="preserve"> for each horizon. New forecasts then carry the bound U</w:t>
      </w:r>
      <w:r>
        <w:rPr>
          <w:rFonts w:ascii="Times New Roman" w:hAnsi="Times New Roman"/>
          <w:b w:val="0"/>
          <w:i w:val="0"/>
          <w:sz w:val="20"/>
          <w:vertAlign w:val="subscript"/>
        </w:rPr>
        <w:t>z,h</w:t>
      </w:r>
      <w:r>
        <w:rPr>
          <w:rFonts w:ascii="Times New Roman" w:hAnsi="Times New Roman"/>
          <w:b w:val="0"/>
          <w:i w:val="0"/>
          <w:sz w:val="20"/>
        </w:rPr>
        <w:t>=max(0, p90</w:t>
      </w:r>
      <w:r>
        <w:rPr>
          <w:rFonts w:ascii="Times New Roman" w:hAnsi="Times New Roman"/>
          <w:b w:val="0"/>
          <w:i w:val="0"/>
          <w:sz w:val="20"/>
          <w:vertAlign w:val="subscript"/>
        </w:rPr>
        <w:t>z,h</w:t>
      </w:r>
      <w:r>
        <w:rPr>
          <w:rFonts w:ascii="Times New Roman" w:hAnsi="Times New Roman"/>
          <w:b w:val="0"/>
          <w:i w:val="0"/>
          <w:sz w:val="20"/>
        </w:rPr>
        <w:t>+q</w:t>
      </w:r>
      <w:r>
        <w:rPr>
          <w:rFonts w:ascii="Times New Roman" w:hAnsi="Times New Roman"/>
          <w:b w:val="0"/>
          <w:i w:val="0"/>
          <w:sz w:val="20"/>
          <w:vertAlign w:val="subscript"/>
        </w:rPr>
        <w:t>h</w:t>
      </w:r>
      <w:r>
        <w:rPr>
          <w:rFonts w:ascii="Times New Roman" w:hAnsi="Times New Roman"/>
          <w:b w:val="0"/>
          <w:i w:val="0"/>
          <w:sz w:val="20"/>
        </w:rPr>
        <w:t>), the worst case on which the risk step operates. The offsets are fitted on two validation cameras, 39 Jülich validation runs and four validation scenarios, and applied only to the test data. On the real CCTV data, the Chronos-2 offsets are tiny (0.001–0.02 persons/m²), while for persistence the offset of 0.14–0.18 persons/m² forms the whole bound.</w:t>
      </w:r>
    </w:p>
    <w:p>
      <w:pPr>
        <w:spacing w:after="60"/>
        <w:jc w:val="left"/>
      </w:pPr>
      <w:r>
        <w:rPr>
          <w:rFonts w:ascii="Times New Roman" w:hAnsi="Times New Roman"/>
          <w:b w:val="0"/>
          <w:i/>
          <w:sz w:val="20"/>
        </w:rPr>
        <w:t>I. Risk Classification (Low, Medium, High, Critical)</w:t>
      </w:r>
    </w:p>
    <w:p>
      <w:pPr>
        <w:spacing w:after="80"/>
        <w:ind w:firstLine="245"/>
        <w:jc w:val="both"/>
      </w:pPr>
      <w:r>
        <w:rPr>
          <w:rFonts w:ascii="Times New Roman" w:hAnsi="Times New Roman"/>
          <w:b w:val="0"/>
          <w:i w:val="0"/>
          <w:sz w:val="20"/>
        </w:rPr>
        <w:t>The calibrated bounds over all horizons and the current density combine into a worst case, W</w:t>
      </w:r>
      <w:r>
        <w:rPr>
          <w:rFonts w:ascii="Times New Roman" w:hAnsi="Times New Roman"/>
          <w:b w:val="0"/>
          <w:i w:val="0"/>
          <w:sz w:val="20"/>
          <w:vertAlign w:val="subscript"/>
        </w:rPr>
        <w:t>z</w:t>
      </w:r>
      <w:r>
        <w:rPr>
          <w:rFonts w:ascii="Times New Roman" w:hAnsi="Times New Roman"/>
          <w:b w:val="0"/>
          <w:i w:val="0"/>
          <w:sz w:val="20"/>
        </w:rPr>
        <w:t>=max(max</w:t>
      </w:r>
      <w:r>
        <w:rPr>
          <w:rFonts w:ascii="Times New Roman" w:hAnsi="Times New Roman"/>
          <w:b w:val="0"/>
          <w:i w:val="0"/>
          <w:sz w:val="20"/>
          <w:vertAlign w:val="subscript"/>
        </w:rPr>
        <w:t>h</w:t>
      </w:r>
      <w:r>
        <w:rPr>
          <w:rFonts w:ascii="Times New Roman" w:hAnsi="Times New Roman"/>
          <w:b w:val="0"/>
          <w:i w:val="0"/>
          <w:sz w:val="20"/>
        </w:rPr>
        <w:t xml:space="preserve"> U</w:t>
      </w:r>
      <w:r>
        <w:rPr>
          <w:rFonts w:ascii="Times New Roman" w:hAnsi="Times New Roman"/>
          <w:b w:val="0"/>
          <w:i w:val="0"/>
          <w:sz w:val="20"/>
          <w:vertAlign w:val="subscript"/>
        </w:rPr>
        <w:t>z,h</w:t>
      </w:r>
      <w:r>
        <w:rPr>
          <w:rFonts w:ascii="Times New Roman" w:hAnsi="Times New Roman"/>
          <w:b w:val="0"/>
          <w:i w:val="0"/>
          <w:sz w:val="20"/>
        </w:rPr>
        <w:t>, ρ</w:t>
      </w:r>
      <w:r>
        <w:rPr>
          <w:rFonts w:ascii="Times New Roman" w:hAnsi="Times New Roman"/>
          <w:b w:val="0"/>
          <w:i w:val="0"/>
          <w:sz w:val="20"/>
          <w:vertAlign w:val="subscript"/>
        </w:rPr>
        <w:t>z</w:t>
      </w:r>
      <w:r>
        <w:rPr>
          <w:rFonts w:ascii="Times New Roman" w:hAnsi="Times New Roman"/>
          <w:b w:val="0"/>
          <w:i w:val="0"/>
          <w:sz w:val="20"/>
        </w:rPr>
        <w:t>), mapped to Low (&lt;2), Medium (2–4), High (4–5) or Critical (≥ 5 persons/m²). The first horizon whose bound reaches 5 persons/m² is reported as the time to critical. Before the first forecast of a run, only the current density is used. In a classroom recording, a zone at 1.6 persons/m² appears as Medium because the forecast bound of that zone exceeds 2 persons/m², as visible in Fig. 2.</w:t>
      </w:r>
    </w:p>
    <w:p>
      <w:pPr>
        <w:spacing w:after="60"/>
        <w:jc w:val="left"/>
      </w:pPr>
      <w:r>
        <w:rPr>
          <w:rFonts w:ascii="Times New Roman" w:hAnsi="Times New Roman"/>
          <w:b w:val="0"/>
          <w:i/>
          <w:sz w:val="20"/>
        </w:rPr>
        <w:t>J. Alert Generation</w:t>
      </w:r>
    </w:p>
    <w:p>
      <w:pPr>
        <w:spacing w:after="80"/>
        <w:ind w:firstLine="245"/>
        <w:jc w:val="both"/>
      </w:pPr>
      <w:r>
        <w:rPr>
          <w:rFonts w:ascii="Times New Roman" w:hAnsi="Times New Roman"/>
          <w:b w:val="0"/>
          <w:i w:val="0"/>
          <w:sz w:val="20"/>
        </w:rPr>
        <w:t>Levels change every 5 s and can flicker, so an alert manager adds hysteresis: an alert is raised when a zone stays High or above for 10 s and cleared once the zone has stayed below High for 30 s. Each alert records the zone, the highest level reached, the time to critical and a short reason, such as “forecast upper bound 4.2 persons/m² (now 1.8)”. In a Jülich corridor run, shown in Fig. 3, the bound of one zone crosses 4 persons/m² and an alert is raised at 219 s, 49 s before the zone itself reaches 4 persons/m².</w:t>
      </w:r>
    </w:p>
    <w:p>
      <w:pPr>
        <w:spacing w:after="60"/>
        <w:jc w:val="left"/>
      </w:pPr>
      <w:r>
        <w:rPr>
          <w:rFonts w:ascii="Times New Roman" w:hAnsi="Times New Roman"/>
          <w:b w:val="0"/>
          <w:i/>
          <w:sz w:val="20"/>
        </w:rPr>
        <w:t>K. Dashboard Visualisation</w:t>
      </w:r>
    </w:p>
    <w:p>
      <w:pPr>
        <w:spacing w:after="80"/>
        <w:ind w:firstLine="245"/>
        <w:jc w:val="both"/>
      </w:pPr>
      <w:r>
        <w:rPr>
          <w:rFonts w:ascii="Times New Roman" w:hAnsi="Times New Roman"/>
          <w:b w:val="0"/>
          <w:i w:val="0"/>
          <w:sz w:val="20"/>
        </w:rPr>
        <w:t>The dashboard presents the zones, levels, forecasts and alerts to an operator. A FastAPI/WebSocket server replays a stored run by re-running the risk and alert steps on the feature rows and forecasts of the run, and streams one message per second to a Next.js dashboard: the camera video with zones coloured by level and labelled with density, the forecast of a selected zone and the alert feed. The live pipeline described in Section V-G runs the same steps directly on a camera stream. Fig. 2 shows the dashboard replaying a classroom recording.</w:t>
      </w:r>
    </w:p>
    <w:p>
      <w:pPr>
        <w:jc w:val="center"/>
      </w:pPr>
      <w:r>
        <w:drawing>
          <wp:inline xmlns:a="http://schemas.openxmlformats.org/drawingml/2006/main" xmlns:pic="http://schemas.openxmlformats.org/drawingml/2006/picture">
            <wp:extent cx="3108960" cy="1644677"/>
            <wp:docPr id="2" name="Picture 2"/>
            <wp:cNvGraphicFramePr>
              <a:graphicFrameLocks noChangeAspect="1"/>
            </wp:cNvGraphicFramePr>
            <a:graphic>
              <a:graphicData uri="http://schemas.openxmlformats.org/drawingml/2006/picture">
                <pic:pic>
                  <pic:nvPicPr>
                    <pic:cNvPr id="0" name="dashboard.jpg"/>
                    <pic:cNvPicPr/>
                  </pic:nvPicPr>
                  <pic:blipFill>
                    <a:blip r:embed="rId10"/>
                    <a:stretch>
                      <a:fillRect/>
                    </a:stretch>
                  </pic:blipFill>
                  <pic:spPr>
                    <a:xfrm>
                      <a:off x="0" y="0"/>
                      <a:ext cx="3108960" cy="1644677"/>
                    </a:xfrm>
                    <a:prstGeom prst="rect"/>
                  </pic:spPr>
                </pic:pic>
              </a:graphicData>
            </a:graphic>
          </wp:inline>
        </w:drawing>
      </w:r>
    </w:p>
    <w:p>
      <w:pPr>
        <w:spacing w:after="200"/>
        <w:jc w:val="center"/>
      </w:pPr>
      <w:r>
        <w:rPr>
          <w:rFonts w:ascii="Times New Roman" w:hAnsi="Times New Roman"/>
          <w:b w:val="0"/>
          <w:i w:val="0"/>
          <w:sz w:val="18"/>
        </w:rPr>
        <w:t xml:space="preserve">Fig. 2. </w:t>
      </w:r>
      <w:r>
        <w:rPr>
          <w:rFonts w:ascii="Times New Roman" w:hAnsi="Times New Roman"/>
          <w:b w:val="0"/>
          <w:i w:val="0"/>
          <w:sz w:val="18"/>
        </w:rPr>
        <w:t>Replay dashboard on a classroom recording.</w:t>
      </w:r>
    </w:p>
    <w:p>
      <w:pPr>
        <w:spacing w:after="80"/>
        <w:jc w:val="center"/>
      </w:pPr>
      <w:r>
        <w:rPr>
          <w:rFonts w:ascii="Times New Roman" w:hAnsi="Times New Roman"/>
          <w:b w:val="0"/>
          <w:i w:val="0"/>
          <w:sz w:val="20"/>
        </w:rPr>
        <w:t>IV. DATASETS AND EXPERIMENTAL SETUP</w:t>
      </w:r>
    </w:p>
    <w:p>
      <w:pPr>
        <w:spacing w:after="80"/>
        <w:ind w:firstLine="245"/>
        <w:jc w:val="both"/>
      </w:pPr>
      <w:r>
        <w:rPr>
          <w:rFonts w:ascii="Times New Roman" w:hAnsi="Times New Roman"/>
          <w:b w:val="0"/>
          <w:i w:val="0"/>
          <w:sz w:val="20"/>
        </w:rPr>
        <w:t>Table II lists the four data sources, the split of each and the role of each in the evaluation.</w:t>
      </w:r>
    </w:p>
    <w:p>
      <w:pPr>
        <w:spacing w:after="40"/>
        <w:jc w:val="center"/>
      </w:pPr>
      <w:r>
        <w:rPr>
          <w:rFonts w:ascii="Times New Roman" w:hAnsi="Times New Roman"/>
          <w:b w:val="0"/>
          <w:i w:val="0"/>
          <w:sz w:val="18"/>
        </w:rPr>
        <w:t>TABLE II: Datasets and Their Role</w:t>
      </w:r>
    </w:p>
    <w:tbl>
      <w:tblPr>
        <w:tblW w:type="auto" w:w="0"/>
        <w:jc w:val="center"/>
        <w:tblLook w:firstColumn="1" w:firstRow="1" w:lastColumn="0" w:lastRow="0" w:noHBand="0" w:noVBand="1" w:val="04A0"/>
        <w:tblBorders>
          <w:top w:val="single" w:sz="4" w:color="000000"/>
          <w:bottom w:val="single" w:sz="4" w:color="000000"/>
          <w:insideH w:val="single" w:sz="4" w:color="000000"/>
        </w:tblBorders>
      </w:tblPr>
      <w:tblGrid>
        <w:gridCol w:w="3360"/>
        <w:gridCol w:w="3360"/>
        <w:gridCol w:w="3360"/>
      </w:tblGrid>
      <w:tr>
        <w:tc>
          <w:tcPr>
            <w:tcW w:type="dxa" w:w="3360"/>
          </w:tcPr>
          <w:p>
            <w:pPr>
              <w:spacing w:after="0"/>
            </w:pPr>
            <w:r>
              <w:rPr>
                <w:rFonts w:ascii="Times New Roman" w:hAnsi="Times New Roman"/>
                <w:b/>
                <w:i w:val="0"/>
                <w:sz w:val="16"/>
              </w:rPr>
              <w:t>Dataset</w:t>
            </w:r>
          </w:p>
        </w:tc>
        <w:tc>
          <w:tcPr>
            <w:tcW w:type="dxa" w:w="3360"/>
          </w:tcPr>
          <w:p>
            <w:pPr>
              <w:spacing w:after="0"/>
            </w:pPr>
            <w:r>
              <w:rPr>
                <w:rFonts w:ascii="Times New Roman" w:hAnsi="Times New Roman"/>
                <w:b/>
                <w:i w:val="0"/>
                <w:sz w:val="16"/>
              </w:rPr>
              <w:t>Content and split</w:t>
            </w:r>
          </w:p>
        </w:tc>
        <w:tc>
          <w:tcPr>
            <w:tcW w:type="dxa" w:w="3360"/>
          </w:tcPr>
          <w:p>
            <w:pPr>
              <w:spacing w:after="0"/>
            </w:pPr>
            <w:r>
              <w:rPr>
                <w:rFonts w:ascii="Times New Roman" w:hAnsi="Times New Roman"/>
                <w:b/>
                <w:i w:val="0"/>
                <w:sz w:val="16"/>
              </w:rPr>
              <w:t>Use</w:t>
            </w:r>
          </w:p>
        </w:tc>
      </w:tr>
      <w:tr>
        <w:tc>
          <w:tcPr>
            <w:tcW w:type="dxa" w:w="3360"/>
          </w:tcPr>
          <w:p>
            <w:pPr>
              <w:spacing w:after="0"/>
            </w:pPr>
            <w:r>
              <w:rPr>
                <w:rFonts w:ascii="Times New Roman" w:hAnsi="Times New Roman"/>
                <w:b w:val="0"/>
                <w:i w:val="0"/>
                <w:sz w:val="16"/>
              </w:rPr>
              <w:t>Real CCTV data</w:t>
            </w:r>
          </w:p>
        </w:tc>
        <w:tc>
          <w:tcPr>
            <w:tcW w:type="dxa" w:w="3360"/>
          </w:tcPr>
          <w:p>
            <w:pPr>
              <w:spacing w:after="0"/>
            </w:pPr>
            <w:r>
              <w:rPr>
                <w:rFonts w:ascii="Times New Roman" w:hAnsi="Times New Roman"/>
                <w:b w:val="0"/>
                <w:i w:val="0"/>
                <w:sz w:val="16"/>
              </w:rPr>
              <w:t>4 cameras, 2 classrooms and 1 computer lab, 2.6 h; 160 labelled frames, 6,715 heads; 2 validation and 2 test cameras</w:t>
            </w:r>
          </w:p>
        </w:tc>
        <w:tc>
          <w:tcPr>
            <w:tcW w:type="dxa" w:w="3360"/>
          </w:tcPr>
          <w:p>
            <w:pPr>
              <w:spacing w:after="0"/>
            </w:pPr>
            <w:r>
              <w:rPr>
                <w:rFonts w:ascii="Times New Roman" w:hAnsi="Times New Roman"/>
                <w:b w:val="0"/>
                <w:i w:val="0"/>
                <w:sz w:val="16"/>
              </w:rPr>
              <w:t>counting, zone density, forecasting, latency</w:t>
            </w:r>
          </w:p>
        </w:tc>
      </w:tr>
      <w:tr>
        <w:tc>
          <w:tcPr>
            <w:tcW w:type="dxa" w:w="3360"/>
          </w:tcPr>
          <w:p>
            <w:pPr>
              <w:spacing w:after="0"/>
            </w:pPr>
            <w:r>
              <w:rPr>
                <w:rFonts w:ascii="Times New Roman" w:hAnsi="Times New Roman"/>
                <w:b w:val="0"/>
                <w:i w:val="0"/>
                <w:sz w:val="16"/>
              </w:rPr>
              <w:t>ShanghaiTech A/B [3]</w:t>
            </w:r>
          </w:p>
        </w:tc>
        <w:tc>
          <w:tcPr>
            <w:tcW w:type="dxa" w:w="3360"/>
          </w:tcPr>
          <w:p>
            <w:pPr>
              <w:spacing w:after="0"/>
            </w:pPr>
            <w:r>
              <w:rPr>
                <w:rFonts w:ascii="Times New Roman" w:hAnsi="Times New Roman"/>
                <w:b w:val="0"/>
                <w:i w:val="0"/>
                <w:sz w:val="16"/>
              </w:rPr>
              <w:t>test sets, 182 / 316 images</w:t>
            </w:r>
          </w:p>
        </w:tc>
        <w:tc>
          <w:tcPr>
            <w:tcW w:type="dxa" w:w="3360"/>
          </w:tcPr>
          <w:p>
            <w:pPr>
              <w:spacing w:after="0"/>
            </w:pPr>
            <w:r>
              <w:rPr>
                <w:rFonts w:ascii="Times New Roman" w:hAnsi="Times New Roman"/>
                <w:b w:val="0"/>
                <w:i w:val="0"/>
                <w:sz w:val="16"/>
              </w:rPr>
              <w:t>counting check</w:t>
            </w:r>
          </w:p>
        </w:tc>
      </w:tr>
      <w:tr>
        <w:tc>
          <w:tcPr>
            <w:tcW w:type="dxa" w:w="3360"/>
          </w:tcPr>
          <w:p>
            <w:pPr>
              <w:spacing w:after="0"/>
            </w:pPr>
            <w:r>
              <w:rPr>
                <w:rFonts w:ascii="Times New Roman" w:hAnsi="Times New Roman"/>
                <w:b w:val="0"/>
                <w:i w:val="0"/>
                <w:sz w:val="16"/>
              </w:rPr>
              <w:t>Jülich data [9]</w:t>
            </w:r>
          </w:p>
        </w:tc>
        <w:tc>
          <w:tcPr>
            <w:tcW w:type="dxa" w:w="3360"/>
          </w:tcPr>
          <w:p>
            <w:pPr>
              <w:spacing w:after="0"/>
            </w:pPr>
            <w:r>
              <w:rPr>
                <w:rFonts w:ascii="Times New Roman" w:hAnsi="Times New Roman"/>
                <w:b w:val="0"/>
                <w:i w:val="0"/>
                <w:sz w:val="16"/>
              </w:rPr>
              <w:t>validation: 39 runs; test: corridor [19] (9 runs) and entrance [20] (1 run)</w:t>
            </w:r>
          </w:p>
        </w:tc>
        <w:tc>
          <w:tcPr>
            <w:tcW w:type="dxa" w:w="3360"/>
          </w:tcPr>
          <w:p>
            <w:pPr>
              <w:spacing w:after="0"/>
            </w:pPr>
            <w:r>
              <w:rPr>
                <w:rFonts w:ascii="Times New Roman" w:hAnsi="Times New Roman"/>
                <w:b w:val="0"/>
                <w:i w:val="0"/>
                <w:sz w:val="16"/>
              </w:rPr>
              <w:t>real dense crowds</w:t>
            </w:r>
          </w:p>
        </w:tc>
      </w:tr>
      <w:tr>
        <w:tc>
          <w:tcPr>
            <w:tcW w:type="dxa" w:w="3360"/>
          </w:tcPr>
          <w:p>
            <w:pPr>
              <w:spacing w:after="0"/>
            </w:pPr>
            <w:r>
              <w:rPr>
                <w:rFonts w:ascii="Times New Roman" w:hAnsi="Times New Roman"/>
                <w:b w:val="0"/>
                <w:i w:val="0"/>
                <w:sz w:val="16"/>
              </w:rPr>
              <w:t>Simulated data [11]</w:t>
            </w:r>
          </w:p>
        </w:tc>
        <w:tc>
          <w:tcPr>
            <w:tcW w:type="dxa" w:w="3360"/>
          </w:tcPr>
          <w:p>
            <w:pPr>
              <w:spacing w:after="0"/>
            </w:pPr>
            <w:r>
              <w:rPr>
                <w:rFonts w:ascii="Times New Roman" w:hAnsi="Times New Roman"/>
                <w:b w:val="0"/>
                <w:i w:val="0"/>
                <w:sz w:val="16"/>
              </w:rPr>
              <w:t>16 scenarios; 4 validation, 5 test</w:t>
            </w:r>
          </w:p>
        </w:tc>
        <w:tc>
          <w:tcPr>
            <w:tcW w:type="dxa" w:w="3360"/>
          </w:tcPr>
          <w:p>
            <w:pPr>
              <w:spacing w:after="0"/>
            </w:pPr>
            <w:r>
              <w:rPr>
                <w:rFonts w:ascii="Times New Roman" w:hAnsi="Times New Roman"/>
                <w:b w:val="0"/>
                <w:i w:val="0"/>
                <w:sz w:val="16"/>
              </w:rPr>
              <w:t>dense crowd events (up to 8 persons/m²)</w:t>
            </w:r>
          </w:p>
        </w:tc>
      </w:tr>
    </w:tbl>
    <w:p>
      <w:pPr>
        <w:spacing w:after="80"/>
        <w:jc w:val="both"/>
      </w:pPr>
      <w:r>
        <w:rPr>
          <w:rFonts w:ascii="Times New Roman" w:hAnsi="Times New Roman"/>
          <w:b w:val="0"/>
          <w:i w:val="0"/>
          <w:sz w:val="8"/>
        </w:rPr>
      </w:r>
    </w:p>
    <w:p>
      <w:pPr>
        <w:spacing w:after="60"/>
        <w:jc w:val="left"/>
      </w:pPr>
      <w:r>
        <w:rPr>
          <w:rFonts w:ascii="Times New Roman" w:hAnsi="Times New Roman"/>
          <w:b w:val="0"/>
          <w:i/>
          <w:sz w:val="20"/>
        </w:rPr>
        <w:t>A. Real CCTV Data</w:t>
      </w:r>
    </w:p>
    <w:p>
      <w:pPr>
        <w:spacing w:after="80"/>
        <w:ind w:firstLine="245"/>
        <w:jc w:val="both"/>
      </w:pPr>
      <w:r>
        <w:rPr>
          <w:rFonts w:ascii="Times New Roman" w:hAnsi="Times New Roman"/>
          <w:b w:val="0"/>
          <w:i w:val="0"/>
          <w:sz w:val="20"/>
        </w:rPr>
        <w:t>Two classrooms and a computer lab are recorded with permission by four fixed cameras (2.6 h, 1080p). Head points on 160 frames are annotated by correcting model pre-labels. The busiest zone reaches 3.2 persons/m², so the real CCTV data contain no dangerous density. No faces or identities are stored.</w:t>
      </w:r>
    </w:p>
    <w:p>
      <w:pPr>
        <w:spacing w:after="60"/>
        <w:jc w:val="left"/>
      </w:pPr>
      <w:r>
        <w:rPr>
          <w:rFonts w:ascii="Times New Roman" w:hAnsi="Times New Roman"/>
          <w:b w:val="0"/>
          <w:i/>
          <w:sz w:val="20"/>
        </w:rPr>
        <w:t>B. ShanghaiTech Benchmark</w:t>
      </w:r>
    </w:p>
    <w:p>
      <w:pPr>
        <w:spacing w:after="80"/>
        <w:ind w:firstLine="245"/>
        <w:jc w:val="both"/>
      </w:pPr>
      <w:r>
        <w:rPr>
          <w:rFonts w:ascii="Times New Roman" w:hAnsi="Times New Roman"/>
          <w:b w:val="0"/>
          <w:i w:val="0"/>
          <w:sz w:val="20"/>
        </w:rPr>
        <w:t>ShanghaiTech A and B are standard counting benchmarks, and only the test sets serve here to check the zero-shot models [3], [4].</w:t>
      </w:r>
    </w:p>
    <w:p>
      <w:pPr>
        <w:spacing w:after="60"/>
        <w:jc w:val="left"/>
      </w:pPr>
      <w:r>
        <w:rPr>
          <w:rFonts w:ascii="Times New Roman" w:hAnsi="Times New Roman"/>
          <w:b w:val="0"/>
          <w:i/>
          <w:sz w:val="20"/>
        </w:rPr>
        <w:t>C. Jülich Data</w:t>
      </w:r>
    </w:p>
    <w:p>
      <w:pPr>
        <w:spacing w:after="80"/>
        <w:ind w:firstLine="245"/>
        <w:jc w:val="both"/>
      </w:pPr>
      <w:r>
        <w:rPr>
          <w:rFonts w:ascii="Times New Roman" w:hAnsi="Times New Roman"/>
          <w:b w:val="0"/>
          <w:i w:val="0"/>
          <w:sz w:val="20"/>
        </w:rPr>
        <w:t>The first test experiment is a unidirectional corridor, previously analysed for fundamental diagrams [19], [21]. The second is an entrance crowd, previously studied for collective crowd behaviour [20], [22]. The two experiments reach 5.3 and 9.0 persons/m².</w:t>
      </w:r>
    </w:p>
    <w:p>
      <w:pPr>
        <w:spacing w:after="60"/>
        <w:jc w:val="left"/>
      </w:pPr>
      <w:r>
        <w:rPr>
          <w:rFonts w:ascii="Times New Roman" w:hAnsi="Times New Roman"/>
          <w:b w:val="0"/>
          <w:i/>
          <w:sz w:val="20"/>
        </w:rPr>
        <w:t>D. Simulated Data</w:t>
      </w:r>
    </w:p>
    <w:p>
      <w:pPr>
        <w:spacing w:after="80"/>
        <w:ind w:firstLine="245"/>
        <w:jc w:val="both"/>
      </w:pPr>
      <w:r>
        <w:rPr>
          <w:rFonts w:ascii="Times New Roman" w:hAnsi="Times New Roman"/>
          <w:b w:val="0"/>
          <w:i w:val="0"/>
          <w:sz w:val="20"/>
        </w:rPr>
        <w:t>Sixteen scenarios in four layouts (classroom, corridor bottleneck, two-exit hall, bidirectional corridor) include arrival surges and exit closures. Desired walking speeds follow 𝒩(1.34, 0.26</w:t>
      </w:r>
      <w:r>
        <w:rPr>
          <w:rFonts w:ascii="Times New Roman" w:hAnsi="Times New Roman"/>
          <w:b w:val="0"/>
          <w:i w:val="0"/>
          <w:sz w:val="20"/>
          <w:vertAlign w:val="superscript"/>
        </w:rPr>
        <w:t>2</w:t>
      </w:r>
      <w:r>
        <w:rPr>
          <w:rFonts w:ascii="Times New Roman" w:hAnsi="Times New Roman"/>
          <w:b w:val="0"/>
          <w:i w:val="0"/>
          <w:sz w:val="20"/>
        </w:rPr>
        <w:t>) m/s [23]. Simulations follow model rules, not real behaviour.</w:t>
      </w:r>
    </w:p>
    <w:p>
      <w:pPr>
        <w:spacing w:after="60"/>
        <w:jc w:val="left"/>
      </w:pPr>
      <w:r>
        <w:rPr>
          <w:rFonts w:ascii="Times New Roman" w:hAnsi="Times New Roman"/>
          <w:b w:val="0"/>
          <w:i/>
          <w:sz w:val="20"/>
        </w:rPr>
        <w:t>E. Train, Validation, and Test Splits</w:t>
      </w:r>
    </w:p>
    <w:p>
      <w:pPr>
        <w:spacing w:after="80"/>
        <w:ind w:firstLine="245"/>
        <w:jc w:val="both"/>
      </w:pPr>
      <w:r>
        <w:rPr>
          <w:rFonts w:ascii="Times New Roman" w:hAnsi="Times New Roman"/>
          <w:b w:val="0"/>
          <w:i w:val="0"/>
          <w:sz w:val="20"/>
        </w:rPr>
        <w:t>No model is trained. Counting combinations are fitted on two rooms and tested on the third, in turn. Conformal offsets use validation cameras, experiments or scenarios and are applied to separate test ones. Test data serve no fitting.</w:t>
      </w:r>
    </w:p>
    <w:p>
      <w:pPr>
        <w:spacing w:after="60"/>
        <w:jc w:val="left"/>
      </w:pPr>
      <w:r>
        <w:rPr>
          <w:rFonts w:ascii="Times New Roman" w:hAnsi="Times New Roman"/>
          <w:b w:val="0"/>
          <w:i/>
          <w:sz w:val="20"/>
        </w:rPr>
        <w:t>F. Evaluation Metrics</w:t>
      </w:r>
    </w:p>
    <w:p>
      <w:pPr>
        <w:spacing w:after="80"/>
        <w:ind w:firstLine="245"/>
        <w:jc w:val="both"/>
      </w:pPr>
      <w:r>
        <w:rPr>
          <w:rFonts w:ascii="Times New Roman" w:hAnsi="Times New Roman"/>
          <w:b w:val="0"/>
          <w:i w:val="0"/>
          <w:sz w:val="20"/>
        </w:rPr>
        <w:t xml:space="preserve">Counting uses the mean absolute error (MAE) in people per frame, reported in Table III and Table IV, and zone density uses the MAE in persons/m². Forecasts use the MAE and the </w:t>
      </w:r>
      <w:r>
        <w:rPr>
          <w:rFonts w:ascii="Times New Roman" w:hAnsi="Times New Roman"/>
          <w:b w:val="0"/>
          <w:i/>
          <w:sz w:val="20"/>
        </w:rPr>
        <w:t>coverage</w:t>
      </w:r>
      <w:r>
        <w:rPr>
          <w:rFonts w:ascii="Times New Roman" w:hAnsi="Times New Roman"/>
          <w:b w:val="0"/>
          <w:i w:val="0"/>
          <w:sz w:val="20"/>
        </w:rPr>
        <w:t xml:space="preserve">, the share of test forecasts at or below the bound (target 0.90), reported in Table V. For alerts, an </w:t>
      </w:r>
      <w:r>
        <w:rPr>
          <w:rFonts w:ascii="Times New Roman" w:hAnsi="Times New Roman"/>
          <w:b w:val="0"/>
          <w:i/>
          <w:sz w:val="20"/>
        </w:rPr>
        <w:t>event</w:t>
      </w:r>
      <w:r>
        <w:rPr>
          <w:rFonts w:ascii="Times New Roman" w:hAnsi="Times New Roman"/>
          <w:b w:val="0"/>
          <w:i w:val="0"/>
          <w:sz w:val="20"/>
        </w:rPr>
        <w:t xml:space="preserve"> is the first second at which a zone reaches 4 (or 5) persons/m² after monitoring starts. An event counts as </w:t>
      </w:r>
      <w:r>
        <w:rPr>
          <w:rFonts w:ascii="Times New Roman" w:hAnsi="Times New Roman"/>
          <w:b w:val="0"/>
          <w:i/>
          <w:sz w:val="20"/>
        </w:rPr>
        <w:t>warned in time</w:t>
      </w:r>
      <w:r>
        <w:rPr>
          <w:rFonts w:ascii="Times New Roman" w:hAnsi="Times New Roman"/>
          <w:b w:val="0"/>
          <w:i w:val="0"/>
          <w:sz w:val="20"/>
        </w:rPr>
        <w:t xml:space="preserve"> if an alert is raised at most (longest horizon + 10 s) before the event and more than 15 s after monitoring begins. Lead time is the time from alert to event, and a </w:t>
      </w:r>
      <w:r>
        <w:rPr>
          <w:rFonts w:ascii="Times New Roman" w:hAnsi="Times New Roman"/>
          <w:b w:val="0"/>
          <w:i/>
          <w:sz w:val="20"/>
        </w:rPr>
        <w:t>false alarm</w:t>
      </w:r>
      <w:r>
        <w:rPr>
          <w:rFonts w:ascii="Times New Roman" w:hAnsi="Times New Roman"/>
          <w:b w:val="0"/>
          <w:i w:val="0"/>
          <w:sz w:val="20"/>
        </w:rPr>
        <w:t xml:space="preserve"> is an alert with no event within 120 s, counted per zone-hour; Table VI reports both. Runtime is the median time from frame arrival to alert state, reported with model sizes in Table VII.</w:t>
      </w:r>
    </w:p>
    <w:p>
      <w:pPr>
        <w:spacing w:after="60"/>
        <w:jc w:val="left"/>
      </w:pPr>
      <w:r>
        <w:rPr>
          <w:rFonts w:ascii="Times New Roman" w:hAnsi="Times New Roman"/>
          <w:b w:val="0"/>
          <w:i/>
          <w:sz w:val="20"/>
        </w:rPr>
        <w:t>G. Hardware and Software</w:t>
      </w:r>
    </w:p>
    <w:p>
      <w:pPr>
        <w:spacing w:after="80"/>
        <w:ind w:firstLine="245"/>
        <w:jc w:val="both"/>
      </w:pPr>
      <w:r>
        <w:rPr>
          <w:rFonts w:ascii="Times New Roman" w:hAnsi="Times New Roman"/>
          <w:b w:val="0"/>
          <w:i w:val="0"/>
          <w:sz w:val="20"/>
        </w:rPr>
        <w:t>Density maps, flow, Chronos-2 and latency run on one shared NVIDIA A100 (40 GB); label-based counting uses ONNX models on a CPU. Simulations use JuPedSim 1.4.2 and analysis uses PedPy 1.5.1. No model is trained; the deployed path has about 222 M parameters, feature extraction for all 2.6 h of real CCTV data takes 33.5 min on the A100, and the 16 simulations take 9.7 min on a CPU.</w:t>
      </w:r>
    </w:p>
    <w:p>
      <w:pPr>
        <w:spacing w:after="80"/>
        <w:jc w:val="center"/>
      </w:pPr>
      <w:r>
        <w:rPr>
          <w:rFonts w:ascii="Times New Roman" w:hAnsi="Times New Roman"/>
          <w:b w:val="0"/>
          <w:i w:val="0"/>
          <w:sz w:val="20"/>
        </w:rPr>
        <w:t>V. RESULTS AND DISCUSSION</w:t>
      </w:r>
    </w:p>
    <w:p>
      <w:pPr>
        <w:spacing w:after="60"/>
        <w:jc w:val="left"/>
      </w:pPr>
      <w:r>
        <w:rPr>
          <w:rFonts w:ascii="Times New Roman" w:hAnsi="Times New Roman"/>
          <w:b w:val="0"/>
          <w:i/>
          <w:sz w:val="20"/>
        </w:rPr>
        <w:t>A. Counting Accuracy on ShanghaiTech</w:t>
      </w:r>
    </w:p>
    <w:p>
      <w:pPr>
        <w:spacing w:after="80"/>
        <w:ind w:firstLine="245"/>
        <w:jc w:val="both"/>
      </w:pPr>
      <w:r>
        <w:rPr>
          <w:rFonts w:ascii="Times New Roman" w:hAnsi="Times New Roman"/>
          <w:b w:val="0"/>
          <w:i w:val="0"/>
          <w:sz w:val="20"/>
        </w:rPr>
        <w:t>Table III compares the counting models. Zero-shot CLIP-EBC reaches an MAE of 66.95 on part A and 11.66 on part B, which is lower than CSRNet (68.2) and MCNN (110.2) on part A, although both of those models are trained on ShanghaiTech [3], [4]. Detectors miss most people in these dense images.</w:t>
      </w:r>
    </w:p>
    <w:p>
      <w:pPr>
        <w:spacing w:after="40"/>
        <w:jc w:val="center"/>
      </w:pPr>
      <w:r>
        <w:rPr>
          <w:rFonts w:ascii="Times New Roman" w:hAnsi="Times New Roman"/>
          <w:b w:val="0"/>
          <w:i w:val="0"/>
          <w:sz w:val="18"/>
        </w:rPr>
        <w:t>TABLE III: Counting MAE (People per Frame)</w:t>
      </w:r>
    </w:p>
    <w:tbl>
      <w:tblPr>
        <w:tblW w:type="auto" w:w="0"/>
        <w:jc w:val="center"/>
        <w:tblLook w:firstColumn="1" w:firstRow="1" w:lastColumn="0" w:lastRow="0" w:noHBand="0" w:noVBand="1" w:val="04A0"/>
        <w:tblBorders>
          <w:top w:val="single" w:sz="4" w:color="000000"/>
          <w:bottom w:val="single" w:sz="4" w:color="000000"/>
          <w:insideH w:val="single" w:sz="4" w:color="000000"/>
        </w:tblBorders>
      </w:tblPr>
      <w:tblGrid>
        <w:gridCol w:w="2016"/>
        <w:gridCol w:w="2016"/>
        <w:gridCol w:w="2016"/>
        <w:gridCol w:w="2016"/>
        <w:gridCol w:w="2016"/>
      </w:tblGrid>
      <w:tr>
        <w:tc>
          <w:tcPr>
            <w:tcW w:type="dxa" w:w="2016"/>
          </w:tcPr>
          <w:p>
            <w:pPr>
              <w:spacing w:after="0"/>
            </w:pPr>
            <w:r>
              <w:rPr>
                <w:rFonts w:ascii="Times New Roman" w:hAnsi="Times New Roman"/>
                <w:b/>
                <w:i w:val="0"/>
                <w:sz w:val="16"/>
              </w:rPr>
              <w:t>Model</w:t>
            </w:r>
          </w:p>
        </w:tc>
        <w:tc>
          <w:tcPr>
            <w:tcW w:type="dxa" w:w="2016"/>
          </w:tcPr>
          <w:p>
            <w:pPr>
              <w:spacing w:after="0"/>
            </w:pPr>
            <w:r>
              <w:rPr>
                <w:rFonts w:ascii="Times New Roman" w:hAnsi="Times New Roman"/>
                <w:b/>
                <w:i w:val="0"/>
                <w:sz w:val="16"/>
              </w:rPr>
              <w:t>Class. 1</w:t>
            </w:r>
          </w:p>
        </w:tc>
        <w:tc>
          <w:tcPr>
            <w:tcW w:type="dxa" w:w="2016"/>
          </w:tcPr>
          <w:p>
            <w:pPr>
              <w:spacing w:after="0"/>
            </w:pPr>
            <w:r>
              <w:rPr>
                <w:rFonts w:ascii="Times New Roman" w:hAnsi="Times New Roman"/>
                <w:b/>
                <w:i w:val="0"/>
                <w:sz w:val="16"/>
              </w:rPr>
              <w:t>Class. 2</w:t>
            </w:r>
          </w:p>
        </w:tc>
        <w:tc>
          <w:tcPr>
            <w:tcW w:type="dxa" w:w="2016"/>
          </w:tcPr>
          <w:p>
            <w:pPr>
              <w:spacing w:after="0"/>
            </w:pPr>
            <w:r>
              <w:rPr>
                <w:rFonts w:ascii="Times New Roman" w:hAnsi="Times New Roman"/>
                <w:b/>
                <w:i w:val="0"/>
                <w:sz w:val="16"/>
              </w:rPr>
              <w:t>Lab</w:t>
            </w:r>
          </w:p>
        </w:tc>
        <w:tc>
          <w:tcPr>
            <w:tcW w:type="dxa" w:w="2016"/>
          </w:tcPr>
          <w:p>
            <w:pPr>
              <w:spacing w:after="0"/>
            </w:pPr>
            <w:r>
              <w:rPr>
                <w:rFonts w:ascii="Times New Roman" w:hAnsi="Times New Roman"/>
                <w:b/>
                <w:i w:val="0"/>
                <w:sz w:val="16"/>
              </w:rPr>
              <w:t>ShanghaiTech A / B</w:t>
            </w:r>
          </w:p>
        </w:tc>
      </w:tr>
      <w:tr>
        <w:tc>
          <w:tcPr>
            <w:tcW w:type="dxa" w:w="2016"/>
          </w:tcPr>
          <w:p>
            <w:pPr>
              <w:spacing w:after="0"/>
            </w:pPr>
            <w:r>
              <w:rPr>
                <w:rFonts w:ascii="Times New Roman" w:hAnsi="Times New Roman"/>
                <w:b w:val="0"/>
                <w:i w:val="0"/>
                <w:sz w:val="16"/>
              </w:rPr>
              <w:t>CLIP-EBC (zero-shot)</w:t>
            </w:r>
          </w:p>
        </w:tc>
        <w:tc>
          <w:tcPr>
            <w:tcW w:type="dxa" w:w="2016"/>
          </w:tcPr>
          <w:p>
            <w:pPr>
              <w:spacing w:after="0"/>
            </w:pPr>
            <w:r>
              <w:rPr>
                <w:rFonts w:ascii="Times New Roman" w:hAnsi="Times New Roman"/>
                <w:b/>
                <w:i w:val="0"/>
                <w:sz w:val="16"/>
              </w:rPr>
              <w:t>5.10</w:t>
            </w:r>
          </w:p>
        </w:tc>
        <w:tc>
          <w:tcPr>
            <w:tcW w:type="dxa" w:w="2016"/>
          </w:tcPr>
          <w:p>
            <w:pPr>
              <w:spacing w:after="0"/>
            </w:pPr>
            <w:r>
              <w:rPr>
                <w:rFonts w:ascii="Times New Roman" w:hAnsi="Times New Roman"/>
                <w:b/>
                <w:i w:val="0"/>
                <w:sz w:val="16"/>
              </w:rPr>
              <w:t>2.58</w:t>
            </w:r>
          </w:p>
        </w:tc>
        <w:tc>
          <w:tcPr>
            <w:tcW w:type="dxa" w:w="2016"/>
          </w:tcPr>
          <w:p>
            <w:pPr>
              <w:spacing w:after="0"/>
            </w:pPr>
            <w:r>
              <w:rPr>
                <w:rFonts w:ascii="Times New Roman" w:hAnsi="Times New Roman"/>
                <w:b/>
                <w:i w:val="0"/>
                <w:sz w:val="16"/>
              </w:rPr>
              <w:t>1.97</w:t>
            </w:r>
          </w:p>
        </w:tc>
        <w:tc>
          <w:tcPr>
            <w:tcW w:type="dxa" w:w="2016"/>
          </w:tcPr>
          <w:p>
            <w:pPr>
              <w:spacing w:after="0"/>
            </w:pPr>
            <w:r>
              <w:rPr>
                <w:rFonts w:ascii="Times New Roman" w:hAnsi="Times New Roman"/>
                <w:b/>
                <w:i w:val="0"/>
                <w:sz w:val="16"/>
              </w:rPr>
              <w:t>66.95</w:t>
            </w:r>
            <w:r>
              <w:rPr>
                <w:rFonts w:ascii="Times New Roman" w:hAnsi="Times New Roman"/>
                <w:b w:val="0"/>
                <w:i w:val="0"/>
                <w:sz w:val="16"/>
              </w:rPr>
              <w:t xml:space="preserve"> / 11.66</w:t>
            </w:r>
          </w:p>
        </w:tc>
      </w:tr>
      <w:tr>
        <w:tc>
          <w:tcPr>
            <w:tcW w:type="dxa" w:w="2016"/>
          </w:tcPr>
          <w:p>
            <w:pPr>
              <w:spacing w:after="0"/>
            </w:pPr>
            <w:r>
              <w:rPr>
                <w:rFonts w:ascii="Times New Roman" w:hAnsi="Times New Roman"/>
                <w:b w:val="0"/>
                <w:i w:val="0"/>
                <w:sz w:val="16"/>
              </w:rPr>
              <w:t>YOLO11l</w:t>
            </w:r>
          </w:p>
        </w:tc>
        <w:tc>
          <w:tcPr>
            <w:tcW w:type="dxa" w:w="2016"/>
          </w:tcPr>
          <w:p>
            <w:pPr>
              <w:spacing w:after="0"/>
            </w:pPr>
            <w:r>
              <w:rPr>
                <w:rFonts w:ascii="Times New Roman" w:hAnsi="Times New Roman"/>
                <w:b w:val="0"/>
                <w:i w:val="0"/>
                <w:sz w:val="16"/>
              </w:rPr>
              <w:t>6.36</w:t>
            </w:r>
          </w:p>
        </w:tc>
        <w:tc>
          <w:tcPr>
            <w:tcW w:type="dxa" w:w="2016"/>
          </w:tcPr>
          <w:p>
            <w:pPr>
              <w:spacing w:after="0"/>
            </w:pPr>
            <w:r>
              <w:rPr>
                <w:rFonts w:ascii="Times New Roman" w:hAnsi="Times New Roman"/>
                <w:b w:val="0"/>
                <w:i w:val="0"/>
                <w:sz w:val="16"/>
              </w:rPr>
              <w:t>6.53</w:t>
            </w:r>
          </w:p>
        </w:tc>
        <w:tc>
          <w:tcPr>
            <w:tcW w:type="dxa" w:w="2016"/>
          </w:tcPr>
          <w:p>
            <w:pPr>
              <w:spacing w:after="0"/>
            </w:pPr>
            <w:r>
              <w:rPr>
                <w:rFonts w:ascii="Times New Roman" w:hAnsi="Times New Roman"/>
                <w:b w:val="0"/>
                <w:i w:val="0"/>
                <w:sz w:val="16"/>
              </w:rPr>
              <w:t>17.63</w:t>
            </w:r>
          </w:p>
        </w:tc>
        <w:tc>
          <w:tcPr>
            <w:tcW w:type="dxa" w:w="2016"/>
          </w:tcPr>
          <w:p>
            <w:pPr>
              <w:spacing w:after="0"/>
            </w:pPr>
            <w:r>
              <w:rPr>
                <w:rFonts w:ascii="Times New Roman" w:hAnsi="Times New Roman"/>
                <w:b w:val="0"/>
                <w:i w:val="0"/>
                <w:sz w:val="16"/>
              </w:rPr>
              <w:t>418.3 / 92.8</w:t>
            </w:r>
          </w:p>
        </w:tc>
      </w:tr>
      <w:tr>
        <w:tc>
          <w:tcPr>
            <w:tcW w:type="dxa" w:w="2016"/>
          </w:tcPr>
          <w:p>
            <w:pPr>
              <w:spacing w:after="0"/>
            </w:pPr>
            <w:r>
              <w:rPr>
                <w:rFonts w:ascii="Times New Roman" w:hAnsi="Times New Roman"/>
                <w:b w:val="0"/>
                <w:i w:val="0"/>
                <w:sz w:val="16"/>
              </w:rPr>
              <w:t>CrowdHuman heads</w:t>
            </w:r>
          </w:p>
        </w:tc>
        <w:tc>
          <w:tcPr>
            <w:tcW w:type="dxa" w:w="2016"/>
          </w:tcPr>
          <w:p>
            <w:pPr>
              <w:spacing w:after="0"/>
            </w:pPr>
            <w:r>
              <w:rPr>
                <w:rFonts w:ascii="Times New Roman" w:hAnsi="Times New Roman"/>
                <w:b w:val="0"/>
                <w:i w:val="0"/>
                <w:sz w:val="16"/>
              </w:rPr>
              <w:t>8.04</w:t>
            </w:r>
          </w:p>
        </w:tc>
        <w:tc>
          <w:tcPr>
            <w:tcW w:type="dxa" w:w="2016"/>
          </w:tcPr>
          <w:p>
            <w:pPr>
              <w:spacing w:after="0"/>
            </w:pPr>
            <w:r>
              <w:rPr>
                <w:rFonts w:ascii="Times New Roman" w:hAnsi="Times New Roman"/>
                <w:b w:val="0"/>
                <w:i w:val="0"/>
                <w:sz w:val="16"/>
              </w:rPr>
              <w:t>6.23</w:t>
            </w:r>
          </w:p>
        </w:tc>
        <w:tc>
          <w:tcPr>
            <w:tcW w:type="dxa" w:w="2016"/>
          </w:tcPr>
          <w:p>
            <w:pPr>
              <w:spacing w:after="0"/>
            </w:pPr>
            <w:r>
              <w:rPr>
                <w:rFonts w:ascii="Times New Roman" w:hAnsi="Times New Roman"/>
                <w:b w:val="0"/>
                <w:i w:val="0"/>
                <w:sz w:val="16"/>
              </w:rPr>
              <w:t>28.23</w:t>
            </w:r>
          </w:p>
        </w:tc>
        <w:tc>
          <w:tcPr>
            <w:tcW w:type="dxa" w:w="2016"/>
          </w:tcPr>
          <w:p>
            <w:pPr>
              <w:spacing w:after="0"/>
            </w:pPr>
            <w:r>
              <w:rPr>
                <w:rFonts w:ascii="Times New Roman" w:hAnsi="Times New Roman"/>
                <w:b w:val="0"/>
                <w:i w:val="0"/>
                <w:sz w:val="16"/>
              </w:rPr>
              <w:t>374.2 / 70.2</w:t>
            </w:r>
          </w:p>
        </w:tc>
      </w:tr>
      <w:tr>
        <w:tc>
          <w:tcPr>
            <w:tcW w:type="dxa" w:w="2016"/>
          </w:tcPr>
          <w:p>
            <w:pPr>
              <w:spacing w:after="0"/>
            </w:pPr>
            <w:r>
              <w:rPr>
                <w:rFonts w:ascii="Times New Roman" w:hAnsi="Times New Roman"/>
                <w:b w:val="0"/>
                <w:i w:val="0"/>
                <w:sz w:val="16"/>
              </w:rPr>
              <w:t>MCNN</w:t>
            </w:r>
            <w:r>
              <w:rPr>
                <w:rFonts w:ascii="Times New Roman" w:hAnsi="Times New Roman"/>
                <w:b w:val="0"/>
                <w:i w:val="0"/>
                <w:sz w:val="16"/>
                <w:vertAlign w:val="superscript"/>
              </w:rPr>
              <w:t>†</w:t>
            </w:r>
            <w:r>
              <w:rPr>
                <w:rFonts w:ascii="Times New Roman" w:hAnsi="Times New Roman"/>
                <w:b w:val="0"/>
                <w:i w:val="0"/>
                <w:sz w:val="16"/>
              </w:rPr>
              <w:t xml:space="preserve"> [3]</w:t>
            </w:r>
          </w:p>
        </w:tc>
        <w:tc>
          <w:tcPr>
            <w:tcW w:type="dxa" w:w="2016"/>
          </w:tcPr>
          <w:p>
            <w:pPr>
              <w:spacing w:after="0"/>
            </w:pPr>
            <w:r>
              <w:rPr>
                <w:rFonts w:ascii="Times New Roman" w:hAnsi="Times New Roman"/>
                <w:b w:val="0"/>
                <w:i w:val="0"/>
                <w:sz w:val="16"/>
              </w:rPr>
              <w:t>–</w:t>
            </w:r>
          </w:p>
        </w:tc>
        <w:tc>
          <w:tcPr>
            <w:tcW w:type="dxa" w:w="2016"/>
          </w:tcPr>
          <w:p>
            <w:pPr>
              <w:spacing w:after="0"/>
            </w:pPr>
            <w:r>
              <w:rPr>
                <w:rFonts w:ascii="Times New Roman" w:hAnsi="Times New Roman"/>
                <w:b w:val="0"/>
                <w:i w:val="0"/>
                <w:sz w:val="16"/>
              </w:rPr>
              <w:t>–</w:t>
            </w:r>
          </w:p>
        </w:tc>
        <w:tc>
          <w:tcPr>
            <w:tcW w:type="dxa" w:w="2016"/>
          </w:tcPr>
          <w:p>
            <w:pPr>
              <w:spacing w:after="0"/>
            </w:pPr>
            <w:r>
              <w:rPr>
                <w:rFonts w:ascii="Times New Roman" w:hAnsi="Times New Roman"/>
                <w:b w:val="0"/>
                <w:i w:val="0"/>
                <w:sz w:val="16"/>
              </w:rPr>
              <w:t>–</w:t>
            </w:r>
          </w:p>
        </w:tc>
        <w:tc>
          <w:tcPr>
            <w:tcW w:type="dxa" w:w="2016"/>
          </w:tcPr>
          <w:p>
            <w:pPr>
              <w:spacing w:after="0"/>
            </w:pPr>
            <w:r>
              <w:rPr>
                <w:rFonts w:ascii="Times New Roman" w:hAnsi="Times New Roman"/>
                <w:b w:val="0"/>
                <w:i w:val="0"/>
                <w:sz w:val="16"/>
              </w:rPr>
              <w:t>110.2 / 26.4</w:t>
            </w:r>
          </w:p>
        </w:tc>
      </w:tr>
      <w:tr>
        <w:tc>
          <w:tcPr>
            <w:tcW w:type="dxa" w:w="2016"/>
          </w:tcPr>
          <w:p>
            <w:pPr>
              <w:spacing w:after="0"/>
            </w:pPr>
            <w:r>
              <w:rPr>
                <w:rFonts w:ascii="Times New Roman" w:hAnsi="Times New Roman"/>
                <w:b w:val="0"/>
                <w:i w:val="0"/>
                <w:sz w:val="16"/>
              </w:rPr>
              <w:t>CSRNet</w:t>
            </w:r>
            <w:r>
              <w:rPr>
                <w:rFonts w:ascii="Times New Roman" w:hAnsi="Times New Roman"/>
                <w:b w:val="0"/>
                <w:i w:val="0"/>
                <w:sz w:val="16"/>
                <w:vertAlign w:val="superscript"/>
              </w:rPr>
              <w:t>†</w:t>
            </w:r>
            <w:r>
              <w:rPr>
                <w:rFonts w:ascii="Times New Roman" w:hAnsi="Times New Roman"/>
                <w:b w:val="0"/>
                <w:i w:val="0"/>
                <w:sz w:val="16"/>
              </w:rPr>
              <w:t xml:space="preserve"> [4]</w:t>
            </w:r>
          </w:p>
        </w:tc>
        <w:tc>
          <w:tcPr>
            <w:tcW w:type="dxa" w:w="2016"/>
          </w:tcPr>
          <w:p>
            <w:pPr>
              <w:spacing w:after="0"/>
            </w:pPr>
            <w:r>
              <w:rPr>
                <w:rFonts w:ascii="Times New Roman" w:hAnsi="Times New Roman"/>
                <w:b w:val="0"/>
                <w:i w:val="0"/>
                <w:sz w:val="16"/>
              </w:rPr>
              <w:t>–</w:t>
            </w:r>
          </w:p>
        </w:tc>
        <w:tc>
          <w:tcPr>
            <w:tcW w:type="dxa" w:w="2016"/>
          </w:tcPr>
          <w:p>
            <w:pPr>
              <w:spacing w:after="0"/>
            </w:pPr>
            <w:r>
              <w:rPr>
                <w:rFonts w:ascii="Times New Roman" w:hAnsi="Times New Roman"/>
                <w:b w:val="0"/>
                <w:i w:val="0"/>
                <w:sz w:val="16"/>
              </w:rPr>
              <w:t>–</w:t>
            </w:r>
          </w:p>
        </w:tc>
        <w:tc>
          <w:tcPr>
            <w:tcW w:type="dxa" w:w="2016"/>
          </w:tcPr>
          <w:p>
            <w:pPr>
              <w:spacing w:after="0"/>
            </w:pPr>
            <w:r>
              <w:rPr>
                <w:rFonts w:ascii="Times New Roman" w:hAnsi="Times New Roman"/>
                <w:b w:val="0"/>
                <w:i w:val="0"/>
                <w:sz w:val="16"/>
              </w:rPr>
              <w:t>–</w:t>
            </w:r>
          </w:p>
        </w:tc>
        <w:tc>
          <w:tcPr>
            <w:tcW w:type="dxa" w:w="2016"/>
          </w:tcPr>
          <w:p>
            <w:pPr>
              <w:spacing w:after="0"/>
            </w:pPr>
            <w:r>
              <w:rPr>
                <w:rFonts w:ascii="Times New Roman" w:hAnsi="Times New Roman"/>
                <w:b w:val="0"/>
                <w:i w:val="0"/>
                <w:sz w:val="16"/>
              </w:rPr>
              <w:t>68.2 / 10.6</w:t>
            </w:r>
          </w:p>
        </w:tc>
      </w:tr>
    </w:tbl>
    <w:p>
      <w:pPr>
        <w:spacing w:after="160"/>
        <w:jc w:val="left"/>
      </w:pPr>
      <w:r>
        <w:rPr>
          <w:rFonts w:ascii="Times New Roman" w:hAnsi="Times New Roman"/>
          <w:b w:val="0"/>
          <w:i/>
          <w:sz w:val="16"/>
        </w:rPr>
        <w:t xml:space="preserve"> </w:t>
      </w:r>
      <w:r>
        <w:rPr>
          <w:rFonts w:ascii="Times New Roman" w:hAnsi="Times New Roman"/>
          <w:b w:val="0"/>
          <w:i/>
          <w:sz w:val="16"/>
          <w:vertAlign w:val="superscript"/>
        </w:rPr>
        <w:t>†</w:t>
      </w:r>
      <w:r>
        <w:rPr>
          <w:rFonts w:ascii="Times New Roman" w:hAnsi="Times New Roman"/>
          <w:b w:val="0"/>
          <w:i/>
          <w:sz w:val="16"/>
        </w:rPr>
        <w:t>Published results, trained on ShanghaiTech. Frames: 100 / 30 / 30.</w:t>
      </w:r>
    </w:p>
    <w:p>
      <w:pPr>
        <w:spacing w:after="60"/>
        <w:jc w:val="left"/>
      </w:pPr>
      <w:r>
        <w:rPr>
          <w:rFonts w:ascii="Times New Roman" w:hAnsi="Times New Roman"/>
          <w:b w:val="0"/>
          <w:i/>
          <w:sz w:val="20"/>
        </w:rPr>
        <w:t>B. Counting Accuracy on CCTV and Model Selection</w:t>
      </w:r>
    </w:p>
    <w:p>
      <w:pPr>
        <w:spacing w:after="80"/>
        <w:ind w:firstLine="245"/>
        <w:jc w:val="both"/>
      </w:pPr>
      <w:r>
        <w:rPr>
          <w:rFonts w:ascii="Times New Roman" w:hAnsi="Times New Roman"/>
          <w:b w:val="0"/>
          <w:i w:val="0"/>
          <w:sz w:val="20"/>
        </w:rPr>
        <w:t>On the real CCTV data, CLIP-EBC is the most accurate model in every room (Table III): the error falls from 6.36 to 5.10 in the first classroom, from 6.53 to 2.58 in the second and from 17.63 to 1.97 in the computer lab compared with YOLO11l. Detectors undercount by 6–17 people per frame because desks, students and monitors hide bodies. When the combinations are fitted on two rooms and tested on the third (Table IV), the hard switch reaches a mean MAE of 3.16 and CLIP-EBC alone 3.22, while the learned per-frame weight reaches 5.22. CLIP-EBC density maps are therefore used for all zone measurements, because the zone step needs a spatial map and CLIP-EBC alone is within 0.06 of the best frame-level result.</w:t>
      </w:r>
    </w:p>
    <w:p>
      <w:pPr>
        <w:spacing w:after="40"/>
        <w:jc w:val="center"/>
      </w:pPr>
      <w:r>
        <w:rPr>
          <w:rFonts w:ascii="Times New Roman" w:hAnsi="Times New Roman"/>
          <w:b w:val="0"/>
          <w:i w:val="0"/>
          <w:sz w:val="18"/>
        </w:rPr>
        <w:t>TABLE IV: Counting MAE with Each Room Held Out in Turn</w:t>
      </w:r>
    </w:p>
    <w:tbl>
      <w:tblPr>
        <w:tblW w:type="auto" w:w="0"/>
        <w:jc w:val="center"/>
        <w:tblLook w:firstColumn="1" w:firstRow="1" w:lastColumn="0" w:lastRow="0" w:noHBand="0" w:noVBand="1" w:val="04A0"/>
        <w:tblBorders>
          <w:top w:val="single" w:sz="4" w:color="000000"/>
          <w:bottom w:val="single" w:sz="4" w:color="000000"/>
          <w:insideH w:val="single" w:sz="4" w:color="000000"/>
        </w:tblBorders>
      </w:tblPr>
      <w:tblGrid>
        <w:gridCol w:w="2016"/>
        <w:gridCol w:w="2016"/>
        <w:gridCol w:w="2016"/>
        <w:gridCol w:w="2016"/>
        <w:gridCol w:w="2016"/>
      </w:tblGrid>
      <w:tr>
        <w:tc>
          <w:tcPr>
            <w:tcW w:type="dxa" w:w="2016"/>
          </w:tcPr>
          <w:p>
            <w:pPr>
              <w:spacing w:after="0"/>
            </w:pPr>
            <w:r>
              <w:rPr>
                <w:rFonts w:ascii="Times New Roman" w:hAnsi="Times New Roman"/>
                <w:b/>
                <w:i w:val="0"/>
                <w:sz w:val="16"/>
              </w:rPr>
              <w:t>Method</w:t>
            </w:r>
          </w:p>
        </w:tc>
        <w:tc>
          <w:tcPr>
            <w:tcW w:type="dxa" w:w="2016"/>
          </w:tcPr>
          <w:p>
            <w:pPr>
              <w:spacing w:after="0"/>
            </w:pPr>
            <w:r>
              <w:rPr>
                <w:rFonts w:ascii="Times New Roman" w:hAnsi="Times New Roman"/>
                <w:b/>
                <w:i w:val="0"/>
                <w:sz w:val="16"/>
              </w:rPr>
              <w:t>Class. 1</w:t>
            </w:r>
          </w:p>
        </w:tc>
        <w:tc>
          <w:tcPr>
            <w:tcW w:type="dxa" w:w="2016"/>
          </w:tcPr>
          <w:p>
            <w:pPr>
              <w:spacing w:after="0"/>
            </w:pPr>
            <w:r>
              <w:rPr>
                <w:rFonts w:ascii="Times New Roman" w:hAnsi="Times New Roman"/>
                <w:b/>
                <w:i w:val="0"/>
                <w:sz w:val="16"/>
              </w:rPr>
              <w:t>Class. 2</w:t>
            </w:r>
          </w:p>
        </w:tc>
        <w:tc>
          <w:tcPr>
            <w:tcW w:type="dxa" w:w="2016"/>
          </w:tcPr>
          <w:p>
            <w:pPr>
              <w:spacing w:after="0"/>
            </w:pPr>
            <w:r>
              <w:rPr>
                <w:rFonts w:ascii="Times New Roman" w:hAnsi="Times New Roman"/>
                <w:b/>
                <w:i w:val="0"/>
                <w:sz w:val="16"/>
              </w:rPr>
              <w:t>Lab</w:t>
            </w:r>
          </w:p>
        </w:tc>
        <w:tc>
          <w:tcPr>
            <w:tcW w:type="dxa" w:w="2016"/>
          </w:tcPr>
          <w:p>
            <w:pPr>
              <w:spacing w:after="0"/>
            </w:pPr>
            <w:r>
              <w:rPr>
                <w:rFonts w:ascii="Times New Roman" w:hAnsi="Times New Roman"/>
                <w:b/>
                <w:i w:val="0"/>
                <w:sz w:val="16"/>
              </w:rPr>
              <w:t>Mean</w:t>
            </w:r>
          </w:p>
        </w:tc>
      </w:tr>
      <w:tr>
        <w:tc>
          <w:tcPr>
            <w:tcW w:type="dxa" w:w="2016"/>
          </w:tcPr>
          <w:p>
            <w:pPr>
              <w:spacing w:after="0"/>
            </w:pPr>
            <w:r>
              <w:rPr>
                <w:rFonts w:ascii="Times New Roman" w:hAnsi="Times New Roman"/>
                <w:b w:val="0"/>
                <w:i w:val="0"/>
                <w:sz w:val="16"/>
              </w:rPr>
              <w:t>Hard switch</w:t>
            </w:r>
          </w:p>
        </w:tc>
        <w:tc>
          <w:tcPr>
            <w:tcW w:type="dxa" w:w="2016"/>
          </w:tcPr>
          <w:p>
            <w:pPr>
              <w:spacing w:after="0"/>
            </w:pPr>
            <w:r>
              <w:rPr>
                <w:rFonts w:ascii="Times New Roman" w:hAnsi="Times New Roman"/>
                <w:b w:val="0"/>
                <w:i w:val="0"/>
                <w:sz w:val="16"/>
              </w:rPr>
              <w:t>5.08</w:t>
            </w:r>
          </w:p>
        </w:tc>
        <w:tc>
          <w:tcPr>
            <w:tcW w:type="dxa" w:w="2016"/>
          </w:tcPr>
          <w:p>
            <w:pPr>
              <w:spacing w:after="0"/>
            </w:pPr>
            <w:r>
              <w:rPr>
                <w:rFonts w:ascii="Times New Roman" w:hAnsi="Times New Roman"/>
                <w:b w:val="0"/>
                <w:i w:val="0"/>
                <w:sz w:val="16"/>
              </w:rPr>
              <w:t>2.51</w:t>
            </w:r>
          </w:p>
        </w:tc>
        <w:tc>
          <w:tcPr>
            <w:tcW w:type="dxa" w:w="2016"/>
          </w:tcPr>
          <w:p>
            <w:pPr>
              <w:spacing w:after="0"/>
            </w:pPr>
            <w:r>
              <w:rPr>
                <w:rFonts w:ascii="Times New Roman" w:hAnsi="Times New Roman"/>
                <w:b w:val="0"/>
                <w:i w:val="0"/>
                <w:sz w:val="16"/>
              </w:rPr>
              <w:t>1.89</w:t>
            </w:r>
          </w:p>
        </w:tc>
        <w:tc>
          <w:tcPr>
            <w:tcW w:type="dxa" w:w="2016"/>
          </w:tcPr>
          <w:p>
            <w:pPr>
              <w:spacing w:after="0"/>
            </w:pPr>
            <w:r>
              <w:rPr>
                <w:rFonts w:ascii="Times New Roman" w:hAnsi="Times New Roman"/>
                <w:b/>
                <w:i w:val="0"/>
                <w:sz w:val="16"/>
              </w:rPr>
              <w:t>3.16</w:t>
            </w:r>
          </w:p>
        </w:tc>
      </w:tr>
      <w:tr>
        <w:tc>
          <w:tcPr>
            <w:tcW w:type="dxa" w:w="2016"/>
          </w:tcPr>
          <w:p>
            <w:pPr>
              <w:spacing w:after="0"/>
            </w:pPr>
            <w:r>
              <w:rPr>
                <w:rFonts w:ascii="Times New Roman" w:hAnsi="Times New Roman"/>
                <w:b w:val="0"/>
                <w:i w:val="0"/>
                <w:sz w:val="16"/>
              </w:rPr>
              <w:t>CLIP-EBC alone</w:t>
            </w:r>
          </w:p>
        </w:tc>
        <w:tc>
          <w:tcPr>
            <w:tcW w:type="dxa" w:w="2016"/>
          </w:tcPr>
          <w:p>
            <w:pPr>
              <w:spacing w:after="0"/>
            </w:pPr>
            <w:r>
              <w:rPr>
                <w:rFonts w:ascii="Times New Roman" w:hAnsi="Times New Roman"/>
                <w:b w:val="0"/>
                <w:i w:val="0"/>
                <w:sz w:val="16"/>
              </w:rPr>
              <w:t>5.10</w:t>
            </w:r>
          </w:p>
        </w:tc>
        <w:tc>
          <w:tcPr>
            <w:tcW w:type="dxa" w:w="2016"/>
          </w:tcPr>
          <w:p>
            <w:pPr>
              <w:spacing w:after="0"/>
            </w:pPr>
            <w:r>
              <w:rPr>
                <w:rFonts w:ascii="Times New Roman" w:hAnsi="Times New Roman"/>
                <w:b w:val="0"/>
                <w:i w:val="0"/>
                <w:sz w:val="16"/>
              </w:rPr>
              <w:t>2.58</w:t>
            </w:r>
          </w:p>
        </w:tc>
        <w:tc>
          <w:tcPr>
            <w:tcW w:type="dxa" w:w="2016"/>
          </w:tcPr>
          <w:p>
            <w:pPr>
              <w:spacing w:after="0"/>
            </w:pPr>
            <w:r>
              <w:rPr>
                <w:rFonts w:ascii="Times New Roman" w:hAnsi="Times New Roman"/>
                <w:b w:val="0"/>
                <w:i w:val="0"/>
                <w:sz w:val="16"/>
              </w:rPr>
              <w:t>1.97</w:t>
            </w:r>
          </w:p>
        </w:tc>
        <w:tc>
          <w:tcPr>
            <w:tcW w:type="dxa" w:w="2016"/>
          </w:tcPr>
          <w:p>
            <w:pPr>
              <w:spacing w:after="0"/>
            </w:pPr>
            <w:r>
              <w:rPr>
                <w:rFonts w:ascii="Times New Roman" w:hAnsi="Times New Roman"/>
                <w:b w:val="0"/>
                <w:i w:val="0"/>
                <w:sz w:val="16"/>
              </w:rPr>
              <w:t>3.22</w:t>
            </w:r>
          </w:p>
        </w:tc>
      </w:tr>
      <w:tr>
        <w:tc>
          <w:tcPr>
            <w:tcW w:type="dxa" w:w="2016"/>
          </w:tcPr>
          <w:p>
            <w:pPr>
              <w:spacing w:after="0"/>
            </w:pPr>
            <w:r>
              <w:rPr>
                <w:rFonts w:ascii="Times New Roman" w:hAnsi="Times New Roman"/>
                <w:b w:val="0"/>
                <w:i w:val="0"/>
                <w:sz w:val="16"/>
              </w:rPr>
              <w:t>50/50 average</w:t>
            </w:r>
          </w:p>
        </w:tc>
        <w:tc>
          <w:tcPr>
            <w:tcW w:type="dxa" w:w="2016"/>
          </w:tcPr>
          <w:p>
            <w:pPr>
              <w:spacing w:after="0"/>
            </w:pPr>
            <w:r>
              <w:rPr>
                <w:rFonts w:ascii="Times New Roman" w:hAnsi="Times New Roman"/>
                <w:b w:val="0"/>
                <w:i w:val="0"/>
                <w:sz w:val="16"/>
              </w:rPr>
              <w:t>1.68</w:t>
            </w:r>
          </w:p>
        </w:tc>
        <w:tc>
          <w:tcPr>
            <w:tcW w:type="dxa" w:w="2016"/>
          </w:tcPr>
          <w:p>
            <w:pPr>
              <w:spacing w:after="0"/>
            </w:pPr>
            <w:r>
              <w:rPr>
                <w:rFonts w:ascii="Times New Roman" w:hAnsi="Times New Roman"/>
                <w:b w:val="0"/>
                <w:i w:val="0"/>
                <w:sz w:val="16"/>
              </w:rPr>
              <w:t>3.45</w:t>
            </w:r>
          </w:p>
        </w:tc>
        <w:tc>
          <w:tcPr>
            <w:tcW w:type="dxa" w:w="2016"/>
          </w:tcPr>
          <w:p>
            <w:pPr>
              <w:spacing w:after="0"/>
            </w:pPr>
            <w:r>
              <w:rPr>
                <w:rFonts w:ascii="Times New Roman" w:hAnsi="Times New Roman"/>
                <w:b w:val="0"/>
                <w:i w:val="0"/>
                <w:sz w:val="16"/>
              </w:rPr>
              <w:t>8.31</w:t>
            </w:r>
          </w:p>
        </w:tc>
        <w:tc>
          <w:tcPr>
            <w:tcW w:type="dxa" w:w="2016"/>
          </w:tcPr>
          <w:p>
            <w:pPr>
              <w:spacing w:after="0"/>
            </w:pPr>
            <w:r>
              <w:rPr>
                <w:rFonts w:ascii="Times New Roman" w:hAnsi="Times New Roman"/>
                <w:b w:val="0"/>
                <w:i w:val="0"/>
                <w:sz w:val="16"/>
              </w:rPr>
              <w:t>4.48</w:t>
            </w:r>
          </w:p>
        </w:tc>
      </w:tr>
      <w:tr>
        <w:tc>
          <w:tcPr>
            <w:tcW w:type="dxa" w:w="2016"/>
          </w:tcPr>
          <w:p>
            <w:pPr>
              <w:spacing w:after="0"/>
            </w:pPr>
            <w:r>
              <w:rPr>
                <w:rFonts w:ascii="Times New Roman" w:hAnsi="Times New Roman"/>
                <w:b w:val="0"/>
                <w:i w:val="0"/>
                <w:sz w:val="16"/>
              </w:rPr>
              <w:t>Constant weight</w:t>
            </w:r>
          </w:p>
        </w:tc>
        <w:tc>
          <w:tcPr>
            <w:tcW w:type="dxa" w:w="2016"/>
          </w:tcPr>
          <w:p>
            <w:pPr>
              <w:spacing w:after="0"/>
            </w:pPr>
            <w:r>
              <w:rPr>
                <w:rFonts w:ascii="Times New Roman" w:hAnsi="Times New Roman"/>
                <w:b w:val="0"/>
                <w:i w:val="0"/>
                <w:sz w:val="16"/>
              </w:rPr>
              <w:t>4.17</w:t>
            </w:r>
          </w:p>
        </w:tc>
        <w:tc>
          <w:tcPr>
            <w:tcW w:type="dxa" w:w="2016"/>
          </w:tcPr>
          <w:p>
            <w:pPr>
              <w:spacing w:after="0"/>
            </w:pPr>
            <w:r>
              <w:rPr>
                <w:rFonts w:ascii="Times New Roman" w:hAnsi="Times New Roman"/>
                <w:b w:val="0"/>
                <w:i w:val="0"/>
                <w:sz w:val="16"/>
              </w:rPr>
              <w:t>2.72</w:t>
            </w:r>
          </w:p>
        </w:tc>
        <w:tc>
          <w:tcPr>
            <w:tcW w:type="dxa" w:w="2016"/>
          </w:tcPr>
          <w:p>
            <w:pPr>
              <w:spacing w:after="0"/>
            </w:pPr>
            <w:r>
              <w:rPr>
                <w:rFonts w:ascii="Times New Roman" w:hAnsi="Times New Roman"/>
                <w:b w:val="0"/>
                <w:i w:val="0"/>
                <w:sz w:val="16"/>
              </w:rPr>
              <w:t>6.79</w:t>
            </w:r>
          </w:p>
        </w:tc>
        <w:tc>
          <w:tcPr>
            <w:tcW w:type="dxa" w:w="2016"/>
          </w:tcPr>
          <w:p>
            <w:pPr>
              <w:spacing w:after="0"/>
            </w:pPr>
            <w:r>
              <w:rPr>
                <w:rFonts w:ascii="Times New Roman" w:hAnsi="Times New Roman"/>
                <w:b w:val="0"/>
                <w:i w:val="0"/>
                <w:sz w:val="16"/>
              </w:rPr>
              <w:t>4.56</w:t>
            </w:r>
          </w:p>
        </w:tc>
      </w:tr>
      <w:tr>
        <w:tc>
          <w:tcPr>
            <w:tcW w:type="dxa" w:w="2016"/>
          </w:tcPr>
          <w:p>
            <w:pPr>
              <w:spacing w:after="0"/>
            </w:pPr>
            <w:r>
              <w:rPr>
                <w:rFonts w:ascii="Times New Roman" w:hAnsi="Times New Roman"/>
                <w:b w:val="0"/>
                <w:i w:val="0"/>
                <w:sz w:val="16"/>
              </w:rPr>
              <w:t>Learned per-frame weight</w:t>
            </w:r>
          </w:p>
        </w:tc>
        <w:tc>
          <w:tcPr>
            <w:tcW w:type="dxa" w:w="2016"/>
          </w:tcPr>
          <w:p>
            <w:pPr>
              <w:spacing w:after="0"/>
            </w:pPr>
            <w:r>
              <w:rPr>
                <w:rFonts w:ascii="Times New Roman" w:hAnsi="Times New Roman"/>
                <w:b w:val="0"/>
                <w:i w:val="0"/>
                <w:sz w:val="16"/>
              </w:rPr>
              <w:t>4.30</w:t>
            </w:r>
          </w:p>
        </w:tc>
        <w:tc>
          <w:tcPr>
            <w:tcW w:type="dxa" w:w="2016"/>
          </w:tcPr>
          <w:p>
            <w:pPr>
              <w:spacing w:after="0"/>
            </w:pPr>
            <w:r>
              <w:rPr>
                <w:rFonts w:ascii="Times New Roman" w:hAnsi="Times New Roman"/>
                <w:b w:val="0"/>
                <w:i w:val="0"/>
                <w:sz w:val="16"/>
              </w:rPr>
              <w:t>3.08</w:t>
            </w:r>
          </w:p>
        </w:tc>
        <w:tc>
          <w:tcPr>
            <w:tcW w:type="dxa" w:w="2016"/>
          </w:tcPr>
          <w:p>
            <w:pPr>
              <w:spacing w:after="0"/>
            </w:pPr>
            <w:r>
              <w:rPr>
                <w:rFonts w:ascii="Times New Roman" w:hAnsi="Times New Roman"/>
                <w:b w:val="0"/>
                <w:i w:val="0"/>
                <w:sz w:val="16"/>
              </w:rPr>
              <w:t>8.29</w:t>
            </w:r>
          </w:p>
        </w:tc>
        <w:tc>
          <w:tcPr>
            <w:tcW w:type="dxa" w:w="2016"/>
          </w:tcPr>
          <w:p>
            <w:pPr>
              <w:spacing w:after="0"/>
            </w:pPr>
            <w:r>
              <w:rPr>
                <w:rFonts w:ascii="Times New Roman" w:hAnsi="Times New Roman"/>
                <w:b w:val="0"/>
                <w:i w:val="0"/>
                <w:sz w:val="16"/>
              </w:rPr>
              <w:t>5.22</w:t>
            </w:r>
          </w:p>
        </w:tc>
      </w:tr>
      <w:tr>
        <w:tc>
          <w:tcPr>
            <w:tcW w:type="dxa" w:w="2016"/>
          </w:tcPr>
          <w:p>
            <w:pPr>
              <w:spacing w:after="0"/>
            </w:pPr>
            <w:r>
              <w:rPr>
                <w:rFonts w:ascii="Times New Roman" w:hAnsi="Times New Roman"/>
                <w:b w:val="0"/>
                <w:i w:val="0"/>
                <w:sz w:val="16"/>
              </w:rPr>
              <w:t>YOLO11l alone</w:t>
            </w:r>
          </w:p>
        </w:tc>
        <w:tc>
          <w:tcPr>
            <w:tcW w:type="dxa" w:w="2016"/>
          </w:tcPr>
          <w:p>
            <w:pPr>
              <w:spacing w:after="0"/>
            </w:pPr>
            <w:r>
              <w:rPr>
                <w:rFonts w:ascii="Times New Roman" w:hAnsi="Times New Roman"/>
                <w:b w:val="0"/>
                <w:i w:val="0"/>
                <w:sz w:val="16"/>
              </w:rPr>
              <w:t>6.36</w:t>
            </w:r>
          </w:p>
        </w:tc>
        <w:tc>
          <w:tcPr>
            <w:tcW w:type="dxa" w:w="2016"/>
          </w:tcPr>
          <w:p>
            <w:pPr>
              <w:spacing w:after="0"/>
            </w:pPr>
            <w:r>
              <w:rPr>
                <w:rFonts w:ascii="Times New Roman" w:hAnsi="Times New Roman"/>
                <w:b w:val="0"/>
                <w:i w:val="0"/>
                <w:sz w:val="16"/>
              </w:rPr>
              <w:t>6.53</w:t>
            </w:r>
          </w:p>
        </w:tc>
        <w:tc>
          <w:tcPr>
            <w:tcW w:type="dxa" w:w="2016"/>
          </w:tcPr>
          <w:p>
            <w:pPr>
              <w:spacing w:after="0"/>
            </w:pPr>
            <w:r>
              <w:rPr>
                <w:rFonts w:ascii="Times New Roman" w:hAnsi="Times New Roman"/>
                <w:b w:val="0"/>
                <w:i w:val="0"/>
                <w:sz w:val="16"/>
              </w:rPr>
              <w:t>17.63</w:t>
            </w:r>
          </w:p>
        </w:tc>
        <w:tc>
          <w:tcPr>
            <w:tcW w:type="dxa" w:w="2016"/>
          </w:tcPr>
          <w:p>
            <w:pPr>
              <w:spacing w:after="0"/>
            </w:pPr>
            <w:r>
              <w:rPr>
                <w:rFonts w:ascii="Times New Roman" w:hAnsi="Times New Roman"/>
                <w:b w:val="0"/>
                <w:i w:val="0"/>
                <w:sz w:val="16"/>
              </w:rPr>
              <w:t>10.17</w:t>
            </w:r>
          </w:p>
        </w:tc>
      </w:tr>
    </w:tbl>
    <w:p>
      <w:pPr>
        <w:spacing w:after="80"/>
        <w:jc w:val="both"/>
      </w:pPr>
      <w:r>
        <w:rPr>
          <w:rFonts w:ascii="Times New Roman" w:hAnsi="Times New Roman"/>
          <w:b w:val="0"/>
          <w:i w:val="0"/>
          <w:sz w:val="8"/>
        </w:rPr>
      </w:r>
    </w:p>
    <w:p>
      <w:pPr>
        <w:spacing w:after="60"/>
        <w:jc w:val="left"/>
      </w:pPr>
      <w:r>
        <w:rPr>
          <w:rFonts w:ascii="Times New Roman" w:hAnsi="Times New Roman"/>
          <w:b w:val="0"/>
          <w:i/>
          <w:sz w:val="20"/>
        </w:rPr>
        <w:t>C. Calibration Accuracy</w:t>
      </w:r>
    </w:p>
    <w:p>
      <w:pPr>
        <w:spacing w:after="80"/>
        <w:ind w:firstLine="245"/>
        <w:jc w:val="both"/>
      </w:pPr>
      <w:r>
        <w:rPr>
          <w:rFonts w:ascii="Times New Roman" w:hAnsi="Times New Roman"/>
          <w:b w:val="0"/>
          <w:i w:val="0"/>
          <w:sz w:val="20"/>
        </w:rPr>
        <w:t>Reprojection errors are 3.6–4.2 px. On distances excluded from the fit, the row spacing of the first classroom measures 0.99 against 0.96 m (+3 %) and the mean desk spacing differs by -5 %; a door in the second classroom measures 1.23 against 1.12 m (+10 %); and table edges in the computer lab lie within 0.03–0.18 m. The calibration is therefore accurate to about ± 5 %.</w:t>
      </w:r>
    </w:p>
    <w:p>
      <w:pPr>
        <w:spacing w:after="60"/>
        <w:jc w:val="left"/>
      </w:pPr>
      <w:r>
        <w:rPr>
          <w:rFonts w:ascii="Times New Roman" w:hAnsi="Times New Roman"/>
          <w:b w:val="0"/>
          <w:i/>
          <w:sz w:val="20"/>
        </w:rPr>
        <w:t>D. Zone Density Accuracy</w:t>
      </w:r>
    </w:p>
    <w:p>
      <w:pPr>
        <w:spacing w:after="80"/>
        <w:ind w:firstLine="245"/>
        <w:jc w:val="both"/>
      </w:pPr>
      <w:r>
        <w:rPr>
          <w:rFonts w:ascii="Times New Roman" w:hAnsi="Times New Roman"/>
          <w:b w:val="0"/>
          <w:i w:val="0"/>
          <w:sz w:val="20"/>
        </w:rPr>
        <w:t>Zone-density MAE is 0.101 and 0.081 persons/m² in the two classrooms and 0.078 persons/m² in the computer lab, with 94–98 % of heads inside a zone, and changing the head height from 1.1 to 1.6 m alters the MAE by at most 0.03. These errors are about 20 times smaller than the 2 persons/m² width of each risk band.</w:t>
      </w:r>
    </w:p>
    <w:p>
      <w:pPr>
        <w:spacing w:after="60"/>
        <w:jc w:val="left"/>
      </w:pPr>
      <w:r>
        <w:rPr>
          <w:rFonts w:ascii="Times New Roman" w:hAnsi="Times New Roman"/>
          <w:b w:val="0"/>
          <w:i/>
          <w:sz w:val="20"/>
        </w:rPr>
        <w:t>E. Forecasting Accuracy and Upper-Bound Reliability</w:t>
      </w:r>
    </w:p>
    <w:p>
      <w:pPr>
        <w:spacing w:after="80"/>
        <w:ind w:firstLine="245"/>
        <w:jc w:val="both"/>
      </w:pPr>
      <w:r>
        <w:rPr>
          <w:rFonts w:ascii="Times New Roman" w:hAnsi="Times New Roman"/>
          <w:b w:val="0"/>
          <w:i w:val="0"/>
          <w:sz w:val="20"/>
        </w:rPr>
        <w:t>Table V reports forecasting results on the test splits. Chronos-2 matches persistence on average error and lowers the error on the real CCTV data (0.064–0.097 against 0.074–0.105 persons/m²). The calibrated Chronos-2 bound holds near the 90 % target on all sources, while the persistence bound drops to 0.66 on the Jülich data at 30 s. Where the true density is at least 4 persons/m², the Chronos-2 bound holds for 0.76–0.88 of Jülich forecasts against 0.56–0.78 for persistence, an improvement of up to 20 percentage points.</w:t>
      </w:r>
    </w:p>
    <w:p>
      <w:pPr>
        <w:spacing w:after="40"/>
        <w:jc w:val="center"/>
      </w:pPr>
      <w:r>
        <w:rPr>
          <w:rFonts w:ascii="Times New Roman" w:hAnsi="Times New Roman"/>
          <w:b w:val="0"/>
          <w:i w:val="0"/>
          <w:sz w:val="18"/>
        </w:rPr>
        <w:t>TABLE V: Forecasting on Test Splits (Ranges over Horizons)</w:t>
      </w:r>
    </w:p>
    <w:tbl>
      <w:tblPr>
        <w:tblW w:type="auto" w:w="0"/>
        <w:jc w:val="center"/>
        <w:tblLook w:firstColumn="1" w:firstRow="1" w:lastColumn="0" w:lastRow="0" w:noHBand="0" w:noVBand="1" w:val="04A0"/>
        <w:tblBorders>
          <w:top w:val="single" w:sz="4" w:color="000000"/>
          <w:bottom w:val="single" w:sz="4" w:color="000000"/>
          <w:insideH w:val="single" w:sz="4" w:color="000000"/>
        </w:tblBorders>
      </w:tblPr>
      <w:tblGrid>
        <w:gridCol w:w="2016"/>
        <w:gridCol w:w="2016"/>
        <w:gridCol w:w="2016"/>
        <w:gridCol w:w="2016"/>
        <w:gridCol w:w="2016"/>
      </w:tblGrid>
      <w:tr>
        <w:tc>
          <w:tcPr>
            <w:tcW w:type="dxa" w:w="2016"/>
          </w:tcPr>
          <w:p>
            <w:pPr>
              <w:spacing w:after="0"/>
            </w:pPr>
            <w:r>
              <w:rPr>
                <w:rFonts w:ascii="Times New Roman" w:hAnsi="Times New Roman"/>
                <w:b/>
                <w:i w:val="0"/>
                <w:sz w:val="16"/>
              </w:rPr>
              <w:t>Data</w:t>
            </w:r>
          </w:p>
        </w:tc>
        <w:tc>
          <w:tcPr>
            <w:tcW w:type="dxa" w:w="2016"/>
          </w:tcPr>
          <w:p>
            <w:pPr>
              <w:spacing w:after="0"/>
            </w:pPr>
            <w:r>
              <w:rPr>
                <w:rFonts w:ascii="Times New Roman" w:hAnsi="Times New Roman"/>
                <w:b/>
                <w:i w:val="0"/>
                <w:sz w:val="16"/>
              </w:rPr>
              <w:t>Model</w:t>
            </w:r>
          </w:p>
        </w:tc>
        <w:tc>
          <w:tcPr>
            <w:tcW w:type="dxa" w:w="2016"/>
          </w:tcPr>
          <w:p>
            <w:pPr>
              <w:spacing w:after="0"/>
            </w:pPr>
            <w:r>
              <w:rPr>
                <w:rFonts w:ascii="Times New Roman" w:hAnsi="Times New Roman"/>
                <w:b/>
                <w:i w:val="0"/>
                <w:sz w:val="16"/>
              </w:rPr>
              <w:t>MAE (persons/m²)</w:t>
            </w:r>
          </w:p>
        </w:tc>
        <w:tc>
          <w:tcPr>
            <w:tcW w:type="dxa" w:w="2016"/>
          </w:tcPr>
          <w:p>
            <w:pPr>
              <w:spacing w:after="0"/>
            </w:pPr>
            <w:r>
              <w:rPr>
                <w:rFonts w:ascii="Times New Roman" w:hAnsi="Times New Roman"/>
                <w:b/>
                <w:i w:val="0"/>
                <w:sz w:val="16"/>
              </w:rPr>
              <w:t>Coverage</w:t>
            </w:r>
          </w:p>
        </w:tc>
        <w:tc>
          <w:tcPr>
            <w:tcW w:type="dxa" w:w="2016"/>
          </w:tcPr>
          <w:p>
            <w:pPr>
              <w:spacing w:after="0"/>
            </w:pPr>
            <w:r>
              <w:rPr>
                <w:rFonts w:ascii="Times New Roman" w:hAnsi="Times New Roman"/>
                <w:b/>
                <w:i w:val="0"/>
                <w:sz w:val="16"/>
              </w:rPr>
              <w:t>Cov., ρ≥ 4</w:t>
            </w:r>
          </w:p>
        </w:tc>
      </w:tr>
      <w:tr>
        <w:tc>
          <w:tcPr>
            <w:tcW w:type="dxa" w:w="2016"/>
          </w:tcPr>
          <w:p>
            <w:pPr>
              <w:spacing w:after="0"/>
            </w:pPr>
            <w:r>
              <w:rPr>
                <w:rFonts w:ascii="Times New Roman" w:hAnsi="Times New Roman"/>
                <w:b w:val="0"/>
                <w:i w:val="0"/>
                <w:sz w:val="16"/>
              </w:rPr>
              <w:t>Real CCTV</w:t>
            </w:r>
          </w:p>
        </w:tc>
        <w:tc>
          <w:tcPr>
            <w:tcW w:type="dxa" w:w="2016"/>
          </w:tcPr>
          <w:p>
            <w:pPr>
              <w:spacing w:after="0"/>
            </w:pPr>
            <w:r>
              <w:rPr>
                <w:rFonts w:ascii="Times New Roman" w:hAnsi="Times New Roman"/>
                <w:b w:val="0"/>
                <w:i w:val="0"/>
                <w:sz w:val="16"/>
              </w:rPr>
              <w:t>Chronos-2 joint</w:t>
            </w:r>
          </w:p>
        </w:tc>
        <w:tc>
          <w:tcPr>
            <w:tcW w:type="dxa" w:w="2016"/>
          </w:tcPr>
          <w:p>
            <w:pPr>
              <w:spacing w:after="0"/>
            </w:pPr>
            <w:r>
              <w:rPr>
                <w:rFonts w:ascii="Times New Roman" w:hAnsi="Times New Roman"/>
                <w:b w:val="0"/>
                <w:i w:val="0"/>
                <w:sz w:val="16"/>
              </w:rPr>
              <w:t>.064–.097</w:t>
            </w:r>
          </w:p>
        </w:tc>
        <w:tc>
          <w:tcPr>
            <w:tcW w:type="dxa" w:w="2016"/>
          </w:tcPr>
          <w:p>
            <w:pPr>
              <w:spacing w:after="0"/>
            </w:pPr>
            <w:r>
              <w:rPr>
                <w:rFonts w:ascii="Times New Roman" w:hAnsi="Times New Roman"/>
                <w:b w:val="0"/>
                <w:i w:val="0"/>
                <w:sz w:val="16"/>
              </w:rPr>
              <w:t>.89–.91</w:t>
            </w:r>
          </w:p>
        </w:tc>
        <w:tc>
          <w:tcPr>
            <w:tcW w:type="dxa" w:w="2016"/>
          </w:tcPr>
          <w:p>
            <w:pPr>
              <w:spacing w:after="0"/>
            </w:pPr>
            <w:r>
              <w:rPr>
                <w:rFonts w:ascii="Times New Roman" w:hAnsi="Times New Roman"/>
                <w:b w:val="0"/>
                <w:i w:val="0"/>
                <w:sz w:val="16"/>
              </w:rPr>
              <w:t>–</w:t>
            </w:r>
          </w:p>
        </w:tc>
      </w:tr>
      <w:tr>
        <w:tc>
          <w:tcPr>
            <w:tcW w:type="dxa" w:w="2016"/>
          </w:tcPr>
          <w:p>
            <w:pPr>
              <w:spacing w:after="0"/>
            </w:pPr>
          </w:p>
        </w:tc>
        <w:tc>
          <w:tcPr>
            <w:tcW w:type="dxa" w:w="2016"/>
          </w:tcPr>
          <w:p>
            <w:pPr>
              <w:spacing w:after="0"/>
            </w:pPr>
            <w:r>
              <w:rPr>
                <w:rFonts w:ascii="Times New Roman" w:hAnsi="Times New Roman"/>
                <w:b w:val="0"/>
                <w:i w:val="0"/>
                <w:sz w:val="16"/>
              </w:rPr>
              <w:t>Persistence</w:t>
            </w:r>
          </w:p>
        </w:tc>
        <w:tc>
          <w:tcPr>
            <w:tcW w:type="dxa" w:w="2016"/>
          </w:tcPr>
          <w:p>
            <w:pPr>
              <w:spacing w:after="0"/>
            </w:pPr>
            <w:r>
              <w:rPr>
                <w:rFonts w:ascii="Times New Roman" w:hAnsi="Times New Roman"/>
                <w:b w:val="0"/>
                <w:i w:val="0"/>
                <w:sz w:val="16"/>
              </w:rPr>
              <w:t>.074–.105</w:t>
            </w:r>
          </w:p>
        </w:tc>
        <w:tc>
          <w:tcPr>
            <w:tcW w:type="dxa" w:w="2016"/>
          </w:tcPr>
          <w:p>
            <w:pPr>
              <w:spacing w:after="0"/>
            </w:pPr>
            <w:r>
              <w:rPr>
                <w:rFonts w:ascii="Times New Roman" w:hAnsi="Times New Roman"/>
                <w:b w:val="0"/>
                <w:i w:val="0"/>
                <w:sz w:val="16"/>
              </w:rPr>
              <w:t>.91–.93</w:t>
            </w:r>
          </w:p>
        </w:tc>
        <w:tc>
          <w:tcPr>
            <w:tcW w:type="dxa" w:w="2016"/>
          </w:tcPr>
          <w:p>
            <w:pPr>
              <w:spacing w:after="0"/>
            </w:pPr>
            <w:r>
              <w:rPr>
                <w:rFonts w:ascii="Times New Roman" w:hAnsi="Times New Roman"/>
                <w:b w:val="0"/>
                <w:i w:val="0"/>
                <w:sz w:val="16"/>
              </w:rPr>
              <w:t>–</w:t>
            </w:r>
          </w:p>
        </w:tc>
      </w:tr>
      <w:tr>
        <w:tc>
          <w:tcPr>
            <w:tcW w:type="dxa" w:w="2016"/>
          </w:tcPr>
          <w:p>
            <w:pPr>
              <w:spacing w:after="0"/>
            </w:pPr>
            <w:r>
              <w:rPr>
                <w:rFonts w:ascii="Times New Roman" w:hAnsi="Times New Roman"/>
                <w:b w:val="0"/>
                <w:i w:val="0"/>
                <w:sz w:val="16"/>
              </w:rPr>
              <w:t>Jülich</w:t>
            </w:r>
          </w:p>
        </w:tc>
        <w:tc>
          <w:tcPr>
            <w:tcW w:type="dxa" w:w="2016"/>
          </w:tcPr>
          <w:p>
            <w:pPr>
              <w:spacing w:after="0"/>
            </w:pPr>
            <w:r>
              <w:rPr>
                <w:rFonts w:ascii="Times New Roman" w:hAnsi="Times New Roman"/>
                <w:b w:val="0"/>
                <w:i w:val="0"/>
                <w:sz w:val="16"/>
              </w:rPr>
              <w:t>Chronos-2 per zone</w:t>
            </w:r>
          </w:p>
        </w:tc>
        <w:tc>
          <w:tcPr>
            <w:tcW w:type="dxa" w:w="2016"/>
          </w:tcPr>
          <w:p>
            <w:pPr>
              <w:spacing w:after="0"/>
            </w:pPr>
            <w:r>
              <w:rPr>
                <w:rFonts w:ascii="Times New Roman" w:hAnsi="Times New Roman"/>
                <w:b w:val="0"/>
                <w:i w:val="0"/>
                <w:sz w:val="16"/>
              </w:rPr>
              <w:t>.38–.73</w:t>
            </w:r>
          </w:p>
        </w:tc>
        <w:tc>
          <w:tcPr>
            <w:tcW w:type="dxa" w:w="2016"/>
          </w:tcPr>
          <w:p>
            <w:pPr>
              <w:spacing w:after="0"/>
            </w:pPr>
            <w:r>
              <w:rPr>
                <w:rFonts w:ascii="Times New Roman" w:hAnsi="Times New Roman"/>
                <w:b w:val="0"/>
                <w:i w:val="0"/>
                <w:sz w:val="16"/>
              </w:rPr>
              <w:t>.88–.93</w:t>
            </w:r>
          </w:p>
        </w:tc>
        <w:tc>
          <w:tcPr>
            <w:tcW w:type="dxa" w:w="2016"/>
          </w:tcPr>
          <w:p>
            <w:pPr>
              <w:spacing w:after="0"/>
            </w:pPr>
            <w:r>
              <w:rPr>
                <w:rFonts w:ascii="Times New Roman" w:hAnsi="Times New Roman"/>
                <w:b w:val="0"/>
                <w:i w:val="0"/>
                <w:sz w:val="16"/>
              </w:rPr>
              <w:t>.76–.88</w:t>
            </w:r>
          </w:p>
        </w:tc>
      </w:tr>
      <w:tr>
        <w:tc>
          <w:tcPr>
            <w:tcW w:type="dxa" w:w="2016"/>
          </w:tcPr>
          <w:p>
            <w:pPr>
              <w:spacing w:after="0"/>
            </w:pPr>
          </w:p>
        </w:tc>
        <w:tc>
          <w:tcPr>
            <w:tcW w:type="dxa" w:w="2016"/>
          </w:tcPr>
          <w:p>
            <w:pPr>
              <w:spacing w:after="0"/>
            </w:pPr>
            <w:r>
              <w:rPr>
                <w:rFonts w:ascii="Times New Roman" w:hAnsi="Times New Roman"/>
                <w:b w:val="0"/>
                <w:i w:val="0"/>
                <w:sz w:val="16"/>
              </w:rPr>
              <w:t>Persistence</w:t>
            </w:r>
          </w:p>
        </w:tc>
        <w:tc>
          <w:tcPr>
            <w:tcW w:type="dxa" w:w="2016"/>
          </w:tcPr>
          <w:p>
            <w:pPr>
              <w:spacing w:after="0"/>
            </w:pPr>
            <w:r>
              <w:rPr>
                <w:rFonts w:ascii="Times New Roman" w:hAnsi="Times New Roman"/>
                <w:b w:val="0"/>
                <w:i w:val="0"/>
                <w:sz w:val="16"/>
              </w:rPr>
              <w:t>.39–.71</w:t>
            </w:r>
          </w:p>
        </w:tc>
        <w:tc>
          <w:tcPr>
            <w:tcW w:type="dxa" w:w="2016"/>
          </w:tcPr>
          <w:p>
            <w:pPr>
              <w:spacing w:after="0"/>
            </w:pPr>
            <w:r>
              <w:rPr>
                <w:rFonts w:ascii="Times New Roman" w:hAnsi="Times New Roman"/>
                <w:b w:val="0"/>
                <w:i w:val="0"/>
                <w:sz w:val="16"/>
              </w:rPr>
              <w:t>.66–.85</w:t>
            </w:r>
          </w:p>
        </w:tc>
        <w:tc>
          <w:tcPr>
            <w:tcW w:type="dxa" w:w="2016"/>
          </w:tcPr>
          <w:p>
            <w:pPr>
              <w:spacing w:after="0"/>
            </w:pPr>
            <w:r>
              <w:rPr>
                <w:rFonts w:ascii="Times New Roman" w:hAnsi="Times New Roman"/>
                <w:b w:val="0"/>
                <w:i w:val="0"/>
                <w:sz w:val="16"/>
              </w:rPr>
              <w:t>.56–.78</w:t>
            </w:r>
          </w:p>
        </w:tc>
      </w:tr>
      <w:tr>
        <w:tc>
          <w:tcPr>
            <w:tcW w:type="dxa" w:w="2016"/>
          </w:tcPr>
          <w:p>
            <w:pPr>
              <w:spacing w:after="0"/>
            </w:pPr>
            <w:r>
              <w:rPr>
                <w:rFonts w:ascii="Times New Roman" w:hAnsi="Times New Roman"/>
                <w:b w:val="0"/>
                <w:i w:val="0"/>
                <w:sz w:val="16"/>
              </w:rPr>
              <w:t>Simulated</w:t>
            </w:r>
          </w:p>
        </w:tc>
        <w:tc>
          <w:tcPr>
            <w:tcW w:type="dxa" w:w="2016"/>
          </w:tcPr>
          <w:p>
            <w:pPr>
              <w:spacing w:after="0"/>
            </w:pPr>
            <w:r>
              <w:rPr>
                <w:rFonts w:ascii="Times New Roman" w:hAnsi="Times New Roman"/>
                <w:b w:val="0"/>
                <w:i w:val="0"/>
                <w:sz w:val="16"/>
              </w:rPr>
              <w:t>Chronos-2 joint</w:t>
            </w:r>
          </w:p>
        </w:tc>
        <w:tc>
          <w:tcPr>
            <w:tcW w:type="dxa" w:w="2016"/>
          </w:tcPr>
          <w:p>
            <w:pPr>
              <w:spacing w:after="0"/>
            </w:pPr>
            <w:r>
              <w:rPr>
                <w:rFonts w:ascii="Times New Roman" w:hAnsi="Times New Roman"/>
                <w:b w:val="0"/>
                <w:i w:val="0"/>
                <w:sz w:val="16"/>
              </w:rPr>
              <w:t>.16–.76</w:t>
            </w:r>
          </w:p>
        </w:tc>
        <w:tc>
          <w:tcPr>
            <w:tcW w:type="dxa" w:w="2016"/>
          </w:tcPr>
          <w:p>
            <w:pPr>
              <w:spacing w:after="0"/>
            </w:pPr>
            <w:r>
              <w:rPr>
                <w:rFonts w:ascii="Times New Roman" w:hAnsi="Times New Roman"/>
                <w:b w:val="0"/>
                <w:i w:val="0"/>
                <w:sz w:val="16"/>
              </w:rPr>
              <w:t>.91–.96</w:t>
            </w:r>
          </w:p>
        </w:tc>
        <w:tc>
          <w:tcPr>
            <w:tcW w:type="dxa" w:w="2016"/>
          </w:tcPr>
          <w:p>
            <w:pPr>
              <w:spacing w:after="0"/>
            </w:pPr>
            <w:r>
              <w:rPr>
                <w:rFonts w:ascii="Times New Roman" w:hAnsi="Times New Roman"/>
                <w:b w:val="0"/>
                <w:i w:val="0"/>
                <w:sz w:val="16"/>
              </w:rPr>
              <w:t>.77–.84</w:t>
            </w:r>
          </w:p>
        </w:tc>
      </w:tr>
      <w:tr>
        <w:tc>
          <w:tcPr>
            <w:tcW w:type="dxa" w:w="2016"/>
          </w:tcPr>
          <w:p>
            <w:pPr>
              <w:spacing w:after="0"/>
            </w:pPr>
          </w:p>
        </w:tc>
        <w:tc>
          <w:tcPr>
            <w:tcW w:type="dxa" w:w="2016"/>
          </w:tcPr>
          <w:p>
            <w:pPr>
              <w:spacing w:after="0"/>
            </w:pPr>
            <w:r>
              <w:rPr>
                <w:rFonts w:ascii="Times New Roman" w:hAnsi="Times New Roman"/>
                <w:b w:val="0"/>
                <w:i w:val="0"/>
                <w:sz w:val="16"/>
              </w:rPr>
              <w:t>Persistence</w:t>
            </w:r>
          </w:p>
        </w:tc>
        <w:tc>
          <w:tcPr>
            <w:tcW w:type="dxa" w:w="2016"/>
          </w:tcPr>
          <w:p>
            <w:pPr>
              <w:spacing w:after="0"/>
            </w:pPr>
            <w:r>
              <w:rPr>
                <w:rFonts w:ascii="Times New Roman" w:hAnsi="Times New Roman"/>
                <w:b w:val="0"/>
                <w:i w:val="0"/>
                <w:sz w:val="16"/>
              </w:rPr>
              <w:t>.17–.75</w:t>
            </w:r>
          </w:p>
        </w:tc>
        <w:tc>
          <w:tcPr>
            <w:tcW w:type="dxa" w:w="2016"/>
          </w:tcPr>
          <w:p>
            <w:pPr>
              <w:spacing w:after="0"/>
            </w:pPr>
            <w:r>
              <w:rPr>
                <w:rFonts w:ascii="Times New Roman" w:hAnsi="Times New Roman"/>
                <w:b w:val="0"/>
                <w:i w:val="0"/>
                <w:sz w:val="16"/>
              </w:rPr>
              <w:t>.87–.93</w:t>
            </w:r>
          </w:p>
        </w:tc>
        <w:tc>
          <w:tcPr>
            <w:tcW w:type="dxa" w:w="2016"/>
          </w:tcPr>
          <w:p>
            <w:pPr>
              <w:spacing w:after="0"/>
            </w:pPr>
            <w:r>
              <w:rPr>
                <w:rFonts w:ascii="Times New Roman" w:hAnsi="Times New Roman"/>
                <w:b w:val="0"/>
                <w:i w:val="0"/>
                <w:sz w:val="16"/>
              </w:rPr>
              <w:t>.62–.71</w:t>
            </w:r>
          </w:p>
        </w:tc>
      </w:tr>
    </w:tbl>
    <w:p>
      <w:pPr>
        <w:spacing w:after="160"/>
        <w:jc w:val="left"/>
      </w:pPr>
      <w:r>
        <w:rPr>
          <w:rFonts w:ascii="Times New Roman" w:hAnsi="Times New Roman"/>
          <w:b w:val="0"/>
          <w:i/>
          <w:sz w:val="16"/>
        </w:rPr>
        <w:t xml:space="preserve"> Horizons 10–60 s (simulated data 10–120 s). Target coverage 0.90.</w:t>
      </w:r>
    </w:p>
    <w:p>
      <w:pPr>
        <w:spacing w:after="60"/>
        <w:jc w:val="left"/>
      </w:pPr>
      <w:r>
        <w:rPr>
          <w:rFonts w:ascii="Times New Roman" w:hAnsi="Times New Roman"/>
          <w:b w:val="0"/>
          <w:i/>
          <w:sz w:val="20"/>
        </w:rPr>
        <w:t>F. Early-Warning Performance</w:t>
      </w:r>
    </w:p>
    <w:p>
      <w:pPr>
        <w:spacing w:after="80"/>
        <w:ind w:firstLine="245"/>
        <w:jc w:val="both"/>
      </w:pPr>
      <w:r>
        <w:rPr>
          <w:rFonts w:ascii="Times New Roman" w:hAnsi="Times New Roman"/>
          <w:b w:val="0"/>
          <w:i w:val="0"/>
          <w:sz w:val="20"/>
        </w:rPr>
        <w:t>Table VI reports the alert results. Alerts on current density alone give no warning before a zone reaches 4 persons/m², which shows the value of forecasting. Forecast-driven alerts warn in time for 34 % of the 47 simulated events with Chronos-2 (median 7.5 s ahead, 1.6 false alarms per zone-hour) and for 32 % with the physics model (median 25 s ahead, 2.1 false alarms per zone-hour). On the Jülich data, the Chronos-2 per-zone forecaster warns 49 s before the zone reaches 4 persons/m², as shown in Fig. 3. For a 5 persons/m² event, alerts warn for 38 % of 34 simulated events. The real CCTV data produce no events and no false alarms in 8.6 zone-hours. Zones fill from safe to 4 persons/m² in about 10–20 s, which sets the scale of the lead times.</w:t>
      </w:r>
    </w:p>
    <w:p>
      <w:pPr>
        <w:spacing w:after="40"/>
        <w:jc w:val="center"/>
      </w:pPr>
      <w:r>
        <w:rPr>
          <w:rFonts w:ascii="Times New Roman" w:hAnsi="Times New Roman"/>
          <w:b w:val="0"/>
          <w:i w:val="0"/>
          <w:sz w:val="18"/>
        </w:rPr>
        <w:t>TABLE VI: Events Warned in Time (Median Lead; False Alarms per Zone-Hour)</w:t>
      </w:r>
    </w:p>
    <w:tbl>
      <w:tblPr>
        <w:tblW w:type="auto" w:w="0"/>
        <w:jc w:val="center"/>
        <w:tblLook w:firstColumn="1" w:firstRow="1" w:lastColumn="0" w:lastRow="0" w:noHBand="0" w:noVBand="1" w:val="04A0"/>
        <w:tblBorders>
          <w:top w:val="single" w:sz="4" w:color="000000"/>
          <w:bottom w:val="single" w:sz="4" w:color="000000"/>
          <w:insideH w:val="single" w:sz="4" w:color="000000"/>
        </w:tblBorders>
      </w:tblPr>
      <w:tblGrid>
        <w:gridCol w:w="2520"/>
        <w:gridCol w:w="2520"/>
        <w:gridCol w:w="2520"/>
        <w:gridCol w:w="2520"/>
      </w:tblGrid>
      <w:tr>
        <w:tc>
          <w:tcPr>
            <w:tcW w:type="dxa" w:w="2520"/>
          </w:tcPr>
          <w:p>
            <w:pPr>
              <w:spacing w:after="0"/>
            </w:pPr>
            <w:r>
              <w:rPr>
                <w:rFonts w:ascii="Times New Roman" w:hAnsi="Times New Roman"/>
                <w:b/>
                <w:i w:val="0"/>
                <w:sz w:val="16"/>
              </w:rPr>
              <w:t>Alert driver</w:t>
            </w:r>
          </w:p>
        </w:tc>
        <w:tc>
          <w:tcPr>
            <w:tcW w:type="dxa" w:w="2520"/>
          </w:tcPr>
          <w:p>
            <w:pPr>
              <w:spacing w:after="0"/>
            </w:pPr>
            <w:r>
              <w:rPr>
                <w:rFonts w:ascii="Times New Roman" w:hAnsi="Times New Roman"/>
                <w:b/>
                <w:i w:val="0"/>
                <w:sz w:val="16"/>
              </w:rPr>
              <w:t>Sim., 4 persons/m² 47 events</w:t>
            </w:r>
          </w:p>
        </w:tc>
        <w:tc>
          <w:tcPr>
            <w:tcW w:type="dxa" w:w="2520"/>
          </w:tcPr>
          <w:p>
            <w:pPr>
              <w:spacing w:after="0"/>
            </w:pPr>
            <w:r>
              <w:rPr>
                <w:rFonts w:ascii="Times New Roman" w:hAnsi="Times New Roman"/>
                <w:b/>
                <w:i w:val="0"/>
                <w:sz w:val="16"/>
              </w:rPr>
              <w:t>Jülich, 4 persons/m² 9 events</w:t>
            </w:r>
          </w:p>
        </w:tc>
        <w:tc>
          <w:tcPr>
            <w:tcW w:type="dxa" w:w="2520"/>
          </w:tcPr>
          <w:p>
            <w:pPr>
              <w:spacing w:after="0"/>
            </w:pPr>
            <w:r>
              <w:rPr>
                <w:rFonts w:ascii="Times New Roman" w:hAnsi="Times New Roman"/>
                <w:b/>
                <w:i w:val="0"/>
                <w:sz w:val="16"/>
              </w:rPr>
              <w:t>Sim., 5 persons/m² 34 events</w:t>
            </w:r>
          </w:p>
        </w:tc>
      </w:tr>
      <w:tr>
        <w:tc>
          <w:tcPr>
            <w:tcW w:type="dxa" w:w="2520"/>
          </w:tcPr>
          <w:p>
            <w:pPr>
              <w:spacing w:after="0"/>
            </w:pPr>
            <w:r>
              <w:rPr>
                <w:rFonts w:ascii="Times New Roman" w:hAnsi="Times New Roman"/>
                <w:b w:val="0"/>
                <w:i w:val="0"/>
                <w:sz w:val="16"/>
              </w:rPr>
              <w:t>Current density</w:t>
            </w:r>
          </w:p>
        </w:tc>
        <w:tc>
          <w:tcPr>
            <w:tcW w:type="dxa" w:w="2520"/>
          </w:tcPr>
          <w:p>
            <w:pPr>
              <w:spacing w:after="0"/>
            </w:pPr>
            <w:r>
              <w:rPr>
                <w:rFonts w:ascii="Times New Roman" w:hAnsi="Times New Roman"/>
                <w:b w:val="0"/>
                <w:i w:val="0"/>
                <w:sz w:val="16"/>
              </w:rPr>
              <w:t>0 %</w:t>
            </w:r>
          </w:p>
        </w:tc>
        <w:tc>
          <w:tcPr>
            <w:tcW w:type="dxa" w:w="2520"/>
          </w:tcPr>
          <w:p>
            <w:pPr>
              <w:spacing w:after="0"/>
            </w:pPr>
            <w:r>
              <w:rPr>
                <w:rFonts w:ascii="Times New Roman" w:hAnsi="Times New Roman"/>
                <w:b w:val="0"/>
                <w:i w:val="0"/>
                <w:sz w:val="16"/>
              </w:rPr>
              <w:t>0/9</w:t>
            </w:r>
          </w:p>
        </w:tc>
        <w:tc>
          <w:tcPr>
            <w:tcW w:type="dxa" w:w="2520"/>
          </w:tcPr>
          <w:p>
            <w:pPr>
              <w:spacing w:after="0"/>
            </w:pPr>
            <w:r>
              <w:rPr>
                <w:rFonts w:ascii="Times New Roman" w:hAnsi="Times New Roman"/>
                <w:b w:val="0"/>
                <w:i w:val="0"/>
                <w:sz w:val="16"/>
              </w:rPr>
              <w:t>38 % (5 s; 0.6)</w:t>
            </w:r>
          </w:p>
        </w:tc>
      </w:tr>
      <w:tr>
        <w:tc>
          <w:tcPr>
            <w:tcW w:type="dxa" w:w="2520"/>
          </w:tcPr>
          <w:p>
            <w:pPr>
              <w:spacing w:after="0"/>
            </w:pPr>
            <w:r>
              <w:rPr>
                <w:rFonts w:ascii="Times New Roman" w:hAnsi="Times New Roman"/>
                <w:b w:val="0"/>
                <w:i w:val="0"/>
                <w:sz w:val="16"/>
              </w:rPr>
              <w:t>Persistence</w:t>
            </w:r>
          </w:p>
        </w:tc>
        <w:tc>
          <w:tcPr>
            <w:tcW w:type="dxa" w:w="2520"/>
          </w:tcPr>
          <w:p>
            <w:pPr>
              <w:spacing w:after="0"/>
            </w:pPr>
            <w:r>
              <w:rPr>
                <w:rFonts w:ascii="Times New Roman" w:hAnsi="Times New Roman"/>
                <w:b w:val="0"/>
                <w:i w:val="0"/>
                <w:sz w:val="16"/>
              </w:rPr>
              <w:t>0 %</w:t>
            </w:r>
          </w:p>
        </w:tc>
        <w:tc>
          <w:tcPr>
            <w:tcW w:type="dxa" w:w="2520"/>
          </w:tcPr>
          <w:p>
            <w:pPr>
              <w:spacing w:after="0"/>
            </w:pPr>
            <w:r>
              <w:rPr>
                <w:rFonts w:ascii="Times New Roman" w:hAnsi="Times New Roman"/>
                <w:b w:val="0"/>
                <w:i w:val="0"/>
                <w:sz w:val="16"/>
              </w:rPr>
              <w:t>1/9 (4 s; 0)</w:t>
            </w:r>
          </w:p>
        </w:tc>
        <w:tc>
          <w:tcPr>
            <w:tcW w:type="dxa" w:w="2520"/>
          </w:tcPr>
          <w:p>
            <w:pPr>
              <w:spacing w:after="0"/>
            </w:pPr>
            <w:r>
              <w:rPr>
                <w:rFonts w:ascii="Times New Roman" w:hAnsi="Times New Roman"/>
                <w:b w:val="0"/>
                <w:i w:val="0"/>
                <w:sz w:val="16"/>
              </w:rPr>
              <w:t>38 % (10 s; 0.7)</w:t>
            </w:r>
          </w:p>
        </w:tc>
      </w:tr>
      <w:tr>
        <w:tc>
          <w:tcPr>
            <w:tcW w:type="dxa" w:w="2520"/>
          </w:tcPr>
          <w:p>
            <w:pPr>
              <w:spacing w:after="0"/>
            </w:pPr>
            <w:r>
              <w:rPr>
                <w:rFonts w:ascii="Times New Roman" w:hAnsi="Times New Roman"/>
                <w:b w:val="0"/>
                <w:i w:val="0"/>
                <w:sz w:val="16"/>
              </w:rPr>
              <w:t>Physics</w:t>
            </w:r>
          </w:p>
        </w:tc>
        <w:tc>
          <w:tcPr>
            <w:tcW w:type="dxa" w:w="2520"/>
          </w:tcPr>
          <w:p>
            <w:pPr>
              <w:spacing w:after="0"/>
            </w:pPr>
            <w:r>
              <w:rPr>
                <w:rFonts w:ascii="Times New Roman" w:hAnsi="Times New Roman"/>
                <w:b w:val="0"/>
                <w:i w:val="0"/>
                <w:sz w:val="16"/>
              </w:rPr>
              <w:t>32 % (25 s; 2.1)</w:t>
            </w:r>
          </w:p>
        </w:tc>
        <w:tc>
          <w:tcPr>
            <w:tcW w:type="dxa" w:w="2520"/>
          </w:tcPr>
          <w:p>
            <w:pPr>
              <w:spacing w:after="0"/>
            </w:pPr>
            <w:r>
              <w:rPr>
                <w:rFonts w:ascii="Times New Roman" w:hAnsi="Times New Roman"/>
                <w:b w:val="0"/>
                <w:i w:val="0"/>
                <w:sz w:val="16"/>
              </w:rPr>
              <w:t>1/9 (59 s; 11.9)</w:t>
            </w:r>
          </w:p>
        </w:tc>
        <w:tc>
          <w:tcPr>
            <w:tcW w:type="dxa" w:w="2520"/>
          </w:tcPr>
          <w:p>
            <w:pPr>
              <w:spacing w:after="0"/>
            </w:pPr>
            <w:r>
              <w:rPr>
                <w:rFonts w:ascii="Times New Roman" w:hAnsi="Times New Roman"/>
                <w:b w:val="0"/>
                <w:i w:val="0"/>
                <w:sz w:val="16"/>
              </w:rPr>
              <w:t>23.5 % (47.5 s; 3.2)</w:t>
            </w:r>
          </w:p>
        </w:tc>
      </w:tr>
      <w:tr>
        <w:tc>
          <w:tcPr>
            <w:tcW w:type="dxa" w:w="2520"/>
          </w:tcPr>
          <w:p>
            <w:pPr>
              <w:spacing w:after="0"/>
            </w:pPr>
            <w:r>
              <w:rPr>
                <w:rFonts w:ascii="Times New Roman" w:hAnsi="Times New Roman"/>
                <w:b w:val="0"/>
                <w:i w:val="0"/>
                <w:sz w:val="16"/>
              </w:rPr>
              <w:t>Chronos-2 per zone</w:t>
            </w:r>
          </w:p>
        </w:tc>
        <w:tc>
          <w:tcPr>
            <w:tcW w:type="dxa" w:w="2520"/>
          </w:tcPr>
          <w:p>
            <w:pPr>
              <w:spacing w:after="0"/>
            </w:pPr>
            <w:r>
              <w:rPr>
                <w:rFonts w:ascii="Times New Roman" w:hAnsi="Times New Roman"/>
                <w:b w:val="0"/>
                <w:i w:val="0"/>
                <w:sz w:val="16"/>
              </w:rPr>
              <w:t>34 % (7.5 s; 1.6)</w:t>
            </w:r>
          </w:p>
        </w:tc>
        <w:tc>
          <w:tcPr>
            <w:tcW w:type="dxa" w:w="2520"/>
          </w:tcPr>
          <w:p>
            <w:pPr>
              <w:spacing w:after="0"/>
            </w:pPr>
            <w:r>
              <w:rPr>
                <w:rFonts w:ascii="Times New Roman" w:hAnsi="Times New Roman"/>
                <w:b w:val="0"/>
                <w:i w:val="0"/>
                <w:sz w:val="16"/>
              </w:rPr>
              <w:t>1/9 (49 s; 1.8)</w:t>
            </w:r>
          </w:p>
        </w:tc>
        <w:tc>
          <w:tcPr>
            <w:tcW w:type="dxa" w:w="2520"/>
          </w:tcPr>
          <w:p>
            <w:pPr>
              <w:spacing w:after="0"/>
            </w:pPr>
            <w:r>
              <w:rPr>
                <w:rFonts w:ascii="Times New Roman" w:hAnsi="Times New Roman"/>
                <w:b w:val="0"/>
                <w:i w:val="0"/>
                <w:sz w:val="16"/>
              </w:rPr>
              <w:t>26.5 % (35 s; 2.8)</w:t>
            </w:r>
          </w:p>
        </w:tc>
      </w:tr>
      <w:tr>
        <w:tc>
          <w:tcPr>
            <w:tcW w:type="dxa" w:w="2520"/>
          </w:tcPr>
          <w:p>
            <w:pPr>
              <w:spacing w:after="0"/>
            </w:pPr>
            <w:r>
              <w:rPr>
                <w:rFonts w:ascii="Times New Roman" w:hAnsi="Times New Roman"/>
                <w:b w:val="0"/>
                <w:i w:val="0"/>
                <w:sz w:val="16"/>
              </w:rPr>
              <w:t>Chronos-2 joint</w:t>
            </w:r>
          </w:p>
        </w:tc>
        <w:tc>
          <w:tcPr>
            <w:tcW w:type="dxa" w:w="2520"/>
          </w:tcPr>
          <w:p>
            <w:pPr>
              <w:spacing w:after="0"/>
            </w:pPr>
            <w:r>
              <w:rPr>
                <w:rFonts w:ascii="Times New Roman" w:hAnsi="Times New Roman"/>
                <w:b w:val="0"/>
                <w:i w:val="0"/>
                <w:sz w:val="16"/>
              </w:rPr>
              <w:t>30 % (7.5 s; 1.5)</w:t>
            </w:r>
          </w:p>
        </w:tc>
        <w:tc>
          <w:tcPr>
            <w:tcW w:type="dxa" w:w="2520"/>
          </w:tcPr>
          <w:p>
            <w:pPr>
              <w:spacing w:after="0"/>
            </w:pPr>
            <w:r>
              <w:rPr>
                <w:rFonts w:ascii="Times New Roman" w:hAnsi="Times New Roman"/>
                <w:b w:val="0"/>
                <w:i w:val="0"/>
                <w:sz w:val="16"/>
              </w:rPr>
              <w:t>1/9 (18 s; 0.5)</w:t>
            </w:r>
          </w:p>
        </w:tc>
        <w:tc>
          <w:tcPr>
            <w:tcW w:type="dxa" w:w="2520"/>
          </w:tcPr>
          <w:p>
            <w:pPr>
              <w:spacing w:after="0"/>
            </w:pPr>
            <w:r>
              <w:rPr>
                <w:rFonts w:ascii="Times New Roman" w:hAnsi="Times New Roman"/>
                <w:b w:val="0"/>
                <w:i w:val="0"/>
                <w:sz w:val="16"/>
              </w:rPr>
              <w:t>26.5 % (25 s; 2.7)</w:t>
            </w:r>
          </w:p>
        </w:tc>
      </w:tr>
    </w:tbl>
    <w:p>
      <w:pPr>
        <w:spacing w:after="80"/>
        <w:jc w:val="both"/>
      </w:pPr>
      <w:r>
        <w:rPr>
          <w:rFonts w:ascii="Times New Roman" w:hAnsi="Times New Roman"/>
          <w:b w:val="0"/>
          <w:i w:val="0"/>
          <w:sz w:val="8"/>
        </w:rPr>
      </w:r>
    </w:p>
    <w:p>
      <w:pPr>
        <w:jc w:val="center"/>
      </w:pPr>
      <w:r>
        <w:drawing>
          <wp:inline xmlns:a="http://schemas.openxmlformats.org/drawingml/2006/main" xmlns:pic="http://schemas.openxmlformats.org/drawingml/2006/picture">
            <wp:extent cx="3108960" cy="2933517"/>
            <wp:docPr id="3" name="Picture 3"/>
            <wp:cNvGraphicFramePr>
              <a:graphicFrameLocks noChangeAspect="1"/>
            </wp:cNvGraphicFramePr>
            <a:graphic>
              <a:graphicData uri="http://schemas.openxmlformats.org/drawingml/2006/picture">
                <pic:pic>
                  <pic:nvPicPr>
                    <pic:cNvPr id="0" name="paper_alert_timeline.png"/>
                    <pic:cNvPicPr/>
                  </pic:nvPicPr>
                  <pic:blipFill>
                    <a:blip r:embed="rId11"/>
                    <a:stretch>
                      <a:fillRect/>
                    </a:stretch>
                  </pic:blipFill>
                  <pic:spPr>
                    <a:xfrm>
                      <a:off x="0" y="0"/>
                      <a:ext cx="3108960" cy="2933517"/>
                    </a:xfrm>
                    <a:prstGeom prst="rect"/>
                  </pic:spPr>
                </pic:pic>
              </a:graphicData>
            </a:graphic>
          </wp:inline>
        </w:drawing>
      </w:r>
    </w:p>
    <w:p>
      <w:pPr>
        <w:spacing w:after="200"/>
        <w:jc w:val="center"/>
      </w:pPr>
      <w:r>
        <w:rPr>
          <w:rFonts w:ascii="Times New Roman" w:hAnsi="Times New Roman"/>
          <w:b w:val="0"/>
          <w:i w:val="0"/>
          <w:sz w:val="18"/>
        </w:rPr>
        <w:t xml:space="preserve">Fig. 3. </w:t>
      </w:r>
      <w:r>
        <w:rPr>
          <w:rFonts w:ascii="Times New Roman" w:hAnsi="Times New Roman"/>
          <w:b w:val="0"/>
          <w:i w:val="0"/>
          <w:sz w:val="18"/>
        </w:rPr>
        <w:t>Alert timeline of a Jülich corridor run (Chronos-2 per zone).</w:t>
      </w:r>
    </w:p>
    <w:p>
      <w:pPr>
        <w:spacing w:after="60"/>
        <w:jc w:val="left"/>
      </w:pPr>
      <w:r>
        <w:rPr>
          <w:rFonts w:ascii="Times New Roman" w:hAnsi="Times New Roman"/>
          <w:b w:val="0"/>
          <w:i/>
          <w:sz w:val="20"/>
        </w:rPr>
        <w:t>G. Runtime Performance</w:t>
      </w:r>
    </w:p>
    <w:p>
      <w:pPr>
        <w:spacing w:after="80"/>
        <w:ind w:firstLine="245"/>
        <w:jc w:val="both"/>
      </w:pPr>
      <w:r>
        <w:rPr>
          <w:rFonts w:ascii="Times New Roman" w:hAnsi="Times New Roman"/>
          <w:b w:val="0"/>
          <w:i w:val="0"/>
          <w:sz w:val="20"/>
        </w:rPr>
        <w:t>On one shared A100 with a classroom recording played at real speed, the live pipeline has a median latency of 0.49 s (p95 1.6 s) from frame to alert state, with 94 % of 1-s cycles on time and 2.0 GB of GPU memory; median stage times are 159 ms (CLIP-EBC), 103 ms (RAFT) and 54 ms (Chronos-2, every 5 s). Unpaced, 908 s of video take 196 s (4.6× real time). Table VII lists the size, input, output and time of each model; every model comes from the cited source, and the complete pipeline is the proposed system.</w:t>
      </w:r>
    </w:p>
    <w:p>
      <w:pPr>
        <w:spacing w:after="40"/>
        <w:jc w:val="center"/>
      </w:pPr>
      <w:r>
        <w:rPr>
          <w:rFonts w:ascii="Times New Roman" w:hAnsi="Times New Roman"/>
          <w:b w:val="0"/>
          <w:i w:val="0"/>
          <w:sz w:val="18"/>
        </w:rPr>
        <w:t>TABLE VII: Models: Size, Data Passed and Time per Call</w:t>
      </w:r>
    </w:p>
    <w:tbl>
      <w:tblPr>
        <w:tblW w:type="auto" w:w="0"/>
        <w:jc w:val="center"/>
        <w:tblLook w:firstColumn="1" w:firstRow="1" w:lastColumn="0" w:lastRow="0" w:noHBand="0" w:noVBand="1" w:val="04A0"/>
        <w:tblBorders>
          <w:top w:val="single" w:sz="4" w:color="000000"/>
          <w:bottom w:val="single" w:sz="4" w:color="000000"/>
          <w:insideH w:val="single" w:sz="4" w:color="000000"/>
        </w:tblBorders>
      </w:tblPr>
      <w:tblGrid>
        <w:gridCol w:w="2016"/>
        <w:gridCol w:w="2016"/>
        <w:gridCol w:w="2016"/>
        <w:gridCol w:w="2016"/>
        <w:gridCol w:w="2016"/>
      </w:tblGrid>
      <w:tr>
        <w:tc>
          <w:tcPr>
            <w:tcW w:type="dxa" w:w="2016"/>
          </w:tcPr>
          <w:p>
            <w:pPr>
              <w:spacing w:after="0"/>
            </w:pPr>
            <w:r>
              <w:rPr>
                <w:rFonts w:ascii="Times New Roman" w:hAnsi="Times New Roman"/>
                <w:b/>
                <w:i w:val="0"/>
                <w:sz w:val="16"/>
              </w:rPr>
              <w:t>Model</w:t>
            </w:r>
          </w:p>
        </w:tc>
        <w:tc>
          <w:tcPr>
            <w:tcW w:type="dxa" w:w="2016"/>
          </w:tcPr>
          <w:p>
            <w:pPr>
              <w:spacing w:after="0"/>
            </w:pPr>
            <w:r>
              <w:rPr>
                <w:rFonts w:ascii="Times New Roman" w:hAnsi="Times New Roman"/>
                <w:b/>
                <w:i w:val="0"/>
                <w:sz w:val="16"/>
              </w:rPr>
              <w:t>Params</w:t>
            </w:r>
          </w:p>
        </w:tc>
        <w:tc>
          <w:tcPr>
            <w:tcW w:type="dxa" w:w="2016"/>
          </w:tcPr>
          <w:p>
            <w:pPr>
              <w:spacing w:after="0"/>
            </w:pPr>
            <w:r>
              <w:rPr>
                <w:rFonts w:ascii="Times New Roman" w:hAnsi="Times New Roman"/>
                <w:b/>
                <w:i w:val="0"/>
                <w:sz w:val="16"/>
              </w:rPr>
              <w:t>Input</w:t>
            </w:r>
          </w:p>
        </w:tc>
        <w:tc>
          <w:tcPr>
            <w:tcW w:type="dxa" w:w="2016"/>
          </w:tcPr>
          <w:p>
            <w:pPr>
              <w:spacing w:after="0"/>
            </w:pPr>
            <w:r>
              <w:rPr>
                <w:rFonts w:ascii="Times New Roman" w:hAnsi="Times New Roman"/>
                <w:b/>
                <w:i w:val="0"/>
                <w:sz w:val="16"/>
              </w:rPr>
              <w:t>Output</w:t>
            </w:r>
          </w:p>
        </w:tc>
        <w:tc>
          <w:tcPr>
            <w:tcW w:type="dxa" w:w="2016"/>
          </w:tcPr>
          <w:p>
            <w:pPr>
              <w:spacing w:after="0"/>
            </w:pPr>
            <w:r>
              <w:rPr>
                <w:rFonts w:ascii="Times New Roman" w:hAnsi="Times New Roman"/>
                <w:b/>
                <w:i w:val="0"/>
                <w:sz w:val="16"/>
              </w:rPr>
              <w:t>A100 time</w:t>
            </w:r>
          </w:p>
        </w:tc>
      </w:tr>
      <w:tr>
        <w:tc>
          <w:tcPr>
            <w:tcW w:type="dxa" w:w="2016"/>
          </w:tcPr>
          <w:p>
            <w:pPr>
              <w:spacing w:after="0"/>
            </w:pPr>
            <w:r>
              <w:rPr>
                <w:rFonts w:ascii="Times New Roman" w:hAnsi="Times New Roman"/>
                <w:b w:val="0"/>
                <w:i w:val="0"/>
                <w:sz w:val="16"/>
              </w:rPr>
              <w:t>CLIP-EBC ViT-B/16 [5]</w:t>
            </w:r>
          </w:p>
        </w:tc>
        <w:tc>
          <w:tcPr>
            <w:tcW w:type="dxa" w:w="2016"/>
          </w:tcPr>
          <w:p>
            <w:pPr>
              <w:spacing w:after="0"/>
            </w:pPr>
            <w:r>
              <w:rPr>
                <w:rFonts w:ascii="Times New Roman" w:hAnsi="Times New Roman"/>
                <w:b w:val="0"/>
                <w:i w:val="0"/>
                <w:sz w:val="16"/>
              </w:rPr>
              <w:t>≈97 M</w:t>
            </w:r>
          </w:p>
        </w:tc>
        <w:tc>
          <w:tcPr>
            <w:tcW w:type="dxa" w:w="2016"/>
          </w:tcPr>
          <w:p>
            <w:pPr>
              <w:spacing w:after="0"/>
            </w:pPr>
            <w:r>
              <w:rPr>
                <w:rFonts w:ascii="Times New Roman" w:hAnsi="Times New Roman"/>
                <w:b w:val="0"/>
                <w:i w:val="0"/>
                <w:sz w:val="16"/>
              </w:rPr>
              <w:t>45 windows of 224×224</w:t>
            </w:r>
          </w:p>
        </w:tc>
        <w:tc>
          <w:tcPr>
            <w:tcW w:type="dxa" w:w="2016"/>
          </w:tcPr>
          <w:p>
            <w:pPr>
              <w:spacing w:after="0"/>
            </w:pPr>
            <w:r>
              <w:rPr>
                <w:rFonts w:ascii="Times New Roman" w:hAnsi="Times New Roman"/>
                <w:b w:val="0"/>
                <w:i w:val="0"/>
                <w:sz w:val="16"/>
              </w:rPr>
              <w:t>density map, 135×240</w:t>
            </w:r>
          </w:p>
        </w:tc>
        <w:tc>
          <w:tcPr>
            <w:tcW w:type="dxa" w:w="2016"/>
          </w:tcPr>
          <w:p>
            <w:pPr>
              <w:spacing w:after="0"/>
            </w:pPr>
            <w:r>
              <w:rPr>
                <w:rFonts w:ascii="Times New Roman" w:hAnsi="Times New Roman"/>
                <w:b w:val="0"/>
                <w:i w:val="0"/>
                <w:sz w:val="16"/>
              </w:rPr>
              <w:t>159 ms</w:t>
            </w:r>
          </w:p>
        </w:tc>
      </w:tr>
      <w:tr>
        <w:tc>
          <w:tcPr>
            <w:tcW w:type="dxa" w:w="2016"/>
          </w:tcPr>
          <w:p>
            <w:pPr>
              <w:spacing w:after="0"/>
            </w:pPr>
            <w:r>
              <w:rPr>
                <w:rFonts w:ascii="Times New Roman" w:hAnsi="Times New Roman"/>
                <w:b w:val="0"/>
                <w:i w:val="0"/>
                <w:sz w:val="16"/>
              </w:rPr>
              <w:t>RAFT-large [18]</w:t>
            </w:r>
          </w:p>
        </w:tc>
        <w:tc>
          <w:tcPr>
            <w:tcW w:type="dxa" w:w="2016"/>
          </w:tcPr>
          <w:p>
            <w:pPr>
              <w:spacing w:after="0"/>
            </w:pPr>
            <w:r>
              <w:rPr>
                <w:rFonts w:ascii="Times New Roman" w:hAnsi="Times New Roman"/>
                <w:b w:val="0"/>
                <w:i w:val="0"/>
                <w:sz w:val="16"/>
              </w:rPr>
              <w:t>≈5.3 M</w:t>
            </w:r>
          </w:p>
        </w:tc>
        <w:tc>
          <w:tcPr>
            <w:tcW w:type="dxa" w:w="2016"/>
          </w:tcPr>
          <w:p>
            <w:pPr>
              <w:spacing w:after="0"/>
            </w:pPr>
            <w:r>
              <w:rPr>
                <w:rFonts w:ascii="Times New Roman" w:hAnsi="Times New Roman"/>
                <w:b w:val="0"/>
                <w:i w:val="0"/>
                <w:sz w:val="16"/>
              </w:rPr>
              <w:t>2 frames, 544×960</w:t>
            </w:r>
          </w:p>
        </w:tc>
        <w:tc>
          <w:tcPr>
            <w:tcW w:type="dxa" w:w="2016"/>
          </w:tcPr>
          <w:p>
            <w:pPr>
              <w:spacing w:after="0"/>
            </w:pPr>
            <w:r>
              <w:rPr>
                <w:rFonts w:ascii="Times New Roman" w:hAnsi="Times New Roman"/>
                <w:b w:val="0"/>
                <w:i w:val="0"/>
                <w:sz w:val="16"/>
              </w:rPr>
              <w:t>flow, 135×240 cells</w:t>
            </w:r>
          </w:p>
        </w:tc>
        <w:tc>
          <w:tcPr>
            <w:tcW w:type="dxa" w:w="2016"/>
          </w:tcPr>
          <w:p>
            <w:pPr>
              <w:spacing w:after="0"/>
            </w:pPr>
            <w:r>
              <w:rPr>
                <w:rFonts w:ascii="Times New Roman" w:hAnsi="Times New Roman"/>
                <w:b w:val="0"/>
                <w:i w:val="0"/>
                <w:sz w:val="16"/>
              </w:rPr>
              <w:t>103 ms</w:t>
            </w:r>
          </w:p>
        </w:tc>
      </w:tr>
      <w:tr>
        <w:tc>
          <w:tcPr>
            <w:tcW w:type="dxa" w:w="2016"/>
          </w:tcPr>
          <w:p>
            <w:pPr>
              <w:spacing w:after="0"/>
            </w:pPr>
            <w:r>
              <w:rPr>
                <w:rFonts w:ascii="Times New Roman" w:hAnsi="Times New Roman"/>
                <w:b w:val="0"/>
                <w:i w:val="0"/>
                <w:sz w:val="16"/>
              </w:rPr>
              <w:t>Chronos-2 [15]</w:t>
            </w:r>
          </w:p>
        </w:tc>
        <w:tc>
          <w:tcPr>
            <w:tcW w:type="dxa" w:w="2016"/>
          </w:tcPr>
          <w:p>
            <w:pPr>
              <w:spacing w:after="0"/>
            </w:pPr>
            <w:r>
              <w:rPr>
                <w:rFonts w:ascii="Times New Roman" w:hAnsi="Times New Roman"/>
                <w:b w:val="0"/>
                <w:i w:val="0"/>
                <w:sz w:val="16"/>
              </w:rPr>
              <w:t>120 M</w:t>
            </w:r>
          </w:p>
        </w:tc>
        <w:tc>
          <w:tcPr>
            <w:tcW w:type="dxa" w:w="2016"/>
          </w:tcPr>
          <w:p>
            <w:pPr>
              <w:spacing w:after="0"/>
            </w:pPr>
            <w:r>
              <w:rPr>
                <w:rFonts w:ascii="Times New Roman" w:hAnsi="Times New Roman"/>
                <w:b w:val="0"/>
                <w:i w:val="0"/>
                <w:sz w:val="16"/>
              </w:rPr>
              <w:t>last 30 s per zone</w:t>
            </w:r>
          </w:p>
        </w:tc>
        <w:tc>
          <w:tcPr>
            <w:tcW w:type="dxa" w:w="2016"/>
          </w:tcPr>
          <w:p>
            <w:pPr>
              <w:spacing w:after="0"/>
            </w:pPr>
            <w:r>
              <w:rPr>
                <w:rFonts w:ascii="Times New Roman" w:hAnsi="Times New Roman"/>
                <w:b w:val="0"/>
                <w:i w:val="0"/>
                <w:sz w:val="16"/>
              </w:rPr>
              <w:t>3 quantiles × 3 horizons</w:t>
            </w:r>
          </w:p>
        </w:tc>
        <w:tc>
          <w:tcPr>
            <w:tcW w:type="dxa" w:w="2016"/>
          </w:tcPr>
          <w:p>
            <w:pPr>
              <w:spacing w:after="0"/>
            </w:pPr>
            <w:r>
              <w:rPr>
                <w:rFonts w:ascii="Times New Roman" w:hAnsi="Times New Roman"/>
                <w:b w:val="0"/>
                <w:i w:val="0"/>
                <w:sz w:val="16"/>
              </w:rPr>
              <w:t>54 ms per 5 s</w:t>
            </w:r>
          </w:p>
        </w:tc>
      </w:tr>
      <w:tr>
        <w:tc>
          <w:tcPr>
            <w:tcW w:type="dxa" w:w="2016"/>
          </w:tcPr>
          <w:p>
            <w:pPr>
              <w:spacing w:after="0"/>
            </w:pPr>
            <w:r>
              <w:rPr>
                <w:rFonts w:ascii="Times New Roman" w:hAnsi="Times New Roman"/>
                <w:b w:val="0"/>
                <w:i w:val="0"/>
                <w:sz w:val="16"/>
              </w:rPr>
              <w:t>YOLO11l [7] (baseline)</w:t>
            </w:r>
          </w:p>
        </w:tc>
        <w:tc>
          <w:tcPr>
            <w:tcW w:type="dxa" w:w="2016"/>
          </w:tcPr>
          <w:p>
            <w:pPr>
              <w:spacing w:after="0"/>
            </w:pPr>
            <w:r>
              <w:rPr>
                <w:rFonts w:ascii="Times New Roman" w:hAnsi="Times New Roman"/>
                <w:b w:val="0"/>
                <w:i w:val="0"/>
                <w:sz w:val="16"/>
              </w:rPr>
              <w:t>≈25 M</w:t>
            </w:r>
          </w:p>
        </w:tc>
        <w:tc>
          <w:tcPr>
            <w:tcW w:type="dxa" w:w="2016"/>
          </w:tcPr>
          <w:p>
            <w:pPr>
              <w:spacing w:after="0"/>
            </w:pPr>
            <w:r>
              <w:rPr>
                <w:rFonts w:ascii="Times New Roman" w:hAnsi="Times New Roman"/>
                <w:b w:val="0"/>
                <w:i w:val="0"/>
                <w:sz w:val="16"/>
              </w:rPr>
              <w:t>frame at 1280 px</w:t>
            </w:r>
          </w:p>
        </w:tc>
        <w:tc>
          <w:tcPr>
            <w:tcW w:type="dxa" w:w="2016"/>
          </w:tcPr>
          <w:p>
            <w:pPr>
              <w:spacing w:after="0"/>
            </w:pPr>
            <w:r>
              <w:rPr>
                <w:rFonts w:ascii="Times New Roman" w:hAnsi="Times New Roman"/>
                <w:b w:val="0"/>
                <w:i w:val="0"/>
                <w:sz w:val="16"/>
              </w:rPr>
              <w:t>person boxes</w:t>
            </w:r>
          </w:p>
        </w:tc>
        <w:tc>
          <w:tcPr>
            <w:tcW w:type="dxa" w:w="2016"/>
          </w:tcPr>
          <w:p>
            <w:pPr>
              <w:spacing w:after="0"/>
            </w:pPr>
            <w:r>
              <w:rPr>
                <w:rFonts w:ascii="Times New Roman" w:hAnsi="Times New Roman"/>
                <w:b w:val="0"/>
                <w:i w:val="0"/>
                <w:sz w:val="16"/>
              </w:rPr>
              <w:t>15.5 ms</w:t>
            </w:r>
          </w:p>
        </w:tc>
      </w:tr>
      <w:tr>
        <w:tc>
          <w:tcPr>
            <w:tcW w:type="dxa" w:w="2016"/>
          </w:tcPr>
          <w:p>
            <w:pPr>
              <w:spacing w:after="0"/>
            </w:pPr>
            <w:r>
              <w:rPr>
                <w:rFonts w:ascii="Times New Roman" w:hAnsi="Times New Roman"/>
                <w:b w:val="0"/>
                <w:i w:val="0"/>
                <w:sz w:val="16"/>
              </w:rPr>
              <w:t>Proposed CrowdSafe pipeline</w:t>
            </w:r>
          </w:p>
        </w:tc>
        <w:tc>
          <w:tcPr>
            <w:tcW w:type="dxa" w:w="2016"/>
          </w:tcPr>
          <w:p>
            <w:pPr>
              <w:spacing w:after="0"/>
            </w:pPr>
            <w:r>
              <w:rPr>
                <w:rFonts w:ascii="Times New Roman" w:hAnsi="Times New Roman"/>
                <w:b w:val="0"/>
                <w:i w:val="0"/>
                <w:sz w:val="16"/>
              </w:rPr>
              <w:t>≈222 M</w:t>
            </w:r>
          </w:p>
        </w:tc>
        <w:tc>
          <w:tcPr>
            <w:tcW w:type="dxa" w:w="2016"/>
          </w:tcPr>
          <w:p>
            <w:pPr>
              <w:spacing w:after="0"/>
            </w:pPr>
            <w:r>
              <w:rPr>
                <w:rFonts w:ascii="Times New Roman" w:hAnsi="Times New Roman"/>
                <w:b w:val="0"/>
                <w:i w:val="0"/>
                <w:sz w:val="16"/>
              </w:rPr>
              <w:t>video frame</w:t>
            </w:r>
          </w:p>
        </w:tc>
        <w:tc>
          <w:tcPr>
            <w:tcW w:type="dxa" w:w="2016"/>
          </w:tcPr>
          <w:p>
            <w:pPr>
              <w:spacing w:after="0"/>
            </w:pPr>
            <w:r>
              <w:rPr>
                <w:rFonts w:ascii="Times New Roman" w:hAnsi="Times New Roman"/>
                <w:b w:val="0"/>
                <w:i w:val="0"/>
                <w:sz w:val="16"/>
              </w:rPr>
              <w:t>zone levels and alerts</w:t>
            </w:r>
          </w:p>
        </w:tc>
        <w:tc>
          <w:tcPr>
            <w:tcW w:type="dxa" w:w="2016"/>
          </w:tcPr>
          <w:p>
            <w:pPr>
              <w:spacing w:after="0"/>
            </w:pPr>
            <w:r>
              <w:rPr>
                <w:rFonts w:ascii="Times New Roman" w:hAnsi="Times New Roman"/>
                <w:b w:val="0"/>
                <w:i w:val="0"/>
                <w:sz w:val="16"/>
              </w:rPr>
              <w:t>0.49 s</w:t>
            </w:r>
          </w:p>
        </w:tc>
      </w:tr>
    </w:tbl>
    <w:p>
      <w:pPr>
        <w:spacing w:after="160"/>
        <w:jc w:val="left"/>
      </w:pPr>
      <w:r>
        <w:rPr>
          <w:rFonts w:ascii="Times New Roman" w:hAnsi="Times New Roman"/>
          <w:b w:val="0"/>
          <w:i/>
          <w:sz w:val="16"/>
        </w:rPr>
        <w:t>≈: estimated from the fp32 model file size; Chronos-2 from the model card. Times: live medians (YOLO11l: single benchmark).</w:t>
      </w:r>
    </w:p>
    <w:p>
      <w:pPr>
        <w:spacing w:after="60"/>
        <w:jc w:val="left"/>
      </w:pPr>
      <w:r>
        <w:rPr>
          <w:rFonts w:ascii="Times New Roman" w:hAnsi="Times New Roman"/>
          <w:b w:val="0"/>
          <w:i/>
          <w:sz w:val="20"/>
        </w:rPr>
        <w:t>H. Comparison with Existing Systems</w:t>
      </w:r>
    </w:p>
    <w:p>
      <w:pPr>
        <w:spacing w:after="80"/>
        <w:ind w:firstLine="245"/>
        <w:jc w:val="both"/>
      </w:pPr>
      <w:r>
        <w:rPr>
          <w:rFonts w:ascii="Times New Roman" w:hAnsi="Times New Roman"/>
          <w:b w:val="0"/>
          <w:i w:val="0"/>
          <w:sz w:val="20"/>
        </w:rPr>
        <w:t>On ShanghaiTech A, zero-shot CLIP-EBC reaches a lower error than CSRNet and MCNN, both trained on that dataset (Table III), so CrowdSafe obtains density maps without any training data. CrowdSafe reports density in persons/m² for every floor zone with an error of 0.08–0.10 persons/m². Image-level counters report only people per image [3], [4]. System-level studies use different data and metrics, so a numerical comparison is not possible [17], [13]. The evaluation covers seated rooms for CCTV, so dense-crowd results rest on nine real Jülich events and on simulated data, and the calibration assumes seated head height.</w:t>
      </w:r>
    </w:p>
    <w:p>
      <w:pPr>
        <w:spacing w:after="80"/>
        <w:jc w:val="center"/>
      </w:pPr>
      <w:r>
        <w:rPr>
          <w:rFonts w:ascii="Times New Roman" w:hAnsi="Times New Roman"/>
          <w:b w:val="0"/>
          <w:i w:val="0"/>
          <w:sz w:val="20"/>
        </w:rPr>
        <w:t>VI. CONCLUSION AND FUTURE WORK</w:t>
      </w:r>
    </w:p>
    <w:p>
      <w:pPr>
        <w:spacing w:after="60"/>
        <w:jc w:val="left"/>
      </w:pPr>
      <w:r>
        <w:rPr>
          <w:rFonts w:ascii="Times New Roman" w:hAnsi="Times New Roman"/>
          <w:b w:val="0"/>
          <w:i/>
          <w:sz w:val="20"/>
        </w:rPr>
        <w:t>A. Conclusion</w:t>
      </w:r>
    </w:p>
    <w:p>
      <w:pPr>
        <w:spacing w:after="80"/>
        <w:ind w:firstLine="245"/>
        <w:jc w:val="both"/>
      </w:pPr>
      <w:r>
        <w:rPr>
          <w:rFonts w:ascii="Times New Roman" w:hAnsi="Times New Roman"/>
          <w:b w:val="0"/>
          <w:i w:val="0"/>
          <w:sz w:val="20"/>
        </w:rPr>
        <w:t>CrowdSafe turns an existing CCTV camera into a crowd-density monitor for every floor zone without training any model. People are counted with an error of 2.0–5.1 per frame, up to nine times lower than a person detector, and zone density is measured within 0.08–0.10 persons/m². The calibrated forecast bound holds for 84–96 % of forecasts and stays up to 20 percentage points closer to target than persistence in dense crowds. Forecast-driven alerts arrive 7.5 s ahead (median) on simulated data and up to 49 s ahead on real Jülich data, where alerts on current density give no warning, and the full pipeline answers in 0.49 s on one GPU.</w:t>
      </w:r>
    </w:p>
    <w:p>
      <w:pPr>
        <w:spacing w:after="60"/>
        <w:jc w:val="left"/>
      </w:pPr>
      <w:r>
        <w:rPr>
          <w:rFonts w:ascii="Times New Roman" w:hAnsi="Times New Roman"/>
          <w:b w:val="0"/>
          <w:i/>
          <w:sz w:val="20"/>
        </w:rPr>
        <w:t>B. Future Work</w:t>
      </w:r>
    </w:p>
    <w:p>
      <w:pPr>
        <w:spacing w:after="80"/>
        <w:ind w:firstLine="245"/>
        <w:jc w:val="both"/>
      </w:pPr>
      <w:r>
        <w:rPr>
          <w:rFonts w:ascii="Times New Roman" w:hAnsi="Times New Roman"/>
          <w:b w:val="0"/>
          <w:i w:val="0"/>
          <w:sz w:val="20"/>
        </w:rPr>
        <w:t>The warning lead time of a single camera is bounded by the area in view. Counts from entrance cameras and the inflow measured across zone boundaries from CCTV, added as forecaster inputs, extend the warning horizon beyond the field of view. Evaluation on real CCTV recordings of dense crowds, with several cameras processed on one GPU, extends the validation beyond seated rooms and measures the multi-camera capacity of the pipeline.</w:t>
      </w:r>
    </w:p>
    <w:p>
      <w:pPr>
        <w:spacing w:after="80"/>
        <w:jc w:val="center"/>
      </w:pPr>
      <w:r>
        <w:rPr>
          <w:rFonts w:ascii="Times New Roman" w:hAnsi="Times New Roman"/>
          <w:b w:val="0"/>
          <w:i w:val="0"/>
          <w:sz w:val="20"/>
        </w:rPr>
        <w:t>REFERENCES</w:t>
      </w:r>
    </w:p>
    <w:p>
      <w:pPr>
        <w:spacing w:after="40"/>
        <w:jc w:val="left"/>
      </w:pPr>
      <w:r>
        <w:rPr>
          <w:rFonts w:ascii="Times New Roman" w:hAnsi="Times New Roman"/>
          <w:b w:val="0"/>
          <w:i w:val="0"/>
          <w:sz w:val="16"/>
        </w:rPr>
        <w:t xml:space="preserve">[1] </w:t>
      </w:r>
      <w:r>
        <w:rPr>
          <w:rFonts w:ascii="Times New Roman" w:hAnsi="Times New Roman"/>
          <w:b w:val="0"/>
          <w:i w:val="0"/>
          <w:sz w:val="16"/>
        </w:rPr>
        <w:t xml:space="preserve">J. J. Fruin, </w:t>
      </w:r>
      <w:r>
        <w:rPr>
          <w:rFonts w:ascii="Times New Roman" w:hAnsi="Times New Roman"/>
          <w:b w:val="0"/>
          <w:i/>
          <w:sz w:val="16"/>
        </w:rPr>
        <w:t>Pedestrian Planning and Design</w:t>
      </w:r>
      <w:r>
        <w:rPr>
          <w:rFonts w:ascii="Times New Roman" w:hAnsi="Times New Roman"/>
          <w:b w:val="0"/>
          <w:i w:val="0"/>
          <w:sz w:val="16"/>
        </w:rPr>
        <w:t>. New York, NY, USA: Metropolitan Association of Urban Designers and Environmental Planners, 1971.</w:t>
      </w:r>
    </w:p>
    <w:p>
      <w:pPr>
        <w:spacing w:after="40"/>
        <w:jc w:val="left"/>
      </w:pPr>
      <w:r>
        <w:rPr>
          <w:rFonts w:ascii="Times New Roman" w:hAnsi="Times New Roman"/>
          <w:b w:val="0"/>
          <w:i w:val="0"/>
          <w:sz w:val="16"/>
        </w:rPr>
        <w:t xml:space="preserve">[2] </w:t>
      </w:r>
      <w:r>
        <w:rPr>
          <w:rFonts w:ascii="Times New Roman" w:hAnsi="Times New Roman"/>
          <w:b w:val="0"/>
          <w:i w:val="0"/>
          <w:sz w:val="16"/>
        </w:rPr>
        <w:t xml:space="preserve">D. Helbing, A. Johansson, and H. Z. Al-Abideen, “Dynamics of crowd disasters: An empirical study,” </w:t>
      </w:r>
      <w:r>
        <w:rPr>
          <w:rFonts w:ascii="Times New Roman" w:hAnsi="Times New Roman"/>
          <w:b w:val="0"/>
          <w:i/>
          <w:sz w:val="16"/>
        </w:rPr>
        <w:t>Phys. Rev. E</w:t>
      </w:r>
      <w:r>
        <w:rPr>
          <w:rFonts w:ascii="Times New Roman" w:hAnsi="Times New Roman"/>
          <w:b w:val="0"/>
          <w:i w:val="0"/>
          <w:sz w:val="16"/>
        </w:rPr>
        <w:t>, vol. 75, no. 4, p. 046109, 2007, doi: 10.1103/PhysRevE.75.046109.</w:t>
      </w:r>
    </w:p>
    <w:p>
      <w:pPr>
        <w:spacing w:after="40"/>
        <w:jc w:val="left"/>
      </w:pPr>
      <w:r>
        <w:rPr>
          <w:rFonts w:ascii="Times New Roman" w:hAnsi="Times New Roman"/>
          <w:b w:val="0"/>
          <w:i w:val="0"/>
          <w:sz w:val="16"/>
        </w:rPr>
        <w:t xml:space="preserve">[3] </w:t>
      </w:r>
      <w:r>
        <w:rPr>
          <w:rFonts w:ascii="Times New Roman" w:hAnsi="Times New Roman"/>
          <w:b w:val="0"/>
          <w:i w:val="0"/>
          <w:sz w:val="16"/>
        </w:rPr>
        <w:t xml:space="preserve">Y. Zhang, D. Zhou, S. Chen, S. Gao, and Y. Ma, “Single-image crowd counting via multi-column convolutional neural network,” in </w:t>
      </w:r>
      <w:r>
        <w:rPr>
          <w:rFonts w:ascii="Times New Roman" w:hAnsi="Times New Roman"/>
          <w:b w:val="0"/>
          <w:i/>
          <w:sz w:val="16"/>
        </w:rPr>
        <w:t>Proc. IEEE Conf. Comput. Vis. Pattern Recognit. (CVPR)</w:t>
      </w:r>
      <w:r>
        <w:rPr>
          <w:rFonts w:ascii="Times New Roman" w:hAnsi="Times New Roman"/>
          <w:b w:val="0"/>
          <w:i w:val="0"/>
          <w:sz w:val="16"/>
        </w:rPr>
        <w:t>, 2016, pp. 589–597.</w:t>
      </w:r>
    </w:p>
    <w:p>
      <w:pPr>
        <w:spacing w:after="40"/>
        <w:jc w:val="left"/>
      </w:pPr>
      <w:r>
        <w:rPr>
          <w:rFonts w:ascii="Times New Roman" w:hAnsi="Times New Roman"/>
          <w:b w:val="0"/>
          <w:i w:val="0"/>
          <w:sz w:val="16"/>
        </w:rPr>
        <w:t xml:space="preserve">[4] </w:t>
      </w:r>
      <w:r>
        <w:rPr>
          <w:rFonts w:ascii="Times New Roman" w:hAnsi="Times New Roman"/>
          <w:b w:val="0"/>
          <w:i w:val="0"/>
          <w:sz w:val="16"/>
        </w:rPr>
        <w:t xml:space="preserve">Y. Li, X. Zhang, and D. Chen, “CSRNet: Dilated convolutional neural networks for understanding the highly congested scenes,” in </w:t>
      </w:r>
      <w:r>
        <w:rPr>
          <w:rFonts w:ascii="Times New Roman" w:hAnsi="Times New Roman"/>
          <w:b w:val="0"/>
          <w:i/>
          <w:sz w:val="16"/>
        </w:rPr>
        <w:t>Proc. IEEE Conf. Comput. Vis. Pattern Recognit. (CVPR)</w:t>
      </w:r>
      <w:r>
        <w:rPr>
          <w:rFonts w:ascii="Times New Roman" w:hAnsi="Times New Roman"/>
          <w:b w:val="0"/>
          <w:i w:val="0"/>
          <w:sz w:val="16"/>
        </w:rPr>
        <w:t>, 2018, pp. 1091–1100, doi: 10.1109/CVPR.2018.00120.</w:t>
      </w:r>
    </w:p>
    <w:p>
      <w:pPr>
        <w:spacing w:after="40"/>
        <w:jc w:val="left"/>
      </w:pPr>
      <w:r>
        <w:rPr>
          <w:rFonts w:ascii="Times New Roman" w:hAnsi="Times New Roman"/>
          <w:b w:val="0"/>
          <w:i w:val="0"/>
          <w:sz w:val="16"/>
        </w:rPr>
        <w:t xml:space="preserve">[5] </w:t>
      </w:r>
      <w:r>
        <w:rPr>
          <w:rFonts w:ascii="Times New Roman" w:hAnsi="Times New Roman"/>
          <w:b w:val="0"/>
          <w:i w:val="0"/>
          <w:sz w:val="16"/>
        </w:rPr>
        <w:t xml:space="preserve">Y. Ma, V. Sanchez, and T. Guha, “CLIP-EBC: CLIP can count accurately through enhanced blockwise classification,” in </w:t>
      </w:r>
      <w:r>
        <w:rPr>
          <w:rFonts w:ascii="Times New Roman" w:hAnsi="Times New Roman"/>
          <w:b w:val="0"/>
          <w:i/>
          <w:sz w:val="16"/>
        </w:rPr>
        <w:t>Proc. IEEE Int. Conf. Multimedia Expo (ICME)</w:t>
      </w:r>
      <w:r>
        <w:rPr>
          <w:rFonts w:ascii="Times New Roman" w:hAnsi="Times New Roman"/>
          <w:b w:val="0"/>
          <w:i w:val="0"/>
          <w:sz w:val="16"/>
        </w:rPr>
        <w:t>, 2025, arXiv:2403.09281.</w:t>
      </w:r>
    </w:p>
    <w:p>
      <w:pPr>
        <w:spacing w:after="40"/>
        <w:jc w:val="left"/>
      </w:pPr>
      <w:r>
        <w:rPr>
          <w:rFonts w:ascii="Times New Roman" w:hAnsi="Times New Roman"/>
          <w:b w:val="0"/>
          <w:i w:val="0"/>
          <w:sz w:val="16"/>
        </w:rPr>
        <w:t xml:space="preserve">[6] </w:t>
      </w:r>
      <w:r>
        <w:rPr>
          <w:rFonts w:ascii="Times New Roman" w:hAnsi="Times New Roman"/>
          <w:b w:val="0"/>
          <w:i w:val="0"/>
          <w:sz w:val="16"/>
        </w:rPr>
        <w:t xml:space="preserve">Q. Wang, J. Gao, W. Lin, and X. Li, “NWPU-Crowd: A large-scale benchmark for crowd counting and localization,” </w:t>
      </w:r>
      <w:r>
        <w:rPr>
          <w:rFonts w:ascii="Times New Roman" w:hAnsi="Times New Roman"/>
          <w:b w:val="0"/>
          <w:i/>
          <w:sz w:val="16"/>
        </w:rPr>
        <w:t>IEEE Trans. Pattern Anal. Mach. Intell.</w:t>
      </w:r>
      <w:r>
        <w:rPr>
          <w:rFonts w:ascii="Times New Roman" w:hAnsi="Times New Roman"/>
          <w:b w:val="0"/>
          <w:i w:val="0"/>
          <w:sz w:val="16"/>
        </w:rPr>
        <w:t>, vol. 43, no. 6, pp. 2141–2149, 2021, doi: 10.1109/TPAMI.2020.3013269.</w:t>
      </w:r>
    </w:p>
    <w:p>
      <w:pPr>
        <w:spacing w:after="40"/>
        <w:jc w:val="left"/>
      </w:pPr>
      <w:r>
        <w:rPr>
          <w:rFonts w:ascii="Times New Roman" w:hAnsi="Times New Roman"/>
          <w:b w:val="0"/>
          <w:i w:val="0"/>
          <w:sz w:val="16"/>
        </w:rPr>
        <w:t xml:space="preserve">[7] </w:t>
      </w:r>
      <w:r>
        <w:rPr>
          <w:rFonts w:ascii="Times New Roman" w:hAnsi="Times New Roman"/>
          <w:b w:val="0"/>
          <w:i w:val="0"/>
          <w:sz w:val="16"/>
        </w:rPr>
        <w:t>G. Jocher and J. Qiu, “Ultralytics YOLO11,” version 11.0.0, 2024. [Online]. Available: https://github.com/ultralytics/ultralytics</w:t>
      </w:r>
    </w:p>
    <w:p>
      <w:pPr>
        <w:spacing w:after="40"/>
        <w:jc w:val="left"/>
      </w:pPr>
      <w:r>
        <w:rPr>
          <w:rFonts w:ascii="Times New Roman" w:hAnsi="Times New Roman"/>
          <w:b w:val="0"/>
          <w:i w:val="0"/>
          <w:sz w:val="16"/>
        </w:rPr>
        <w:t xml:space="preserve">[8] </w:t>
      </w:r>
      <w:r>
        <w:rPr>
          <w:rFonts w:ascii="Times New Roman" w:hAnsi="Times New Roman"/>
          <w:b w:val="0"/>
          <w:i w:val="0"/>
          <w:sz w:val="16"/>
        </w:rPr>
        <w:t>S. Shao, Z. Zhao, B. Li, T. Xiao, G. Yu, X. Zhang, and J. Sun, “CrowdHuman: A benchmark for detecting human in a crowd,” arXiv:1805.00123, 2018.</w:t>
      </w:r>
    </w:p>
    <w:p>
      <w:pPr>
        <w:spacing w:after="40"/>
        <w:jc w:val="left"/>
      </w:pPr>
      <w:r>
        <w:rPr>
          <w:rFonts w:ascii="Times New Roman" w:hAnsi="Times New Roman"/>
          <w:b w:val="0"/>
          <w:i w:val="0"/>
          <w:sz w:val="16"/>
        </w:rPr>
        <w:t xml:space="preserve">[9] </w:t>
      </w:r>
      <w:r>
        <w:rPr>
          <w:rFonts w:ascii="Times New Roman" w:hAnsi="Times New Roman"/>
          <w:b w:val="0"/>
          <w:i w:val="0"/>
          <w:sz w:val="16"/>
        </w:rPr>
        <w:t>Forschungszentrum Jülich, “Data archive of experimental data from studies about pedestrian dynamics.” [Online]. Available: https://ped.fz-juelich.de/da/ (accessed Oct. 2026).</w:t>
      </w:r>
    </w:p>
    <w:p>
      <w:pPr>
        <w:spacing w:after="40"/>
        <w:jc w:val="left"/>
      </w:pPr>
      <w:r>
        <w:rPr>
          <w:rFonts w:ascii="Times New Roman" w:hAnsi="Times New Roman"/>
          <w:b w:val="0"/>
          <w:i w:val="0"/>
          <w:sz w:val="16"/>
        </w:rPr>
        <w:t xml:space="preserve">[10] </w:t>
      </w:r>
      <w:r>
        <w:rPr>
          <w:rFonts w:ascii="Times New Roman" w:hAnsi="Times New Roman"/>
          <w:b w:val="0"/>
          <w:i w:val="0"/>
          <w:sz w:val="16"/>
        </w:rPr>
        <w:t>T. Schrödter and The PedPy Development Team, “PedPy: Pedestrian dynamics analysis library,” version 1.5.1, Zenodo, doi: 10.5281/zenodo.21476844.</w:t>
      </w:r>
    </w:p>
    <w:p>
      <w:pPr>
        <w:spacing w:after="40"/>
        <w:jc w:val="left"/>
      </w:pPr>
      <w:r>
        <w:rPr>
          <w:rFonts w:ascii="Times New Roman" w:hAnsi="Times New Roman"/>
          <w:b w:val="0"/>
          <w:i w:val="0"/>
          <w:sz w:val="16"/>
        </w:rPr>
        <w:t xml:space="preserve">[11] </w:t>
      </w:r>
      <w:r>
        <w:rPr>
          <w:rFonts w:ascii="Times New Roman" w:hAnsi="Times New Roman"/>
          <w:b w:val="0"/>
          <w:i w:val="0"/>
          <w:sz w:val="16"/>
        </w:rPr>
        <w:t>The JuPedSim Development Team, “JuPedSim: Simulating pedestrian dynamics,” version 1.4.2. [Online]. Available: https://www.jupedsim.org</w:t>
      </w:r>
    </w:p>
    <w:p>
      <w:pPr>
        <w:spacing w:after="40"/>
        <w:jc w:val="left"/>
      </w:pPr>
      <w:r>
        <w:rPr>
          <w:rFonts w:ascii="Times New Roman" w:hAnsi="Times New Roman"/>
          <w:b w:val="0"/>
          <w:i w:val="0"/>
          <w:sz w:val="16"/>
        </w:rPr>
        <w:t xml:space="preserve">[12] </w:t>
      </w:r>
      <w:r>
        <w:rPr>
          <w:rFonts w:ascii="Times New Roman" w:hAnsi="Times New Roman"/>
          <w:b w:val="0"/>
          <w:i w:val="0"/>
          <w:sz w:val="16"/>
        </w:rPr>
        <w:t xml:space="preserve">J. Zhang, Y. Zheng, and D. Qi, “Deep spatio-temporal residual networks for citywide crowd flows prediction,” in </w:t>
      </w:r>
      <w:r>
        <w:rPr>
          <w:rFonts w:ascii="Times New Roman" w:hAnsi="Times New Roman"/>
          <w:b w:val="0"/>
          <w:i/>
          <w:sz w:val="16"/>
        </w:rPr>
        <w:t>Proc. AAAI Conf. Artif. Intell.</w:t>
      </w:r>
      <w:r>
        <w:rPr>
          <w:rFonts w:ascii="Times New Roman" w:hAnsi="Times New Roman"/>
          <w:b w:val="0"/>
          <w:i w:val="0"/>
          <w:sz w:val="16"/>
        </w:rPr>
        <w:t>, vol. 31, no. 1, 2017, doi: 10.1609/aaai.v31i1.10735.</w:t>
      </w:r>
    </w:p>
    <w:p>
      <w:pPr>
        <w:spacing w:after="40"/>
        <w:jc w:val="left"/>
      </w:pPr>
      <w:r>
        <w:rPr>
          <w:rFonts w:ascii="Times New Roman" w:hAnsi="Times New Roman"/>
          <w:b w:val="0"/>
          <w:i w:val="0"/>
          <w:sz w:val="16"/>
        </w:rPr>
        <w:t xml:space="preserve">[13] </w:t>
      </w:r>
      <w:r>
        <w:rPr>
          <w:rFonts w:ascii="Times New Roman" w:hAnsi="Times New Roman"/>
          <w:b w:val="0"/>
          <w:i w:val="0"/>
          <w:sz w:val="16"/>
        </w:rPr>
        <w:t>Y. Niu, W. Shi, W. Liu, S. He, J. Pan, and A. B. Chan, “Over-crowdedness alert! Forecasting the future crowd distribution,” arXiv:2006.05127, 2020.</w:t>
      </w:r>
    </w:p>
    <w:p>
      <w:pPr>
        <w:spacing w:after="40"/>
        <w:jc w:val="left"/>
      </w:pPr>
      <w:r>
        <w:rPr>
          <w:rFonts w:ascii="Times New Roman" w:hAnsi="Times New Roman"/>
          <w:b w:val="0"/>
          <w:i w:val="0"/>
          <w:sz w:val="16"/>
        </w:rPr>
        <w:t xml:space="preserve">[14] </w:t>
      </w:r>
      <w:r>
        <w:rPr>
          <w:rFonts w:ascii="Times New Roman" w:hAnsi="Times New Roman"/>
          <w:b w:val="0"/>
          <w:i w:val="0"/>
          <w:sz w:val="16"/>
        </w:rPr>
        <w:t xml:space="preserve">A. F. Ansari </w:t>
      </w:r>
      <w:r>
        <w:rPr>
          <w:rFonts w:ascii="Times New Roman" w:hAnsi="Times New Roman"/>
          <w:b w:val="0"/>
          <w:i/>
          <w:sz w:val="16"/>
        </w:rPr>
        <w:t>et al.</w:t>
      </w:r>
      <w:r>
        <w:rPr>
          <w:rFonts w:ascii="Times New Roman" w:hAnsi="Times New Roman"/>
          <w:b w:val="0"/>
          <w:i w:val="0"/>
          <w:sz w:val="16"/>
        </w:rPr>
        <w:t xml:space="preserve">, “Chronos: Learning the language of time series,” </w:t>
      </w:r>
      <w:r>
        <w:rPr>
          <w:rFonts w:ascii="Times New Roman" w:hAnsi="Times New Roman"/>
          <w:b w:val="0"/>
          <w:i/>
          <w:sz w:val="16"/>
        </w:rPr>
        <w:t>Trans. Mach. Learn. Res.</w:t>
      </w:r>
      <w:r>
        <w:rPr>
          <w:rFonts w:ascii="Times New Roman" w:hAnsi="Times New Roman"/>
          <w:b w:val="0"/>
          <w:i w:val="0"/>
          <w:sz w:val="16"/>
        </w:rPr>
        <w:t>, 2024.</w:t>
      </w:r>
    </w:p>
    <w:p>
      <w:pPr>
        <w:spacing w:after="40"/>
        <w:jc w:val="left"/>
      </w:pPr>
      <w:r>
        <w:rPr>
          <w:rFonts w:ascii="Times New Roman" w:hAnsi="Times New Roman"/>
          <w:b w:val="0"/>
          <w:i w:val="0"/>
          <w:sz w:val="16"/>
        </w:rPr>
        <w:t xml:space="preserve">[15] </w:t>
      </w:r>
      <w:r>
        <w:rPr>
          <w:rFonts w:ascii="Times New Roman" w:hAnsi="Times New Roman"/>
          <w:b w:val="0"/>
          <w:i w:val="0"/>
          <w:sz w:val="16"/>
        </w:rPr>
        <w:t xml:space="preserve">A. F. Ansari </w:t>
      </w:r>
      <w:r>
        <w:rPr>
          <w:rFonts w:ascii="Times New Roman" w:hAnsi="Times New Roman"/>
          <w:b w:val="0"/>
          <w:i/>
          <w:sz w:val="16"/>
        </w:rPr>
        <w:t>et al.</w:t>
      </w:r>
      <w:r>
        <w:rPr>
          <w:rFonts w:ascii="Times New Roman" w:hAnsi="Times New Roman"/>
          <w:b w:val="0"/>
          <w:i w:val="0"/>
          <w:sz w:val="16"/>
        </w:rPr>
        <w:t>, “Chronos-2: From univariate to universal forecasting,” arXiv:2510.15821, 2025.</w:t>
      </w:r>
    </w:p>
    <w:p>
      <w:pPr>
        <w:spacing w:after="40"/>
        <w:jc w:val="left"/>
      </w:pPr>
      <w:r>
        <w:rPr>
          <w:rFonts w:ascii="Times New Roman" w:hAnsi="Times New Roman"/>
          <w:b w:val="0"/>
          <w:i w:val="0"/>
          <w:sz w:val="16"/>
        </w:rPr>
        <w:t xml:space="preserve">[16] </w:t>
      </w:r>
      <w:r>
        <w:rPr>
          <w:rFonts w:ascii="Times New Roman" w:hAnsi="Times New Roman"/>
          <w:b w:val="0"/>
          <w:i w:val="0"/>
          <w:sz w:val="16"/>
        </w:rPr>
        <w:t xml:space="preserve">A. N. Angelopoulos and S. Bates, “Conformal prediction: A gentle introduction,” </w:t>
      </w:r>
      <w:r>
        <w:rPr>
          <w:rFonts w:ascii="Times New Roman" w:hAnsi="Times New Roman"/>
          <w:b w:val="0"/>
          <w:i/>
          <w:sz w:val="16"/>
        </w:rPr>
        <w:t>Found. Trends Mach. Learn.</w:t>
      </w:r>
      <w:r>
        <w:rPr>
          <w:rFonts w:ascii="Times New Roman" w:hAnsi="Times New Roman"/>
          <w:b w:val="0"/>
          <w:i w:val="0"/>
          <w:sz w:val="16"/>
        </w:rPr>
        <w:t>, vol. 16, no. 4, pp. 494–591, 2023, doi: 10.1561/2200000101.</w:t>
      </w:r>
    </w:p>
    <w:p>
      <w:pPr>
        <w:spacing w:after="40"/>
        <w:jc w:val="left"/>
      </w:pPr>
      <w:r>
        <w:rPr>
          <w:rFonts w:ascii="Times New Roman" w:hAnsi="Times New Roman"/>
          <w:b w:val="0"/>
          <w:i w:val="0"/>
          <w:sz w:val="16"/>
        </w:rPr>
        <w:t xml:space="preserve">[17] </w:t>
      </w:r>
      <w:r>
        <w:rPr>
          <w:rFonts w:ascii="Times New Roman" w:hAnsi="Times New Roman"/>
          <w:b w:val="0"/>
          <w:i w:val="0"/>
          <w:sz w:val="16"/>
        </w:rPr>
        <w:t xml:space="preserve">L. Cao and K. Huang, “Video-based crowd density estimation and prediction system for wide-area surveillance,” </w:t>
      </w:r>
      <w:r>
        <w:rPr>
          <w:rFonts w:ascii="Times New Roman" w:hAnsi="Times New Roman"/>
          <w:b w:val="0"/>
          <w:i/>
          <w:sz w:val="16"/>
        </w:rPr>
        <w:t>China Commun.</w:t>
      </w:r>
      <w:r>
        <w:rPr>
          <w:rFonts w:ascii="Times New Roman" w:hAnsi="Times New Roman"/>
          <w:b w:val="0"/>
          <w:i w:val="0"/>
          <w:sz w:val="16"/>
        </w:rPr>
        <w:t>, vol. 10, no. 5, pp. 79–88, 2013, doi: 10.1109/CC.2013.6520940.</w:t>
      </w:r>
    </w:p>
    <w:p>
      <w:pPr>
        <w:spacing w:after="40"/>
        <w:jc w:val="left"/>
      </w:pPr>
      <w:r>
        <w:rPr>
          <w:rFonts w:ascii="Times New Roman" w:hAnsi="Times New Roman"/>
          <w:b w:val="0"/>
          <w:i w:val="0"/>
          <w:sz w:val="16"/>
        </w:rPr>
        <w:t xml:space="preserve">[18] </w:t>
      </w:r>
      <w:r>
        <w:rPr>
          <w:rFonts w:ascii="Times New Roman" w:hAnsi="Times New Roman"/>
          <w:b w:val="0"/>
          <w:i w:val="0"/>
          <w:sz w:val="16"/>
        </w:rPr>
        <w:t xml:space="preserve">Z. Teed and J. Deng, “RAFT: Recurrent all-pairs field transforms for optical flow,” in </w:t>
      </w:r>
      <w:r>
        <w:rPr>
          <w:rFonts w:ascii="Times New Roman" w:hAnsi="Times New Roman"/>
          <w:b w:val="0"/>
          <w:i/>
          <w:sz w:val="16"/>
        </w:rPr>
        <w:t>Proc. Eur. Conf. Comput. Vis. (ECCV)</w:t>
      </w:r>
      <w:r>
        <w:rPr>
          <w:rFonts w:ascii="Times New Roman" w:hAnsi="Times New Roman"/>
          <w:b w:val="0"/>
          <w:i w:val="0"/>
          <w:sz w:val="16"/>
        </w:rPr>
        <w:t>, 2020, pp. 402–419.</w:t>
      </w:r>
    </w:p>
    <w:p>
      <w:pPr>
        <w:spacing w:after="40"/>
        <w:jc w:val="left"/>
      </w:pPr>
      <w:r>
        <w:rPr>
          <w:rFonts w:ascii="Times New Roman" w:hAnsi="Times New Roman"/>
          <w:b w:val="0"/>
          <w:i w:val="0"/>
          <w:sz w:val="16"/>
        </w:rPr>
        <w:t xml:space="preserve">[19] </w:t>
      </w:r>
      <w:r>
        <w:rPr>
          <w:rFonts w:ascii="Times New Roman" w:hAnsi="Times New Roman"/>
          <w:b w:val="0"/>
          <w:i w:val="0"/>
          <w:sz w:val="16"/>
        </w:rPr>
        <w:t>Forschungszentrum Jülich, “Pedestrian flow in a unidirectional corridor (BaSiGo project),” Pedestrian Dynamics Data Archive, 2013, doi: 10.34735/ped.2013.6.</w:t>
      </w:r>
    </w:p>
    <w:p>
      <w:pPr>
        <w:spacing w:after="40"/>
        <w:jc w:val="left"/>
      </w:pPr>
      <w:r>
        <w:rPr>
          <w:rFonts w:ascii="Times New Roman" w:hAnsi="Times New Roman"/>
          <w:b w:val="0"/>
          <w:i w:val="0"/>
          <w:sz w:val="16"/>
        </w:rPr>
        <w:t xml:space="preserve">[20] </w:t>
      </w:r>
      <w:r>
        <w:rPr>
          <w:rFonts w:ascii="Times New Roman" w:hAnsi="Times New Roman"/>
          <w:b w:val="0"/>
          <w:i w:val="0"/>
          <w:sz w:val="16"/>
        </w:rPr>
        <w:t>Forschungszentrum Jülich, “Entrance 1, entry without guiding barriers (semicircle setup),” Pedestrian Dynamics Data Archive, 2013, doi: 10.34735/ped.2013.2.</w:t>
      </w:r>
    </w:p>
    <w:p>
      <w:pPr>
        <w:spacing w:after="40"/>
        <w:jc w:val="left"/>
      </w:pPr>
      <w:r>
        <w:rPr>
          <w:rFonts w:ascii="Times New Roman" w:hAnsi="Times New Roman"/>
          <w:b w:val="0"/>
          <w:i w:val="0"/>
          <w:sz w:val="16"/>
        </w:rPr>
        <w:t xml:space="preserve">[21] </w:t>
      </w:r>
      <w:r>
        <w:rPr>
          <w:rFonts w:ascii="Times New Roman" w:hAnsi="Times New Roman"/>
          <w:b w:val="0"/>
          <w:i w:val="0"/>
          <w:sz w:val="16"/>
        </w:rPr>
        <w:t xml:space="preserve">S. Cao, A. Seyfried, J. Zhang, S. Holl, and W. Song, “Fundamental diagrams for multidirectional pedestrian flows,” </w:t>
      </w:r>
      <w:r>
        <w:rPr>
          <w:rFonts w:ascii="Times New Roman" w:hAnsi="Times New Roman"/>
          <w:b w:val="0"/>
          <w:i/>
          <w:sz w:val="16"/>
        </w:rPr>
        <w:t>J. Stat. Mech.: Theory Exp.</w:t>
      </w:r>
      <w:r>
        <w:rPr>
          <w:rFonts w:ascii="Times New Roman" w:hAnsi="Times New Roman"/>
          <w:b w:val="0"/>
          <w:i w:val="0"/>
          <w:sz w:val="16"/>
        </w:rPr>
        <w:t>, 2017, doi: 10.1088/1742-5468/aa620d.</w:t>
      </w:r>
    </w:p>
    <w:p>
      <w:pPr>
        <w:spacing w:after="40"/>
        <w:jc w:val="left"/>
      </w:pPr>
      <w:r>
        <w:rPr>
          <w:rFonts w:ascii="Times New Roman" w:hAnsi="Times New Roman"/>
          <w:b w:val="0"/>
          <w:i w:val="0"/>
          <w:sz w:val="16"/>
        </w:rPr>
        <w:t xml:space="preserve">[22] </w:t>
      </w:r>
      <w:r>
        <w:rPr>
          <w:rFonts w:ascii="Times New Roman" w:hAnsi="Times New Roman"/>
          <w:b w:val="0"/>
          <w:i w:val="0"/>
          <w:sz w:val="16"/>
        </w:rPr>
        <w:t xml:space="preserve">A. Sieben, J. Schumann, and A. Seyfried, “Collective phenomena in crowds—Where pedestrian dynamics need social psychology,” </w:t>
      </w:r>
      <w:r>
        <w:rPr>
          <w:rFonts w:ascii="Times New Roman" w:hAnsi="Times New Roman"/>
          <w:b w:val="0"/>
          <w:i/>
          <w:sz w:val="16"/>
        </w:rPr>
        <w:t>PLOS ONE</w:t>
      </w:r>
      <w:r>
        <w:rPr>
          <w:rFonts w:ascii="Times New Roman" w:hAnsi="Times New Roman"/>
          <w:b w:val="0"/>
          <w:i w:val="0"/>
          <w:sz w:val="16"/>
        </w:rPr>
        <w:t>, vol. 12, no. 6, 2017, doi: 10.1371/journal.pone.0177328.</w:t>
      </w:r>
    </w:p>
    <w:p>
      <w:pPr>
        <w:spacing w:after="40"/>
        <w:jc w:val="left"/>
      </w:pPr>
      <w:r>
        <w:rPr>
          <w:rFonts w:ascii="Times New Roman" w:hAnsi="Times New Roman"/>
          <w:b w:val="0"/>
          <w:i w:val="0"/>
          <w:sz w:val="16"/>
        </w:rPr>
        <w:t xml:space="preserve">[23] </w:t>
      </w:r>
      <w:r>
        <w:rPr>
          <w:rFonts w:ascii="Times New Roman" w:hAnsi="Times New Roman"/>
          <w:b w:val="0"/>
          <w:i w:val="0"/>
          <w:sz w:val="16"/>
        </w:rPr>
        <w:t>U. Weidmann, “Transporttechnik der Fussgänger,” Schriftenreihe des IVT, no. 90, ETH Zürich, Zürich, Switzerland, 1993.</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