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000000" w:rsidP="001141FD">
      <w:pPr>
        <w:spacing w:after="0" w:line="240" w:lineRule="auto"/>
        <w:rPr>
          <w:rFonts w:ascii="Times New Roman" w:eastAsia="Times New Roman" w:hAnsi="Times New Roman" w:cs="Times New Roman"/>
          <w:sz w:val="24"/>
          <w:szCs w:val="24"/>
          <w:lang w:eastAsia="en-IN"/>
        </w:rPr>
      </w:pPr>
      <w:hyperlink r:id="rId5" w:history="1">
        <w:r w:rsidR="001141FD"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hyperlink>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The immersive technologies market is projected to surpass US$ 2.6 Trn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In terms of revenue, the global immersive technologies market was valued at US$ 81.82 Bn in 2020, and is expected to cross US$ 2.6 Trn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6"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The Unimersiv app and Oculus Rift headset are being highly publicized to help students meet people from any country in the world and learn languages in VR. Virtual museum tours are helping students to be vividly immersed in arts and culture. The lesser known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00787CE5" w:rsid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295C17C9" w14:textId="4D09558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A22393F" w14:textId="0DFB265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F9B1C9" w14:textId="64266D58"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3DB697" w14:textId="27928EBB"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C7A6789" w14:textId="3EE2D72D"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F659C1C" w14:textId="1822B1F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611473E" w14:textId="5FE6BD15"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F0CB3C" w14:textId="7DB1994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151585D" w14:textId="48B7A41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81F5BC0" w14:textId="760FBA93"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547593D6" w14:textId="3DB54B17"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F0E7CBB" w14:textId="19D407CC"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3BEC4E" w14:textId="73E56C5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3791C31" w14:textId="183B69A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A50198F" w14:textId="2DF1552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E5C5040" w14:textId="567F58A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E77E6DC" w14:textId="08E085F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8808BA2" w14:textId="6679881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2B75435" w14:textId="7E2669C4"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2B46F6D" w14:textId="77777777" w:rsidR="0060069E" w:rsidRPr="001141FD"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E312848" w14:textId="4016203D" w:rsidR="001141FD" w:rsidRDefault="00000000"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hyperlink r:id="rId7" w:history="1">
        <w:r w:rsidR="001141FD"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2BDF8E31" w14:textId="3A5EB2F6" w:rsidR="00586295" w:rsidRDefault="00586295"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p>
    <w:p w14:paraId="5E0453F1" w14:textId="3DE3A517" w:rsidR="00586295" w:rsidRPr="00E0178D" w:rsidRDefault="00966545" w:rsidP="00E0178D">
      <w:pPr>
        <w:pStyle w:val="article-published-source"/>
        <w:shd w:val="clear" w:color="auto" w:fill="FFFFFF"/>
        <w:spacing w:before="300" w:beforeAutospacing="0" w:after="300" w:afterAutospacing="0"/>
        <w:rPr>
          <w:rFonts w:ascii="Montserrat" w:hAnsi="Montserrat"/>
          <w:color w:val="4D687F"/>
        </w:rPr>
      </w:pPr>
      <w:r>
        <w:rPr>
          <w:rStyle w:val="article-published"/>
          <w:rFonts w:ascii="Montserrat" w:hAnsi="Montserrat"/>
          <w:color w:val="4D687F"/>
        </w:rPr>
        <w:t>September 12, 2022 08:52 ET </w:t>
      </w:r>
      <w:r>
        <w:rPr>
          <w:rStyle w:val="article-source"/>
          <w:rFonts w:ascii="Montserrat" w:hAnsi="Montserrat"/>
          <w:color w:val="4D687F"/>
        </w:rPr>
        <w:t>| Source: </w:t>
      </w:r>
      <w:hyperlink r:id="rId8" w:history="1">
        <w:r>
          <w:rPr>
            <w:rStyle w:val="Hyperlink"/>
            <w:rFonts w:ascii="Montserrat" w:hAnsi="Montserrat"/>
            <w:color w:val="1A7AAB"/>
          </w:rPr>
          <w:t>PMI</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286BF7E4" w:rsidR="009E6517" w:rsidRDefault="001141FD" w:rsidP="00153961">
      <w:pPr>
        <w:shd w:val="clear" w:color="auto" w:fill="FFFFFF"/>
        <w:spacing w:after="240" w:line="240" w:lineRule="auto"/>
        <w:rPr>
          <w:rFonts w:ascii="Montserrat" w:eastAsia="Times New Roman" w:hAnsi="Montserrat" w:cs="Times New Roman"/>
          <w:color w:val="293849"/>
          <w:sz w:val="24"/>
          <w:szCs w:val="24"/>
          <w:shd w:val="clear" w:color="auto" w:fill="FFFFFF"/>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p w14:paraId="5111B759" w14:textId="53022E33" w:rsidR="009D2BCE" w:rsidRDefault="009D2BCE" w:rsidP="00153961">
      <w:pPr>
        <w:shd w:val="clear" w:color="auto" w:fill="FFFFFF"/>
        <w:spacing w:after="240" w:line="240" w:lineRule="auto"/>
        <w:rPr>
          <w:rFonts w:ascii="Times New Roman" w:eastAsia="Times New Roman" w:hAnsi="Times New Roman" w:cs="Times New Roman"/>
          <w:sz w:val="24"/>
          <w:szCs w:val="24"/>
          <w:lang w:eastAsia="en-IN"/>
        </w:rPr>
      </w:pPr>
      <w:r>
        <w:rPr>
          <w:noProof/>
        </w:rPr>
        <w:drawing>
          <wp:inline distT="0" distB="0" distL="0" distR="0" wp14:anchorId="50E4AA45" wp14:editId="093D4A28">
            <wp:extent cx="5803237" cy="339090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072" cy="3393725"/>
                    </a:xfrm>
                    <a:prstGeom prst="rect">
                      <a:avLst/>
                    </a:prstGeom>
                    <a:noFill/>
                    <a:ln>
                      <a:noFill/>
                    </a:ln>
                  </pic:spPr>
                </pic:pic>
              </a:graphicData>
            </a:graphic>
          </wp:inline>
        </w:drawing>
      </w:r>
    </w:p>
    <w:p w14:paraId="15B34B72" w14:textId="1A6223FE"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20B7701" w14:textId="4CE12FE3"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75F6FF16" w14:textId="1FA4F737"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6ACB527" w14:textId="7AAE472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0AED510F" w14:textId="4D4B597B"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5EB4A3E4" w14:textId="5300445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C4B51CA" w14:textId="008DA075"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2E2F2F7" w14:textId="77777777" w:rsidR="00555F6C" w:rsidRDefault="00555F6C" w:rsidP="00153961">
      <w:pPr>
        <w:shd w:val="clear" w:color="auto" w:fill="FFFFFF"/>
        <w:spacing w:after="240" w:line="240" w:lineRule="auto"/>
        <w:rPr>
          <w:rFonts w:ascii="Times New Roman" w:eastAsia="Times New Roman" w:hAnsi="Times New Roman" w:cs="Times New Roman"/>
          <w:sz w:val="24"/>
          <w:szCs w:val="24"/>
          <w:lang w:eastAsia="en-IN"/>
        </w:rPr>
      </w:pPr>
    </w:p>
    <w:p w14:paraId="6C2C862E" w14:textId="54D5AC73" w:rsidR="00FB5FB5" w:rsidRDefault="00CA30CE" w:rsidP="00153961">
      <w:pPr>
        <w:shd w:val="clear" w:color="auto" w:fill="FFFFFF"/>
        <w:spacing w:after="240" w:line="240" w:lineRule="auto"/>
        <w:rPr>
          <w:rFonts w:ascii="Times New Roman" w:eastAsia="Times New Roman" w:hAnsi="Times New Roman" w:cs="Times New Roman"/>
          <w:sz w:val="24"/>
          <w:szCs w:val="24"/>
          <w:lang w:eastAsia="en-IN"/>
        </w:rPr>
      </w:pPr>
      <w:hyperlink r:id="rId10" w:history="1">
        <w:r w:rsidRPr="00B948D1">
          <w:rPr>
            <w:rStyle w:val="Hyperlink"/>
            <w:rFonts w:ascii="Times New Roman" w:eastAsia="Times New Roman" w:hAnsi="Times New Roman" w:cs="Times New Roman"/>
            <w:sz w:val="24"/>
            <w:szCs w:val="24"/>
            <w:lang w:eastAsia="en-IN"/>
          </w:rPr>
          <w:t>https://www.adroitmarketresearch.com/industry-reports/immersive-technology-market</w:t>
        </w:r>
      </w:hyperlink>
    </w:p>
    <w:p w14:paraId="24458F38" w14:textId="77777777" w:rsidR="00656DBA" w:rsidRDefault="00656DBA" w:rsidP="00153961">
      <w:pPr>
        <w:shd w:val="clear" w:color="auto" w:fill="FFFFFF"/>
        <w:spacing w:after="240" w:line="240" w:lineRule="auto"/>
        <w:rPr>
          <w:rFonts w:ascii="Times New Roman" w:eastAsia="Times New Roman" w:hAnsi="Times New Roman" w:cs="Times New Roman"/>
          <w:sz w:val="24"/>
          <w:szCs w:val="24"/>
          <w:lang w:eastAsia="en-IN"/>
        </w:rPr>
      </w:pPr>
    </w:p>
    <w:p w14:paraId="26F9EF43" w14:textId="62723BE1" w:rsidR="004F696B" w:rsidRDefault="00FB5FB5" w:rsidP="00FB5FB5">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1"/>
          <w:szCs w:val="21"/>
          <w:shd w:val="clear" w:color="auto" w:fill="FFFFFF"/>
        </w:rPr>
        <w:t>Oct 2021</w:t>
      </w:r>
    </w:p>
    <w:p w14:paraId="567372DA" w14:textId="2C78FFC5" w:rsidR="00BD2B47" w:rsidRDefault="00956F51"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In terms of revenue the global immersive market is expected to exceed USD 22.4 billion by 2028 with and annual growth rate of approximately 26% by from 2018 to 2028. This impressive growth projection can be attributed to increasing reliance on advanced technology tools such as Augmented Reality (AR), Virtual Reality (VR), and Mixed Reality (MR) to carry business and day-to-day operations.</w:t>
      </w:r>
    </w:p>
    <w:p w14:paraId="67437102" w14:textId="51243375" w:rsidR="00BD2B47" w:rsidRDefault="00BD2B47"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The key players in the global immersive technology market are Sensics, Samsung Electronics, Microsoft, HTC, Facebook, CyberGlove, Barco, and Sixense Enterprises among all other start-ups and well-established firms. The companies have come up with a range of products into the global immersive technology market in the historical years. These tech giants have done large investments and acquisitions which suggest that immersive technology will become increasingly integrated with today’s platforms.   </w:t>
      </w:r>
    </w:p>
    <w:p w14:paraId="1F400304" w14:textId="5DE869A2" w:rsidR="00CA0EBF" w:rsidRDefault="00225F7C" w:rsidP="00831EE3">
      <w:pPr>
        <w:shd w:val="clear" w:color="auto" w:fill="FFFFFF"/>
        <w:spacing w:after="240" w:line="240" w:lineRule="auto"/>
        <w:jc w:val="center"/>
        <w:rPr>
          <w:rFonts w:ascii="Times New Roman" w:eastAsia="Times New Roman" w:hAnsi="Times New Roman" w:cs="Times New Roman"/>
          <w:sz w:val="24"/>
          <w:szCs w:val="24"/>
          <w:lang w:eastAsia="en-IN"/>
        </w:rPr>
      </w:pPr>
      <w:r>
        <w:rPr>
          <w:noProof/>
        </w:rPr>
        <w:drawing>
          <wp:inline distT="0" distB="0" distL="0" distR="0" wp14:anchorId="213DF8B5" wp14:editId="51C534FE">
            <wp:extent cx="5206643" cy="2752725"/>
            <wp:effectExtent l="0" t="0" r="0" b="0"/>
            <wp:docPr id="2" name="Picture 2" descr="Global Immersive Technology Market 2018-2028 (USD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mmersive Technology Market 2018-2028 (USD Bill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000" cy="2764545"/>
                    </a:xfrm>
                    <a:prstGeom prst="rect">
                      <a:avLst/>
                    </a:prstGeom>
                    <a:noFill/>
                    <a:ln>
                      <a:noFill/>
                    </a:ln>
                  </pic:spPr>
                </pic:pic>
              </a:graphicData>
            </a:graphic>
          </wp:inline>
        </w:drawing>
      </w:r>
    </w:p>
    <w:p w14:paraId="739AD28A" w14:textId="51120743" w:rsidR="00CA0EBF" w:rsidRPr="00153961" w:rsidRDefault="00CA0EBF" w:rsidP="00831EE3">
      <w:pPr>
        <w:shd w:val="clear" w:color="auto" w:fill="FFFFFF"/>
        <w:spacing w:after="240" w:line="240" w:lineRule="auto"/>
        <w:jc w:val="center"/>
        <w:rPr>
          <w:rFonts w:ascii="Times New Roman" w:eastAsia="Times New Roman" w:hAnsi="Times New Roman" w:cs="Times New Roman"/>
          <w:sz w:val="24"/>
          <w:szCs w:val="24"/>
          <w:lang w:eastAsia="en-IN"/>
        </w:rPr>
      </w:pPr>
      <w:r w:rsidRPr="00CA0EBF">
        <w:rPr>
          <w:rFonts w:ascii="Times New Roman" w:eastAsia="Times New Roman" w:hAnsi="Times New Roman" w:cs="Times New Roman"/>
          <w:sz w:val="24"/>
          <w:szCs w:val="24"/>
          <w:lang w:eastAsia="en-IN"/>
        </w:rPr>
        <w:drawing>
          <wp:inline distT="0" distB="0" distL="0" distR="0" wp14:anchorId="3BAD6D3C" wp14:editId="48328569">
            <wp:extent cx="5184349" cy="28879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190729" cy="2891534"/>
                    </a:xfrm>
                    <a:prstGeom prst="rect">
                      <a:avLst/>
                    </a:prstGeom>
                  </pic:spPr>
                </pic:pic>
              </a:graphicData>
            </a:graphic>
          </wp:inline>
        </w:drawing>
      </w:r>
    </w:p>
    <w:sectPr w:rsidR="00CA0EBF" w:rsidRPr="00153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7"/>
    <w:rsid w:val="000301A2"/>
    <w:rsid w:val="00075725"/>
    <w:rsid w:val="00077719"/>
    <w:rsid w:val="000B7E63"/>
    <w:rsid w:val="000E3D22"/>
    <w:rsid w:val="00105F4C"/>
    <w:rsid w:val="001141FD"/>
    <w:rsid w:val="00153961"/>
    <w:rsid w:val="00225F7C"/>
    <w:rsid w:val="002D42E4"/>
    <w:rsid w:val="002D72D2"/>
    <w:rsid w:val="002E1406"/>
    <w:rsid w:val="002E7985"/>
    <w:rsid w:val="003E2E55"/>
    <w:rsid w:val="004A2AB4"/>
    <w:rsid w:val="004C5633"/>
    <w:rsid w:val="004F696B"/>
    <w:rsid w:val="004F74D6"/>
    <w:rsid w:val="00555F6C"/>
    <w:rsid w:val="00586295"/>
    <w:rsid w:val="005A4CEA"/>
    <w:rsid w:val="005D1CE2"/>
    <w:rsid w:val="005F61FC"/>
    <w:rsid w:val="005F71F7"/>
    <w:rsid w:val="0060069E"/>
    <w:rsid w:val="00656DBA"/>
    <w:rsid w:val="00753257"/>
    <w:rsid w:val="00754C51"/>
    <w:rsid w:val="00802D1C"/>
    <w:rsid w:val="00805A52"/>
    <w:rsid w:val="00831EE3"/>
    <w:rsid w:val="00865573"/>
    <w:rsid w:val="00956F51"/>
    <w:rsid w:val="00966545"/>
    <w:rsid w:val="009D2BCE"/>
    <w:rsid w:val="009E6517"/>
    <w:rsid w:val="00A51743"/>
    <w:rsid w:val="00A911E2"/>
    <w:rsid w:val="00AE1844"/>
    <w:rsid w:val="00BB155D"/>
    <w:rsid w:val="00BD2B47"/>
    <w:rsid w:val="00C3286A"/>
    <w:rsid w:val="00C34FC1"/>
    <w:rsid w:val="00CA0EBF"/>
    <w:rsid w:val="00CA30CE"/>
    <w:rsid w:val="00D5081B"/>
    <w:rsid w:val="00E0178D"/>
    <w:rsid w:val="00E06344"/>
    <w:rsid w:val="00E32941"/>
    <w:rsid w:val="00E4540B"/>
    <w:rsid w:val="00E55907"/>
    <w:rsid w:val="00ED6BAD"/>
    <w:rsid w:val="00FB5FB5"/>
    <w:rsid w:val="00FE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41FD"/>
    <w:rPr>
      <w:color w:val="0000FF"/>
      <w:u w:val="single"/>
    </w:rPr>
  </w:style>
  <w:style w:type="character" w:styleId="UnresolvedMention">
    <w:name w:val="Unresolved Mention"/>
    <w:basedOn w:val="DefaultParagraphFont"/>
    <w:uiPriority w:val="99"/>
    <w:semiHidden/>
    <w:unhideWhenUsed/>
    <w:rsid w:val="00CA30CE"/>
    <w:rPr>
      <w:color w:val="605E5C"/>
      <w:shd w:val="clear" w:color="auto" w:fill="E1DFDD"/>
    </w:rPr>
  </w:style>
  <w:style w:type="paragraph" w:customStyle="1" w:styleId="article-published-source">
    <w:name w:val="article-published-source"/>
    <w:basedOn w:val="Normal"/>
    <w:rsid w:val="00966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published">
    <w:name w:val="article-published"/>
    <w:basedOn w:val="DefaultParagraphFont"/>
    <w:rsid w:val="00966545"/>
  </w:style>
  <w:style w:type="character" w:customStyle="1" w:styleId="article-source">
    <w:name w:val="article-source"/>
    <w:basedOn w:val="DefaultParagraphFont"/>
    <w:rsid w:val="0096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 w:id="1075662261">
      <w:bodyDiv w:val="1"/>
      <w:marLeft w:val="0"/>
      <w:marRight w:val="0"/>
      <w:marTop w:val="0"/>
      <w:marBottom w:val="0"/>
      <w:divBdr>
        <w:top w:val="none" w:sz="0" w:space="0" w:color="auto"/>
        <w:left w:val="none" w:sz="0" w:space="0" w:color="auto"/>
        <w:bottom w:val="none" w:sz="0" w:space="0" w:color="auto"/>
        <w:right w:val="none" w:sz="0" w:space="0" w:color="auto"/>
      </w:divBdr>
    </w:div>
    <w:div w:id="17972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en/search/organization/Prophecy%2520Market%2520insi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arencymarketresearch.com/virtual-reality-in-education-market.html" TargetMode="External"/><Relationship Id="rId11" Type="http://schemas.openxmlformats.org/officeDocument/2006/relationships/image" Target="media/image2.png"/><Relationship Id="rId5" Type="http://schemas.openxmlformats.org/officeDocument/2006/relationships/hyperlink" Target="https://www.transparencymarketresearch.com/immersive-technologies-market.html" TargetMode="External"/><Relationship Id="rId10" Type="http://schemas.openxmlformats.org/officeDocument/2006/relationships/hyperlink" Target="https://www.adroitmarketresearch.com/industry-reports/immersive-technology-mar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137</cp:revision>
  <dcterms:created xsi:type="dcterms:W3CDTF">2022-09-28T01:31:00Z</dcterms:created>
  <dcterms:modified xsi:type="dcterms:W3CDTF">2022-09-28T01:55:00Z</dcterms:modified>
</cp:coreProperties>
</file>