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D259" w14:textId="66403EC0" w:rsidR="00C00B6D" w:rsidRDefault="00C00B6D" w:rsidP="00C00B6D">
      <w:pPr>
        <w:pStyle w:val="Caption"/>
        <w:keepNext/>
      </w:pPr>
      <w:r>
        <w:t xml:space="preserve">Table </w:t>
      </w:r>
      <w:fldSimple w:instr=" SEQ Table \* ARABIC ">
        <w:r>
          <w:rPr>
            <w:noProof/>
          </w:rPr>
          <w:t>1</w:t>
        </w:r>
      </w:fldSimple>
      <w:r>
        <w:t xml:space="preserve">: Average and standard deviations (in brackets) of Area Under Curve (AUC) for different methods applied on the </w:t>
      </w:r>
      <w:r w:rsidR="008331CA">
        <w:t xml:space="preserve">508 compounds heterogeneous dataset </w:t>
      </w:r>
    </w:p>
    <w:tbl>
      <w:tblPr>
        <w:tblStyle w:val="TableGrid"/>
        <w:tblW w:w="0" w:type="auto"/>
        <w:tblLook w:val="04A0" w:firstRow="1" w:lastRow="0" w:firstColumn="1" w:lastColumn="0" w:noHBand="0" w:noVBand="1"/>
      </w:tblPr>
      <w:tblGrid>
        <w:gridCol w:w="2337"/>
        <w:gridCol w:w="2337"/>
        <w:gridCol w:w="2338"/>
        <w:gridCol w:w="2338"/>
      </w:tblGrid>
      <w:tr w:rsidR="00BE16BB" w14:paraId="5C2DF6AF" w14:textId="77777777" w:rsidTr="00685415">
        <w:tc>
          <w:tcPr>
            <w:tcW w:w="2337" w:type="dxa"/>
            <w:vMerge w:val="restart"/>
          </w:tcPr>
          <w:p w14:paraId="30973BED" w14:textId="1C1DC827" w:rsidR="00BE16BB" w:rsidRPr="00BE16BB" w:rsidRDefault="00BE16BB" w:rsidP="003266B2">
            <w:pPr>
              <w:rPr>
                <w:b/>
                <w:bCs/>
              </w:rPr>
            </w:pPr>
            <w:r w:rsidRPr="00BE16BB">
              <w:rPr>
                <w:b/>
                <w:bCs/>
              </w:rPr>
              <w:t>Method</w:t>
            </w:r>
          </w:p>
        </w:tc>
        <w:tc>
          <w:tcPr>
            <w:tcW w:w="7013" w:type="dxa"/>
            <w:gridSpan w:val="3"/>
          </w:tcPr>
          <w:p w14:paraId="5491105F" w14:textId="6D64B8F6" w:rsidR="00BE16BB" w:rsidRPr="00BE16BB" w:rsidRDefault="00BE16BB" w:rsidP="00C00B6D">
            <w:pPr>
              <w:jc w:val="center"/>
              <w:rPr>
                <w:b/>
                <w:bCs/>
              </w:rPr>
            </w:pPr>
            <w:r w:rsidRPr="00BE16BB">
              <w:rPr>
                <w:b/>
                <w:bCs/>
              </w:rPr>
              <w:t>Descriptor set used</w:t>
            </w:r>
          </w:p>
        </w:tc>
      </w:tr>
      <w:tr w:rsidR="00BE16BB" w14:paraId="22F99656" w14:textId="77777777" w:rsidTr="00BE16BB">
        <w:tc>
          <w:tcPr>
            <w:tcW w:w="2337" w:type="dxa"/>
            <w:vMerge/>
          </w:tcPr>
          <w:p w14:paraId="5A9DB2A6" w14:textId="5BAD22D2" w:rsidR="00BE16BB" w:rsidRPr="00BE16BB" w:rsidRDefault="00BE16BB">
            <w:pPr>
              <w:rPr>
                <w:b/>
                <w:bCs/>
              </w:rPr>
            </w:pPr>
          </w:p>
        </w:tc>
        <w:tc>
          <w:tcPr>
            <w:tcW w:w="2337" w:type="dxa"/>
          </w:tcPr>
          <w:p w14:paraId="6EDB80FD" w14:textId="64DA34C3" w:rsidR="00BE16BB" w:rsidRPr="00BE16BB" w:rsidRDefault="00BE16BB" w:rsidP="00C00B6D">
            <w:pPr>
              <w:jc w:val="center"/>
              <w:rPr>
                <w:b/>
                <w:bCs/>
              </w:rPr>
            </w:pPr>
            <w:r w:rsidRPr="00BE16BB">
              <w:rPr>
                <w:b/>
                <w:bCs/>
              </w:rPr>
              <w:t>Combined</w:t>
            </w:r>
          </w:p>
        </w:tc>
        <w:tc>
          <w:tcPr>
            <w:tcW w:w="2338" w:type="dxa"/>
          </w:tcPr>
          <w:p w14:paraId="75F05F52" w14:textId="19D28DC2" w:rsidR="00BE16BB" w:rsidRPr="00BE16BB" w:rsidRDefault="00BE16BB" w:rsidP="00C00B6D">
            <w:pPr>
              <w:jc w:val="center"/>
              <w:rPr>
                <w:b/>
                <w:bCs/>
              </w:rPr>
            </w:pPr>
            <w:proofErr w:type="spellStart"/>
            <w:r w:rsidRPr="00BE16BB">
              <w:rPr>
                <w:b/>
                <w:bCs/>
              </w:rPr>
              <w:t>Basak</w:t>
            </w:r>
            <w:proofErr w:type="spellEnd"/>
            <w:r w:rsidRPr="00BE16BB">
              <w:rPr>
                <w:b/>
                <w:bCs/>
              </w:rPr>
              <w:t xml:space="preserve"> lab</w:t>
            </w:r>
          </w:p>
        </w:tc>
        <w:tc>
          <w:tcPr>
            <w:tcW w:w="2338" w:type="dxa"/>
          </w:tcPr>
          <w:p w14:paraId="2185BEE8" w14:textId="1D70ECA4" w:rsidR="00BE16BB" w:rsidRPr="00BE16BB" w:rsidRDefault="00BE16BB" w:rsidP="00C00B6D">
            <w:pPr>
              <w:jc w:val="center"/>
              <w:rPr>
                <w:b/>
                <w:bCs/>
              </w:rPr>
            </w:pPr>
            <w:proofErr w:type="spellStart"/>
            <w:r w:rsidRPr="00BE16BB">
              <w:rPr>
                <w:b/>
                <w:bCs/>
              </w:rPr>
              <w:t>Diudea</w:t>
            </w:r>
            <w:proofErr w:type="spellEnd"/>
            <w:r w:rsidRPr="00BE16BB">
              <w:rPr>
                <w:b/>
                <w:bCs/>
              </w:rPr>
              <w:t xml:space="preserve"> lab</w:t>
            </w:r>
          </w:p>
        </w:tc>
      </w:tr>
      <w:tr w:rsidR="00BE16BB" w14:paraId="759192EA" w14:textId="77777777" w:rsidTr="00BE16BB">
        <w:tc>
          <w:tcPr>
            <w:tcW w:w="2337" w:type="dxa"/>
          </w:tcPr>
          <w:p w14:paraId="5C0922BA" w14:textId="68D1C028" w:rsidR="00BE16BB" w:rsidRPr="00BE16BB" w:rsidRDefault="00BE16BB">
            <w:pPr>
              <w:rPr>
                <w:b/>
                <w:bCs/>
              </w:rPr>
            </w:pPr>
            <w:r w:rsidRPr="00BE16BB">
              <w:rPr>
                <w:b/>
                <w:bCs/>
              </w:rPr>
              <w:t>PCR</w:t>
            </w:r>
          </w:p>
        </w:tc>
        <w:tc>
          <w:tcPr>
            <w:tcW w:w="2337" w:type="dxa"/>
          </w:tcPr>
          <w:p w14:paraId="65863054" w14:textId="5CC17280" w:rsidR="00BE16BB" w:rsidRPr="00BE16BB" w:rsidRDefault="00BE16BB" w:rsidP="00C00B6D">
            <w:pPr>
              <w:jc w:val="center"/>
              <w:rPr>
                <w:rFonts w:cstheme="minorHAnsi"/>
              </w:rPr>
            </w:pPr>
            <w:r w:rsidRPr="00BE16BB">
              <w:rPr>
                <w:rFonts w:cstheme="minorHAnsi"/>
              </w:rPr>
              <w:t>0.59 (0.055)</w:t>
            </w:r>
          </w:p>
        </w:tc>
        <w:tc>
          <w:tcPr>
            <w:tcW w:w="2338" w:type="dxa"/>
          </w:tcPr>
          <w:p w14:paraId="67F902E5" w14:textId="1D5844B7" w:rsidR="00BE16BB" w:rsidRPr="00C00B6D" w:rsidRDefault="00BE16BB" w:rsidP="00C00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stheme="minorHAnsi"/>
                <w:b/>
                <w:bCs/>
                <w:color w:val="000000"/>
                <w:lang w:bidi="bn-IN"/>
              </w:rPr>
            </w:pPr>
            <w:r w:rsidRPr="00BE16BB">
              <w:rPr>
                <w:rFonts w:eastAsia="Times New Roman" w:cstheme="minorHAnsi"/>
                <w:b/>
                <w:bCs/>
                <w:color w:val="000000"/>
                <w:lang w:bidi="bn-IN"/>
              </w:rPr>
              <w:t>0.78</w:t>
            </w:r>
            <w:r w:rsidRPr="00C00B6D">
              <w:rPr>
                <w:rFonts w:eastAsia="Times New Roman" w:cstheme="minorHAnsi"/>
                <w:b/>
                <w:bCs/>
                <w:color w:val="000000"/>
                <w:lang w:bidi="bn-IN"/>
              </w:rPr>
              <w:t xml:space="preserve"> (</w:t>
            </w:r>
            <w:r w:rsidRPr="00BE16BB">
              <w:rPr>
                <w:rFonts w:eastAsia="Times New Roman" w:cstheme="minorHAnsi"/>
                <w:b/>
                <w:bCs/>
                <w:color w:val="000000"/>
                <w:lang w:bidi="bn-IN"/>
              </w:rPr>
              <w:t>0.038</w:t>
            </w:r>
            <w:r w:rsidRPr="00C00B6D">
              <w:rPr>
                <w:rFonts w:eastAsia="Times New Roman" w:cstheme="minorHAnsi"/>
                <w:b/>
                <w:bCs/>
                <w:color w:val="000000"/>
                <w:lang w:bidi="bn-IN"/>
              </w:rPr>
              <w:t>)</w:t>
            </w:r>
          </w:p>
        </w:tc>
        <w:tc>
          <w:tcPr>
            <w:tcW w:w="2338" w:type="dxa"/>
          </w:tcPr>
          <w:p w14:paraId="56F0F91C" w14:textId="5355B876" w:rsidR="00BE16BB" w:rsidRPr="00BE16BB" w:rsidRDefault="00BE16BB" w:rsidP="00C00B6D">
            <w:pPr>
              <w:pStyle w:val="HTMLPreformatted"/>
              <w:shd w:val="clear" w:color="auto" w:fill="FFFFFF"/>
              <w:wordWrap w:val="0"/>
              <w:spacing w:line="225" w:lineRule="atLeast"/>
              <w:jc w:val="center"/>
              <w:rPr>
                <w:rFonts w:asciiTheme="minorHAnsi" w:hAnsiTheme="minorHAnsi" w:cstheme="minorHAnsi"/>
                <w:color w:val="000000"/>
                <w:sz w:val="22"/>
                <w:szCs w:val="22"/>
              </w:rPr>
            </w:pPr>
            <w:r w:rsidRPr="00BE16BB">
              <w:rPr>
                <w:rFonts w:asciiTheme="minorHAnsi" w:hAnsiTheme="minorHAnsi" w:cstheme="minorHAnsi"/>
                <w:color w:val="000000"/>
                <w:sz w:val="22"/>
                <w:szCs w:val="22"/>
              </w:rPr>
              <w:t>0.58 (0.057)</w:t>
            </w:r>
          </w:p>
        </w:tc>
      </w:tr>
      <w:tr w:rsidR="00BE16BB" w14:paraId="0BE3C985" w14:textId="77777777" w:rsidTr="00BE16BB">
        <w:tc>
          <w:tcPr>
            <w:tcW w:w="2337" w:type="dxa"/>
          </w:tcPr>
          <w:p w14:paraId="6CBE22DA" w14:textId="6462FD53" w:rsidR="00BE16BB" w:rsidRPr="00BE16BB" w:rsidRDefault="00BE16BB">
            <w:pPr>
              <w:rPr>
                <w:b/>
                <w:bCs/>
              </w:rPr>
            </w:pPr>
            <w:r w:rsidRPr="00BE16BB">
              <w:rPr>
                <w:b/>
                <w:bCs/>
              </w:rPr>
              <w:t>PLS</w:t>
            </w:r>
          </w:p>
        </w:tc>
        <w:tc>
          <w:tcPr>
            <w:tcW w:w="2337" w:type="dxa"/>
          </w:tcPr>
          <w:p w14:paraId="554BEB2C" w14:textId="1DE8C00F" w:rsidR="00BE16BB" w:rsidRPr="00C00B6D" w:rsidRDefault="00BE16BB" w:rsidP="00C00B6D">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C00B6D">
              <w:rPr>
                <w:rFonts w:asciiTheme="minorHAnsi" w:hAnsiTheme="minorHAnsi" w:cstheme="minorHAnsi"/>
                <w:b/>
                <w:bCs/>
                <w:color w:val="000000"/>
                <w:sz w:val="22"/>
                <w:szCs w:val="22"/>
              </w:rPr>
              <w:t>0.86 (0.035)</w:t>
            </w:r>
          </w:p>
        </w:tc>
        <w:tc>
          <w:tcPr>
            <w:tcW w:w="2338" w:type="dxa"/>
          </w:tcPr>
          <w:p w14:paraId="5C89D910" w14:textId="7FAC0A6B" w:rsidR="00BE16BB" w:rsidRPr="00BE16BB" w:rsidRDefault="00BE16BB" w:rsidP="00C00B6D">
            <w:pPr>
              <w:pStyle w:val="HTMLPreformatted"/>
              <w:shd w:val="clear" w:color="auto" w:fill="FFFFFF"/>
              <w:wordWrap w:val="0"/>
              <w:spacing w:line="225" w:lineRule="atLeast"/>
              <w:jc w:val="center"/>
              <w:rPr>
                <w:rFonts w:asciiTheme="minorHAnsi" w:hAnsiTheme="minorHAnsi" w:cstheme="minorHAnsi"/>
                <w:sz w:val="22"/>
                <w:szCs w:val="22"/>
              </w:rPr>
            </w:pPr>
            <w:r w:rsidRPr="00BE16BB">
              <w:rPr>
                <w:rFonts w:asciiTheme="minorHAnsi" w:hAnsiTheme="minorHAnsi" w:cstheme="minorHAnsi"/>
                <w:color w:val="000000"/>
                <w:sz w:val="22"/>
                <w:szCs w:val="22"/>
              </w:rPr>
              <w:t>0.85 (0.033)</w:t>
            </w:r>
          </w:p>
        </w:tc>
        <w:tc>
          <w:tcPr>
            <w:tcW w:w="2338" w:type="dxa"/>
          </w:tcPr>
          <w:p w14:paraId="2F59321A" w14:textId="44E30F15" w:rsidR="00BE16BB" w:rsidRPr="00BE16BB" w:rsidRDefault="00BE16BB" w:rsidP="00C00B6D">
            <w:pPr>
              <w:pStyle w:val="HTMLPreformatted"/>
              <w:shd w:val="clear" w:color="auto" w:fill="FFFFFF"/>
              <w:wordWrap w:val="0"/>
              <w:spacing w:line="225" w:lineRule="atLeast"/>
              <w:jc w:val="center"/>
              <w:rPr>
                <w:rFonts w:asciiTheme="minorHAnsi" w:hAnsiTheme="minorHAnsi" w:cstheme="minorHAnsi"/>
                <w:color w:val="000000"/>
                <w:sz w:val="22"/>
                <w:szCs w:val="22"/>
              </w:rPr>
            </w:pPr>
            <w:r w:rsidRPr="00BE16BB">
              <w:rPr>
                <w:rFonts w:asciiTheme="minorHAnsi" w:hAnsiTheme="minorHAnsi" w:cstheme="minorHAnsi"/>
                <w:color w:val="000000"/>
                <w:sz w:val="22"/>
                <w:szCs w:val="22"/>
              </w:rPr>
              <w:t>0.79 (0.038)</w:t>
            </w:r>
          </w:p>
        </w:tc>
      </w:tr>
      <w:tr w:rsidR="00BE16BB" w14:paraId="6DEBB941" w14:textId="77777777" w:rsidTr="00BE16BB">
        <w:tc>
          <w:tcPr>
            <w:tcW w:w="2337" w:type="dxa"/>
          </w:tcPr>
          <w:p w14:paraId="3CB69E07" w14:textId="27B33EFA" w:rsidR="00BE16BB" w:rsidRPr="00BE16BB" w:rsidRDefault="00BE16BB">
            <w:pPr>
              <w:rPr>
                <w:b/>
                <w:bCs/>
              </w:rPr>
            </w:pPr>
            <w:r w:rsidRPr="00BE16BB">
              <w:rPr>
                <w:b/>
                <w:bCs/>
              </w:rPr>
              <w:t>Lasso</w:t>
            </w:r>
          </w:p>
        </w:tc>
        <w:tc>
          <w:tcPr>
            <w:tcW w:w="2337" w:type="dxa"/>
          </w:tcPr>
          <w:p w14:paraId="44D93A8D" w14:textId="0618A289" w:rsidR="00BE16BB" w:rsidRPr="00BE16BB" w:rsidRDefault="00BE16BB" w:rsidP="00C00B6D">
            <w:pPr>
              <w:pStyle w:val="HTMLPreformatted"/>
              <w:shd w:val="clear" w:color="auto" w:fill="FFFFFF"/>
              <w:wordWrap w:val="0"/>
              <w:spacing w:line="225" w:lineRule="atLeast"/>
              <w:jc w:val="center"/>
              <w:rPr>
                <w:rFonts w:asciiTheme="minorHAnsi" w:hAnsiTheme="minorHAnsi" w:cstheme="minorHAnsi"/>
                <w:sz w:val="22"/>
                <w:szCs w:val="22"/>
              </w:rPr>
            </w:pPr>
            <w:r w:rsidRPr="00BE16BB">
              <w:rPr>
                <w:rFonts w:asciiTheme="minorHAnsi" w:hAnsiTheme="minorHAnsi" w:cstheme="minorHAnsi"/>
                <w:color w:val="000000"/>
                <w:sz w:val="22"/>
                <w:szCs w:val="22"/>
              </w:rPr>
              <w:t>0.72 (0.048)</w:t>
            </w:r>
          </w:p>
        </w:tc>
        <w:tc>
          <w:tcPr>
            <w:tcW w:w="2338" w:type="dxa"/>
          </w:tcPr>
          <w:p w14:paraId="5CA7FC0D" w14:textId="5F5291B3" w:rsidR="00BE16BB" w:rsidRPr="00C00B6D" w:rsidRDefault="00BE16BB" w:rsidP="00C00B6D">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C00B6D">
              <w:rPr>
                <w:rFonts w:asciiTheme="minorHAnsi" w:hAnsiTheme="minorHAnsi" w:cstheme="minorHAnsi"/>
                <w:b/>
                <w:bCs/>
                <w:color w:val="000000"/>
                <w:sz w:val="22"/>
                <w:szCs w:val="22"/>
              </w:rPr>
              <w:t>0.75 (0.045)</w:t>
            </w:r>
          </w:p>
        </w:tc>
        <w:tc>
          <w:tcPr>
            <w:tcW w:w="2338" w:type="dxa"/>
          </w:tcPr>
          <w:p w14:paraId="337D6DD8" w14:textId="24430370" w:rsidR="00BE16BB" w:rsidRPr="00BE16BB" w:rsidRDefault="00BE16BB" w:rsidP="00C00B6D">
            <w:pPr>
              <w:jc w:val="center"/>
              <w:rPr>
                <w:rFonts w:cstheme="minorHAnsi"/>
              </w:rPr>
            </w:pPr>
            <w:r w:rsidRPr="00BE16BB">
              <w:rPr>
                <w:rFonts w:cstheme="minorHAnsi"/>
                <w:color w:val="000000"/>
              </w:rPr>
              <w:t>0.63 (0.06)</w:t>
            </w:r>
          </w:p>
        </w:tc>
      </w:tr>
      <w:tr w:rsidR="00BE16BB" w14:paraId="5C272A60" w14:textId="77777777" w:rsidTr="00BE16BB">
        <w:tc>
          <w:tcPr>
            <w:tcW w:w="2337" w:type="dxa"/>
          </w:tcPr>
          <w:p w14:paraId="072EDEE3" w14:textId="0E039884" w:rsidR="00BE16BB" w:rsidRPr="00BE16BB" w:rsidRDefault="00BE16BB">
            <w:pPr>
              <w:rPr>
                <w:b/>
                <w:bCs/>
              </w:rPr>
            </w:pPr>
            <w:r w:rsidRPr="00BE16BB">
              <w:rPr>
                <w:b/>
                <w:bCs/>
              </w:rPr>
              <w:t>SCAD</w:t>
            </w:r>
          </w:p>
        </w:tc>
        <w:tc>
          <w:tcPr>
            <w:tcW w:w="2337" w:type="dxa"/>
          </w:tcPr>
          <w:p w14:paraId="2C297013" w14:textId="307BE6C3" w:rsidR="00BE16BB" w:rsidRPr="00BE16BB" w:rsidRDefault="00BE16BB" w:rsidP="00C00B6D">
            <w:pPr>
              <w:pStyle w:val="HTMLPreformatted"/>
              <w:shd w:val="clear" w:color="auto" w:fill="FFFFFF"/>
              <w:wordWrap w:val="0"/>
              <w:spacing w:line="225" w:lineRule="atLeast"/>
              <w:jc w:val="center"/>
              <w:rPr>
                <w:rFonts w:asciiTheme="minorHAnsi" w:hAnsiTheme="minorHAnsi" w:cstheme="minorHAnsi"/>
                <w:color w:val="000000"/>
                <w:sz w:val="22"/>
                <w:szCs w:val="22"/>
              </w:rPr>
            </w:pPr>
            <w:r w:rsidRPr="00BE16BB">
              <w:rPr>
                <w:rFonts w:asciiTheme="minorHAnsi" w:hAnsiTheme="minorHAnsi" w:cstheme="minorHAnsi"/>
                <w:color w:val="000000"/>
                <w:sz w:val="22"/>
                <w:szCs w:val="22"/>
              </w:rPr>
              <w:t>0.57 (0.061)</w:t>
            </w:r>
          </w:p>
        </w:tc>
        <w:tc>
          <w:tcPr>
            <w:tcW w:w="2338" w:type="dxa"/>
          </w:tcPr>
          <w:p w14:paraId="4CBD58ED" w14:textId="3884C5BF" w:rsidR="00BE16BB" w:rsidRPr="00BE16BB" w:rsidRDefault="00BE16BB" w:rsidP="00C00B6D">
            <w:pPr>
              <w:jc w:val="center"/>
              <w:rPr>
                <w:rFonts w:cstheme="minorHAnsi"/>
              </w:rPr>
            </w:pPr>
            <w:r w:rsidRPr="00BE16BB">
              <w:rPr>
                <w:rFonts w:cstheme="minorHAnsi"/>
                <w:color w:val="000000"/>
              </w:rPr>
              <w:t>0.58 (0.059)</w:t>
            </w:r>
          </w:p>
        </w:tc>
        <w:tc>
          <w:tcPr>
            <w:tcW w:w="2338" w:type="dxa"/>
          </w:tcPr>
          <w:p w14:paraId="170955A4" w14:textId="3B73D187" w:rsidR="00BE16BB" w:rsidRPr="00C00B6D" w:rsidRDefault="00BE16BB" w:rsidP="00C00B6D">
            <w:pPr>
              <w:jc w:val="center"/>
              <w:rPr>
                <w:rFonts w:cstheme="minorHAnsi"/>
                <w:b/>
                <w:bCs/>
              </w:rPr>
            </w:pPr>
            <w:r w:rsidRPr="00C00B6D">
              <w:rPr>
                <w:rFonts w:cstheme="minorHAnsi"/>
                <w:b/>
                <w:bCs/>
                <w:color w:val="000000"/>
              </w:rPr>
              <w:t>0.62 (0.063)</w:t>
            </w:r>
          </w:p>
        </w:tc>
      </w:tr>
      <w:tr w:rsidR="00BE16BB" w14:paraId="7AEC6C10" w14:textId="77777777" w:rsidTr="00BE16BB">
        <w:tc>
          <w:tcPr>
            <w:tcW w:w="2337" w:type="dxa"/>
          </w:tcPr>
          <w:p w14:paraId="65918EBF" w14:textId="5AFF348F" w:rsidR="00BE16BB" w:rsidRPr="00BE16BB" w:rsidRDefault="00BE16BB">
            <w:pPr>
              <w:rPr>
                <w:b/>
                <w:bCs/>
              </w:rPr>
            </w:pPr>
            <w:r w:rsidRPr="00BE16BB">
              <w:rPr>
                <w:b/>
                <w:bCs/>
              </w:rPr>
              <w:t>RF</w:t>
            </w:r>
          </w:p>
        </w:tc>
        <w:tc>
          <w:tcPr>
            <w:tcW w:w="2337" w:type="dxa"/>
          </w:tcPr>
          <w:p w14:paraId="1C1E287B" w14:textId="18311466" w:rsidR="00BE16BB" w:rsidRPr="00C00B6D" w:rsidRDefault="00BE16BB" w:rsidP="00C00B6D">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C00B6D">
              <w:rPr>
                <w:rFonts w:asciiTheme="minorHAnsi" w:hAnsiTheme="minorHAnsi" w:cstheme="minorHAnsi"/>
                <w:b/>
                <w:bCs/>
                <w:color w:val="000000"/>
                <w:sz w:val="22"/>
                <w:szCs w:val="22"/>
              </w:rPr>
              <w:t>0.81 (0.036)</w:t>
            </w:r>
          </w:p>
        </w:tc>
        <w:tc>
          <w:tcPr>
            <w:tcW w:w="2338" w:type="dxa"/>
          </w:tcPr>
          <w:p w14:paraId="4C03AA29" w14:textId="5C079443" w:rsidR="00BE16BB" w:rsidRPr="00BE16BB" w:rsidRDefault="00BE16BB" w:rsidP="00C00B6D">
            <w:pPr>
              <w:jc w:val="center"/>
              <w:rPr>
                <w:rFonts w:cstheme="minorHAnsi"/>
              </w:rPr>
            </w:pPr>
            <w:r w:rsidRPr="00BE16BB">
              <w:rPr>
                <w:rFonts w:cstheme="minorHAnsi"/>
                <w:color w:val="000000"/>
              </w:rPr>
              <w:t>0.80 (0.042)</w:t>
            </w:r>
          </w:p>
        </w:tc>
        <w:tc>
          <w:tcPr>
            <w:tcW w:w="2338" w:type="dxa"/>
          </w:tcPr>
          <w:p w14:paraId="43A3B891" w14:textId="03EDD70B" w:rsidR="00BE16BB" w:rsidRPr="00BE16BB" w:rsidRDefault="00BE16BB" w:rsidP="00C00B6D">
            <w:pPr>
              <w:jc w:val="center"/>
              <w:rPr>
                <w:rFonts w:cstheme="minorHAnsi"/>
              </w:rPr>
            </w:pPr>
            <w:r w:rsidRPr="00BE16BB">
              <w:rPr>
                <w:rFonts w:cstheme="minorHAnsi"/>
                <w:color w:val="000000"/>
              </w:rPr>
              <w:t>0.79 (0.040)</w:t>
            </w:r>
          </w:p>
        </w:tc>
      </w:tr>
      <w:tr w:rsidR="00BE16BB" w14:paraId="5D3FC9D8" w14:textId="77777777" w:rsidTr="00BE16BB">
        <w:tc>
          <w:tcPr>
            <w:tcW w:w="2337" w:type="dxa"/>
          </w:tcPr>
          <w:p w14:paraId="5AFA9666" w14:textId="2506B104" w:rsidR="00BE16BB" w:rsidRPr="00BE16BB" w:rsidRDefault="00BE16BB">
            <w:pPr>
              <w:rPr>
                <w:b/>
                <w:bCs/>
              </w:rPr>
            </w:pPr>
            <w:r w:rsidRPr="00BE16BB">
              <w:rPr>
                <w:b/>
                <w:bCs/>
              </w:rPr>
              <w:t>GBM</w:t>
            </w:r>
          </w:p>
        </w:tc>
        <w:tc>
          <w:tcPr>
            <w:tcW w:w="2337" w:type="dxa"/>
          </w:tcPr>
          <w:p w14:paraId="5A68B92B" w14:textId="39E7A05A" w:rsidR="00BE16BB" w:rsidRPr="00BE16BB" w:rsidRDefault="00BE16BB" w:rsidP="00C00B6D">
            <w:pPr>
              <w:pStyle w:val="HTMLPreformatted"/>
              <w:shd w:val="clear" w:color="auto" w:fill="FFFFFF"/>
              <w:wordWrap w:val="0"/>
              <w:spacing w:line="225" w:lineRule="atLeast"/>
              <w:jc w:val="center"/>
              <w:rPr>
                <w:rFonts w:asciiTheme="minorHAnsi" w:hAnsiTheme="minorHAnsi" w:cstheme="minorHAnsi"/>
                <w:color w:val="000000"/>
                <w:sz w:val="22"/>
                <w:szCs w:val="22"/>
              </w:rPr>
            </w:pPr>
            <w:r w:rsidRPr="00BE16BB">
              <w:rPr>
                <w:rFonts w:asciiTheme="minorHAnsi" w:hAnsiTheme="minorHAnsi" w:cstheme="minorHAnsi"/>
                <w:color w:val="000000"/>
                <w:sz w:val="22"/>
                <w:szCs w:val="22"/>
              </w:rPr>
              <w:t>0.80 (0.04)</w:t>
            </w:r>
          </w:p>
        </w:tc>
        <w:tc>
          <w:tcPr>
            <w:tcW w:w="2338" w:type="dxa"/>
          </w:tcPr>
          <w:p w14:paraId="7E9498F5" w14:textId="6BDD4F95" w:rsidR="00BE16BB" w:rsidRPr="00C00B6D" w:rsidRDefault="00BE16BB" w:rsidP="00C00B6D">
            <w:pPr>
              <w:jc w:val="center"/>
              <w:rPr>
                <w:rFonts w:cstheme="minorHAnsi"/>
                <w:b/>
                <w:bCs/>
              </w:rPr>
            </w:pPr>
            <w:r w:rsidRPr="00C00B6D">
              <w:rPr>
                <w:rFonts w:cstheme="minorHAnsi"/>
                <w:b/>
                <w:bCs/>
                <w:color w:val="000000"/>
              </w:rPr>
              <w:t>0.82 (0.04)</w:t>
            </w:r>
          </w:p>
        </w:tc>
        <w:tc>
          <w:tcPr>
            <w:tcW w:w="2338" w:type="dxa"/>
          </w:tcPr>
          <w:p w14:paraId="25BCF640" w14:textId="3E8A2FE5" w:rsidR="00BE16BB" w:rsidRPr="00BE16BB" w:rsidRDefault="00BE16BB" w:rsidP="00C00B6D">
            <w:pPr>
              <w:jc w:val="center"/>
              <w:rPr>
                <w:rFonts w:cstheme="minorHAnsi"/>
              </w:rPr>
            </w:pPr>
            <w:r w:rsidRPr="00BE16BB">
              <w:rPr>
                <w:rFonts w:cstheme="minorHAnsi"/>
                <w:color w:val="000000"/>
              </w:rPr>
              <w:t>0.75 (0.042)</w:t>
            </w:r>
          </w:p>
        </w:tc>
      </w:tr>
    </w:tbl>
    <w:p w14:paraId="2B3298BA" w14:textId="415A2DAE" w:rsidR="00687352" w:rsidRDefault="00687352" w:rsidP="00687352"/>
    <w:p w14:paraId="07F58718" w14:textId="43500F69" w:rsidR="00687352" w:rsidRDefault="00687352" w:rsidP="00687352">
      <w:pPr>
        <w:pStyle w:val="Caption"/>
        <w:keepNext/>
      </w:pPr>
      <w:r>
        <w:t xml:space="preserve">Table 2: </w:t>
      </w:r>
      <w:r w:rsidR="00DF7488">
        <w:t>Median</w:t>
      </w:r>
      <w:r>
        <w:t xml:space="preserve"> and </w:t>
      </w:r>
      <w:r w:rsidR="00DF7488">
        <w:t>mean absolute</w:t>
      </w:r>
      <w:r>
        <w:t xml:space="preserve"> deviations (in brackets) of Mean Square Prediction Error (MSPE) for different methods applied on the </w:t>
      </w:r>
      <w:r w:rsidR="008331CA">
        <w:t>95 amines dataset</w:t>
      </w:r>
    </w:p>
    <w:tbl>
      <w:tblPr>
        <w:tblStyle w:val="TableGrid"/>
        <w:tblW w:w="0" w:type="auto"/>
        <w:tblLook w:val="04A0" w:firstRow="1" w:lastRow="0" w:firstColumn="1" w:lastColumn="0" w:noHBand="0" w:noVBand="1"/>
      </w:tblPr>
      <w:tblGrid>
        <w:gridCol w:w="2337"/>
        <w:gridCol w:w="2337"/>
        <w:gridCol w:w="2338"/>
        <w:gridCol w:w="2338"/>
      </w:tblGrid>
      <w:tr w:rsidR="00687352" w:rsidRPr="002461C9" w14:paraId="0E3E203A" w14:textId="77777777" w:rsidTr="002461C9">
        <w:tc>
          <w:tcPr>
            <w:tcW w:w="2337" w:type="dxa"/>
            <w:vMerge w:val="restart"/>
          </w:tcPr>
          <w:p w14:paraId="13F070C9" w14:textId="77777777" w:rsidR="00687352" w:rsidRPr="002461C9" w:rsidRDefault="00687352" w:rsidP="005269EA">
            <w:pPr>
              <w:rPr>
                <w:rFonts w:cstheme="minorHAnsi"/>
                <w:b/>
                <w:bCs/>
              </w:rPr>
            </w:pPr>
            <w:r w:rsidRPr="002461C9">
              <w:rPr>
                <w:rFonts w:cstheme="minorHAnsi"/>
                <w:b/>
                <w:bCs/>
              </w:rPr>
              <w:t>Method</w:t>
            </w:r>
          </w:p>
        </w:tc>
        <w:tc>
          <w:tcPr>
            <w:tcW w:w="7013" w:type="dxa"/>
            <w:gridSpan w:val="3"/>
          </w:tcPr>
          <w:p w14:paraId="0A237B4E" w14:textId="77777777" w:rsidR="00687352" w:rsidRPr="002461C9" w:rsidRDefault="00687352" w:rsidP="005269EA">
            <w:pPr>
              <w:jc w:val="center"/>
              <w:rPr>
                <w:rFonts w:cstheme="minorHAnsi"/>
                <w:b/>
                <w:bCs/>
              </w:rPr>
            </w:pPr>
            <w:r w:rsidRPr="002461C9">
              <w:rPr>
                <w:rFonts w:cstheme="minorHAnsi"/>
                <w:b/>
                <w:bCs/>
              </w:rPr>
              <w:t>Descriptor set used</w:t>
            </w:r>
          </w:p>
        </w:tc>
      </w:tr>
      <w:tr w:rsidR="00687352" w:rsidRPr="002461C9" w14:paraId="5DAC7303" w14:textId="77777777" w:rsidTr="002461C9">
        <w:tc>
          <w:tcPr>
            <w:tcW w:w="2337" w:type="dxa"/>
            <w:vMerge/>
          </w:tcPr>
          <w:p w14:paraId="00671017" w14:textId="77777777" w:rsidR="00687352" w:rsidRPr="002461C9" w:rsidRDefault="00687352" w:rsidP="005269EA">
            <w:pPr>
              <w:rPr>
                <w:rFonts w:cstheme="minorHAnsi"/>
                <w:b/>
                <w:bCs/>
              </w:rPr>
            </w:pPr>
          </w:p>
        </w:tc>
        <w:tc>
          <w:tcPr>
            <w:tcW w:w="2337" w:type="dxa"/>
          </w:tcPr>
          <w:p w14:paraId="0CE0EC9E" w14:textId="77777777" w:rsidR="00687352" w:rsidRPr="002461C9" w:rsidRDefault="00687352" w:rsidP="005269EA">
            <w:pPr>
              <w:jc w:val="center"/>
              <w:rPr>
                <w:rFonts w:cstheme="minorHAnsi"/>
                <w:b/>
                <w:bCs/>
              </w:rPr>
            </w:pPr>
            <w:r w:rsidRPr="002461C9">
              <w:rPr>
                <w:rFonts w:cstheme="minorHAnsi"/>
                <w:b/>
                <w:bCs/>
              </w:rPr>
              <w:t>Combined</w:t>
            </w:r>
          </w:p>
        </w:tc>
        <w:tc>
          <w:tcPr>
            <w:tcW w:w="2338" w:type="dxa"/>
          </w:tcPr>
          <w:p w14:paraId="2BE22DF6" w14:textId="77777777" w:rsidR="00687352" w:rsidRPr="002461C9" w:rsidRDefault="00687352" w:rsidP="005269EA">
            <w:pPr>
              <w:jc w:val="center"/>
              <w:rPr>
                <w:rFonts w:cstheme="minorHAnsi"/>
                <w:b/>
                <w:bCs/>
              </w:rPr>
            </w:pPr>
            <w:proofErr w:type="spellStart"/>
            <w:r w:rsidRPr="002461C9">
              <w:rPr>
                <w:rFonts w:cstheme="minorHAnsi"/>
                <w:b/>
                <w:bCs/>
              </w:rPr>
              <w:t>Basak</w:t>
            </w:r>
            <w:proofErr w:type="spellEnd"/>
            <w:r w:rsidRPr="002461C9">
              <w:rPr>
                <w:rFonts w:cstheme="minorHAnsi"/>
                <w:b/>
                <w:bCs/>
              </w:rPr>
              <w:t xml:space="preserve"> lab</w:t>
            </w:r>
          </w:p>
        </w:tc>
        <w:tc>
          <w:tcPr>
            <w:tcW w:w="2338" w:type="dxa"/>
          </w:tcPr>
          <w:p w14:paraId="1F09FFF1" w14:textId="77777777" w:rsidR="00687352" w:rsidRPr="002461C9" w:rsidRDefault="00687352" w:rsidP="005269EA">
            <w:pPr>
              <w:jc w:val="center"/>
              <w:rPr>
                <w:rFonts w:cstheme="minorHAnsi"/>
                <w:b/>
                <w:bCs/>
              </w:rPr>
            </w:pPr>
            <w:proofErr w:type="spellStart"/>
            <w:r w:rsidRPr="002461C9">
              <w:rPr>
                <w:rFonts w:cstheme="minorHAnsi"/>
                <w:b/>
                <w:bCs/>
              </w:rPr>
              <w:t>Diudea</w:t>
            </w:r>
            <w:proofErr w:type="spellEnd"/>
            <w:r w:rsidRPr="002461C9">
              <w:rPr>
                <w:rFonts w:cstheme="minorHAnsi"/>
                <w:b/>
                <w:bCs/>
              </w:rPr>
              <w:t xml:space="preserve"> lab</w:t>
            </w:r>
          </w:p>
        </w:tc>
      </w:tr>
      <w:tr w:rsidR="00687352" w:rsidRPr="002461C9" w14:paraId="4F3C2480" w14:textId="77777777" w:rsidTr="002461C9">
        <w:tc>
          <w:tcPr>
            <w:tcW w:w="2337" w:type="dxa"/>
          </w:tcPr>
          <w:p w14:paraId="3BC533F6" w14:textId="77777777" w:rsidR="00687352" w:rsidRPr="002461C9" w:rsidRDefault="00687352" w:rsidP="005269EA">
            <w:pPr>
              <w:rPr>
                <w:rFonts w:cstheme="minorHAnsi"/>
                <w:b/>
                <w:bCs/>
              </w:rPr>
            </w:pPr>
            <w:r w:rsidRPr="002461C9">
              <w:rPr>
                <w:rFonts w:cstheme="minorHAnsi"/>
                <w:b/>
                <w:bCs/>
              </w:rPr>
              <w:t>PCR</w:t>
            </w:r>
          </w:p>
        </w:tc>
        <w:tc>
          <w:tcPr>
            <w:tcW w:w="2337" w:type="dxa"/>
          </w:tcPr>
          <w:p w14:paraId="17673BE3" w14:textId="4AC176A2" w:rsidR="00687352" w:rsidRPr="002461C9" w:rsidRDefault="00687352"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b/>
                <w:bCs/>
                <w:color w:val="000000"/>
                <w:sz w:val="22"/>
                <w:szCs w:val="22"/>
              </w:rPr>
              <w:t>29.11</w:t>
            </w:r>
            <w:r w:rsidR="00F96E47" w:rsidRPr="002461C9">
              <w:rPr>
                <w:rFonts w:asciiTheme="minorHAnsi" w:hAnsiTheme="minorHAnsi" w:cstheme="minorHAnsi"/>
                <w:b/>
                <w:bCs/>
                <w:color w:val="000000"/>
                <w:sz w:val="22"/>
                <w:szCs w:val="22"/>
              </w:rPr>
              <w:t xml:space="preserve"> (</w:t>
            </w:r>
            <w:r w:rsidRPr="002461C9">
              <w:rPr>
                <w:rFonts w:asciiTheme="minorHAnsi" w:hAnsiTheme="minorHAnsi" w:cstheme="minorHAnsi"/>
                <w:b/>
                <w:bCs/>
                <w:color w:val="000000"/>
                <w:sz w:val="22"/>
                <w:szCs w:val="22"/>
              </w:rPr>
              <w:t>13.79</w:t>
            </w:r>
            <w:r w:rsidR="00F96E47" w:rsidRPr="002461C9">
              <w:rPr>
                <w:rFonts w:asciiTheme="minorHAnsi" w:hAnsiTheme="minorHAnsi" w:cstheme="minorHAnsi"/>
                <w:b/>
                <w:bCs/>
                <w:color w:val="000000"/>
                <w:sz w:val="22"/>
                <w:szCs w:val="22"/>
              </w:rPr>
              <w:t>)</w:t>
            </w:r>
          </w:p>
        </w:tc>
        <w:tc>
          <w:tcPr>
            <w:tcW w:w="2338" w:type="dxa"/>
          </w:tcPr>
          <w:p w14:paraId="6E712CEF" w14:textId="7E379DDE" w:rsidR="00687352" w:rsidRPr="002461C9" w:rsidRDefault="00F96E47" w:rsidP="00246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stheme="minorHAnsi"/>
                <w:b/>
                <w:bCs/>
                <w:color w:val="000000"/>
                <w:lang w:bidi="bn-IN"/>
              </w:rPr>
            </w:pPr>
            <w:r w:rsidRPr="002461C9">
              <w:rPr>
                <w:rFonts w:cstheme="minorHAnsi"/>
                <w:color w:val="000000"/>
              </w:rPr>
              <w:t xml:space="preserve">57.08 </w:t>
            </w:r>
            <w:r w:rsidR="00DF7488">
              <w:rPr>
                <w:rFonts w:cstheme="minorHAnsi"/>
                <w:color w:val="000000"/>
              </w:rPr>
              <w:t>(</w:t>
            </w:r>
            <w:r w:rsidRPr="002461C9">
              <w:rPr>
                <w:rFonts w:cstheme="minorHAnsi"/>
                <w:color w:val="000000"/>
              </w:rPr>
              <w:t>93.829)</w:t>
            </w:r>
          </w:p>
        </w:tc>
        <w:tc>
          <w:tcPr>
            <w:tcW w:w="2338" w:type="dxa"/>
          </w:tcPr>
          <w:p w14:paraId="06D5B2E1" w14:textId="3EF6C80D" w:rsidR="00687352" w:rsidRPr="002461C9" w:rsidRDefault="00F96E47" w:rsidP="002461C9">
            <w:pPr>
              <w:pStyle w:val="HTMLPreformatted"/>
              <w:shd w:val="clear" w:color="auto" w:fill="FFFFFF"/>
              <w:wordWrap w:val="0"/>
              <w:spacing w:line="225" w:lineRule="atLeast"/>
              <w:jc w:val="center"/>
              <w:rPr>
                <w:rFonts w:asciiTheme="minorHAnsi" w:hAnsiTheme="minorHAnsi" w:cstheme="minorHAnsi"/>
                <w:color w:val="000000"/>
                <w:sz w:val="22"/>
                <w:szCs w:val="22"/>
              </w:rPr>
            </w:pPr>
            <w:r w:rsidRPr="002461C9">
              <w:rPr>
                <w:rFonts w:asciiTheme="minorHAnsi" w:hAnsiTheme="minorHAnsi" w:cstheme="minorHAnsi"/>
                <w:color w:val="000000"/>
                <w:sz w:val="22"/>
                <w:szCs w:val="22"/>
              </w:rPr>
              <w:t>76.02 (24.72)</w:t>
            </w:r>
          </w:p>
        </w:tc>
      </w:tr>
      <w:tr w:rsidR="00687352" w:rsidRPr="002461C9" w14:paraId="6B6F4DD6" w14:textId="77777777" w:rsidTr="002461C9">
        <w:tc>
          <w:tcPr>
            <w:tcW w:w="2337" w:type="dxa"/>
          </w:tcPr>
          <w:p w14:paraId="51511645" w14:textId="77777777" w:rsidR="00687352" w:rsidRPr="002461C9" w:rsidRDefault="00687352" w:rsidP="005269EA">
            <w:pPr>
              <w:rPr>
                <w:rFonts w:cstheme="minorHAnsi"/>
                <w:b/>
                <w:bCs/>
              </w:rPr>
            </w:pPr>
            <w:r w:rsidRPr="002461C9">
              <w:rPr>
                <w:rFonts w:cstheme="minorHAnsi"/>
                <w:b/>
                <w:bCs/>
              </w:rPr>
              <w:t>PLS</w:t>
            </w:r>
          </w:p>
        </w:tc>
        <w:tc>
          <w:tcPr>
            <w:tcW w:w="2337" w:type="dxa"/>
          </w:tcPr>
          <w:p w14:paraId="2ED031C1" w14:textId="749E4A9E" w:rsidR="00687352" w:rsidRPr="002461C9" w:rsidRDefault="00F96E47"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b/>
                <w:bCs/>
                <w:color w:val="000000"/>
                <w:sz w:val="22"/>
                <w:szCs w:val="22"/>
              </w:rPr>
              <w:t>18.86 (6.03)</w:t>
            </w:r>
          </w:p>
        </w:tc>
        <w:tc>
          <w:tcPr>
            <w:tcW w:w="2338" w:type="dxa"/>
          </w:tcPr>
          <w:p w14:paraId="0411870B" w14:textId="5ED6CEE0" w:rsidR="00687352" w:rsidRPr="002461C9" w:rsidRDefault="00F96E47" w:rsidP="002461C9">
            <w:pPr>
              <w:pStyle w:val="HTMLPreformatted"/>
              <w:shd w:val="clear" w:color="auto" w:fill="FFFFFF"/>
              <w:wordWrap w:val="0"/>
              <w:spacing w:line="225" w:lineRule="atLeast"/>
              <w:jc w:val="center"/>
              <w:rPr>
                <w:rFonts w:asciiTheme="minorHAnsi" w:hAnsiTheme="minorHAnsi" w:cstheme="minorHAnsi"/>
                <w:sz w:val="22"/>
                <w:szCs w:val="22"/>
              </w:rPr>
            </w:pPr>
            <w:r w:rsidRPr="002461C9">
              <w:rPr>
                <w:rFonts w:asciiTheme="minorHAnsi" w:hAnsiTheme="minorHAnsi" w:cstheme="minorHAnsi"/>
                <w:color w:val="000000"/>
                <w:sz w:val="22"/>
                <w:szCs w:val="22"/>
              </w:rPr>
              <w:t>19.86 (7.464)</w:t>
            </w:r>
          </w:p>
        </w:tc>
        <w:tc>
          <w:tcPr>
            <w:tcW w:w="2338" w:type="dxa"/>
          </w:tcPr>
          <w:p w14:paraId="2F7660E0" w14:textId="6C873AB5" w:rsidR="00687352" w:rsidRPr="002461C9" w:rsidRDefault="00F96E47" w:rsidP="002461C9">
            <w:pPr>
              <w:pStyle w:val="HTMLPreformatted"/>
              <w:shd w:val="clear" w:color="auto" w:fill="FFFFFF"/>
              <w:wordWrap w:val="0"/>
              <w:spacing w:line="225" w:lineRule="atLeast"/>
              <w:jc w:val="center"/>
              <w:rPr>
                <w:rFonts w:asciiTheme="minorHAnsi" w:hAnsiTheme="minorHAnsi" w:cstheme="minorHAnsi"/>
                <w:color w:val="000000"/>
                <w:sz w:val="22"/>
                <w:szCs w:val="22"/>
              </w:rPr>
            </w:pPr>
            <w:r w:rsidRPr="002461C9">
              <w:rPr>
                <w:rFonts w:asciiTheme="minorHAnsi" w:hAnsiTheme="minorHAnsi" w:cstheme="minorHAnsi"/>
                <w:color w:val="000000"/>
                <w:sz w:val="22"/>
                <w:szCs w:val="22"/>
              </w:rPr>
              <w:t>75.70 (24.689)</w:t>
            </w:r>
          </w:p>
        </w:tc>
      </w:tr>
      <w:tr w:rsidR="00687352" w:rsidRPr="002461C9" w14:paraId="0E4A70DB" w14:textId="77777777" w:rsidTr="002461C9">
        <w:tc>
          <w:tcPr>
            <w:tcW w:w="2337" w:type="dxa"/>
          </w:tcPr>
          <w:p w14:paraId="2809EA21" w14:textId="77777777" w:rsidR="00687352" w:rsidRPr="002461C9" w:rsidRDefault="00687352" w:rsidP="005269EA">
            <w:pPr>
              <w:rPr>
                <w:rFonts w:cstheme="minorHAnsi"/>
                <w:b/>
                <w:bCs/>
              </w:rPr>
            </w:pPr>
            <w:r w:rsidRPr="002461C9">
              <w:rPr>
                <w:rFonts w:cstheme="minorHAnsi"/>
                <w:b/>
                <w:bCs/>
              </w:rPr>
              <w:t>Lasso</w:t>
            </w:r>
          </w:p>
        </w:tc>
        <w:tc>
          <w:tcPr>
            <w:tcW w:w="2337" w:type="dxa"/>
          </w:tcPr>
          <w:p w14:paraId="1F67B04F" w14:textId="6E93B8C6" w:rsidR="00687352" w:rsidRPr="002461C9" w:rsidRDefault="00F96E47"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b/>
                <w:bCs/>
                <w:color w:val="000000"/>
                <w:sz w:val="22"/>
                <w:szCs w:val="22"/>
              </w:rPr>
              <w:t>26.85 (9.049)</w:t>
            </w:r>
          </w:p>
        </w:tc>
        <w:tc>
          <w:tcPr>
            <w:tcW w:w="2338" w:type="dxa"/>
          </w:tcPr>
          <w:p w14:paraId="67E382A4" w14:textId="788732D0" w:rsidR="00687352" w:rsidRPr="002461C9" w:rsidRDefault="00F96E47"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color w:val="000000"/>
                <w:sz w:val="22"/>
                <w:szCs w:val="22"/>
              </w:rPr>
              <w:t>28.72 (8.825)</w:t>
            </w:r>
          </w:p>
        </w:tc>
        <w:tc>
          <w:tcPr>
            <w:tcW w:w="2338" w:type="dxa"/>
          </w:tcPr>
          <w:p w14:paraId="1E17B368" w14:textId="4388BBEB" w:rsidR="00687352" w:rsidRPr="002461C9" w:rsidRDefault="00F96E47" w:rsidP="002461C9">
            <w:pPr>
              <w:jc w:val="center"/>
              <w:rPr>
                <w:rFonts w:cstheme="minorHAnsi"/>
              </w:rPr>
            </w:pPr>
            <w:r w:rsidRPr="002461C9">
              <w:rPr>
                <w:rFonts w:cstheme="minorHAnsi"/>
                <w:color w:val="000000"/>
              </w:rPr>
              <w:t>72.75 (17.998)</w:t>
            </w:r>
          </w:p>
        </w:tc>
      </w:tr>
      <w:tr w:rsidR="00687352" w:rsidRPr="002461C9" w14:paraId="7FBB4A46" w14:textId="77777777" w:rsidTr="002461C9">
        <w:tc>
          <w:tcPr>
            <w:tcW w:w="2337" w:type="dxa"/>
          </w:tcPr>
          <w:p w14:paraId="58D82D64" w14:textId="77777777" w:rsidR="00687352" w:rsidRPr="002461C9" w:rsidRDefault="00687352" w:rsidP="005269EA">
            <w:pPr>
              <w:rPr>
                <w:rFonts w:cstheme="minorHAnsi"/>
                <w:b/>
                <w:bCs/>
              </w:rPr>
            </w:pPr>
            <w:r w:rsidRPr="002461C9">
              <w:rPr>
                <w:rFonts w:cstheme="minorHAnsi"/>
                <w:b/>
                <w:bCs/>
              </w:rPr>
              <w:t>SCAD</w:t>
            </w:r>
          </w:p>
        </w:tc>
        <w:tc>
          <w:tcPr>
            <w:tcW w:w="2337" w:type="dxa"/>
          </w:tcPr>
          <w:p w14:paraId="78523921" w14:textId="0946FC91" w:rsidR="00687352" w:rsidRPr="002461C9" w:rsidRDefault="002461C9"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b/>
                <w:bCs/>
                <w:color w:val="000000"/>
                <w:sz w:val="22"/>
                <w:szCs w:val="22"/>
              </w:rPr>
              <w:t>25.81 (8.962)</w:t>
            </w:r>
          </w:p>
        </w:tc>
        <w:tc>
          <w:tcPr>
            <w:tcW w:w="2338" w:type="dxa"/>
          </w:tcPr>
          <w:p w14:paraId="0566A519" w14:textId="1B4F3339" w:rsidR="00687352" w:rsidRPr="002461C9" w:rsidRDefault="002461C9" w:rsidP="002461C9">
            <w:pPr>
              <w:jc w:val="center"/>
              <w:rPr>
                <w:rFonts w:cstheme="minorHAnsi"/>
              </w:rPr>
            </w:pPr>
            <w:r w:rsidRPr="002461C9">
              <w:rPr>
                <w:rFonts w:cstheme="minorHAnsi"/>
                <w:color w:val="000000"/>
              </w:rPr>
              <w:t>31.77 (21.442)</w:t>
            </w:r>
          </w:p>
        </w:tc>
        <w:tc>
          <w:tcPr>
            <w:tcW w:w="2338" w:type="dxa"/>
          </w:tcPr>
          <w:p w14:paraId="4DD8582B" w14:textId="52AD4E47" w:rsidR="00687352" w:rsidRPr="002461C9" w:rsidRDefault="002461C9" w:rsidP="002461C9">
            <w:pPr>
              <w:jc w:val="center"/>
              <w:rPr>
                <w:rFonts w:cstheme="minorHAnsi"/>
                <w:b/>
                <w:bCs/>
              </w:rPr>
            </w:pPr>
            <w:r w:rsidRPr="002461C9">
              <w:rPr>
                <w:rFonts w:cstheme="minorHAnsi"/>
                <w:color w:val="000000"/>
              </w:rPr>
              <w:t>74.94 (18.322)</w:t>
            </w:r>
          </w:p>
        </w:tc>
      </w:tr>
      <w:tr w:rsidR="00687352" w:rsidRPr="002461C9" w14:paraId="331E2A03" w14:textId="77777777" w:rsidTr="002461C9">
        <w:tc>
          <w:tcPr>
            <w:tcW w:w="2337" w:type="dxa"/>
          </w:tcPr>
          <w:p w14:paraId="4F1D6BC5" w14:textId="77777777" w:rsidR="00687352" w:rsidRPr="002461C9" w:rsidRDefault="00687352" w:rsidP="005269EA">
            <w:pPr>
              <w:rPr>
                <w:rFonts w:cstheme="minorHAnsi"/>
                <w:b/>
                <w:bCs/>
              </w:rPr>
            </w:pPr>
            <w:r w:rsidRPr="002461C9">
              <w:rPr>
                <w:rFonts w:cstheme="minorHAnsi"/>
                <w:b/>
                <w:bCs/>
              </w:rPr>
              <w:t>RF</w:t>
            </w:r>
          </w:p>
        </w:tc>
        <w:tc>
          <w:tcPr>
            <w:tcW w:w="2337" w:type="dxa"/>
          </w:tcPr>
          <w:p w14:paraId="36BC46A6" w14:textId="6B98C7CC" w:rsidR="00687352" w:rsidRPr="002461C9" w:rsidRDefault="002461C9"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b/>
                <w:bCs/>
                <w:color w:val="000000"/>
                <w:sz w:val="22"/>
                <w:szCs w:val="22"/>
              </w:rPr>
              <w:t>17.25 (6.498)</w:t>
            </w:r>
          </w:p>
        </w:tc>
        <w:tc>
          <w:tcPr>
            <w:tcW w:w="2338" w:type="dxa"/>
          </w:tcPr>
          <w:p w14:paraId="6FEF1F3A" w14:textId="1F7DE0BD" w:rsidR="00687352" w:rsidRPr="002461C9" w:rsidRDefault="002461C9" w:rsidP="002461C9">
            <w:pPr>
              <w:jc w:val="center"/>
              <w:rPr>
                <w:rFonts w:cstheme="minorHAnsi"/>
              </w:rPr>
            </w:pPr>
            <w:r w:rsidRPr="002461C9">
              <w:rPr>
                <w:rFonts w:cstheme="minorHAnsi"/>
                <w:color w:val="000000"/>
              </w:rPr>
              <w:t>18.98 (6.587)</w:t>
            </w:r>
          </w:p>
        </w:tc>
        <w:tc>
          <w:tcPr>
            <w:tcW w:w="2338" w:type="dxa"/>
          </w:tcPr>
          <w:p w14:paraId="438DD481" w14:textId="2ADBE492" w:rsidR="00687352" w:rsidRPr="002461C9" w:rsidRDefault="002461C9" w:rsidP="002461C9">
            <w:pPr>
              <w:jc w:val="center"/>
              <w:rPr>
                <w:rFonts w:cstheme="minorHAnsi"/>
              </w:rPr>
            </w:pPr>
            <w:r w:rsidRPr="002461C9">
              <w:rPr>
                <w:rFonts w:cstheme="minorHAnsi"/>
                <w:color w:val="000000"/>
              </w:rPr>
              <w:t>84.59 (21.735)</w:t>
            </w:r>
          </w:p>
        </w:tc>
      </w:tr>
      <w:tr w:rsidR="00687352" w:rsidRPr="002461C9" w14:paraId="398EC480" w14:textId="77777777" w:rsidTr="002461C9">
        <w:tc>
          <w:tcPr>
            <w:tcW w:w="2337" w:type="dxa"/>
          </w:tcPr>
          <w:p w14:paraId="273E8411" w14:textId="77777777" w:rsidR="00687352" w:rsidRPr="002461C9" w:rsidRDefault="00687352" w:rsidP="005269EA">
            <w:pPr>
              <w:rPr>
                <w:rFonts w:cstheme="minorHAnsi"/>
                <w:b/>
                <w:bCs/>
              </w:rPr>
            </w:pPr>
            <w:r w:rsidRPr="002461C9">
              <w:rPr>
                <w:rFonts w:cstheme="minorHAnsi"/>
                <w:b/>
                <w:bCs/>
              </w:rPr>
              <w:t>GBM</w:t>
            </w:r>
          </w:p>
        </w:tc>
        <w:tc>
          <w:tcPr>
            <w:tcW w:w="2337" w:type="dxa"/>
          </w:tcPr>
          <w:p w14:paraId="245D44E3" w14:textId="5D3324F8" w:rsidR="00687352" w:rsidRPr="002461C9" w:rsidRDefault="002461C9" w:rsidP="002461C9">
            <w:pPr>
              <w:pStyle w:val="HTMLPreformatted"/>
              <w:shd w:val="clear" w:color="auto" w:fill="FFFFFF"/>
              <w:wordWrap w:val="0"/>
              <w:spacing w:line="225" w:lineRule="atLeast"/>
              <w:jc w:val="center"/>
              <w:rPr>
                <w:rFonts w:asciiTheme="minorHAnsi" w:hAnsiTheme="minorHAnsi" w:cstheme="minorHAnsi"/>
                <w:b/>
                <w:bCs/>
                <w:color w:val="000000"/>
                <w:sz w:val="22"/>
                <w:szCs w:val="22"/>
              </w:rPr>
            </w:pPr>
            <w:r w:rsidRPr="002461C9">
              <w:rPr>
                <w:rFonts w:asciiTheme="minorHAnsi" w:hAnsiTheme="minorHAnsi" w:cstheme="minorHAnsi"/>
                <w:b/>
                <w:bCs/>
                <w:color w:val="000000"/>
                <w:sz w:val="22"/>
                <w:szCs w:val="22"/>
              </w:rPr>
              <w:t>14.79 (5.836)</w:t>
            </w:r>
          </w:p>
        </w:tc>
        <w:tc>
          <w:tcPr>
            <w:tcW w:w="2338" w:type="dxa"/>
          </w:tcPr>
          <w:p w14:paraId="29288199" w14:textId="6F26BB38" w:rsidR="00687352" w:rsidRPr="002461C9" w:rsidRDefault="002461C9" w:rsidP="002461C9">
            <w:pPr>
              <w:jc w:val="center"/>
              <w:rPr>
                <w:rFonts w:cstheme="minorHAnsi"/>
                <w:b/>
                <w:bCs/>
              </w:rPr>
            </w:pPr>
            <w:r w:rsidRPr="002461C9">
              <w:rPr>
                <w:rFonts w:cstheme="minorHAnsi"/>
                <w:color w:val="000000"/>
              </w:rPr>
              <w:t>18.03 (6.296)</w:t>
            </w:r>
          </w:p>
        </w:tc>
        <w:tc>
          <w:tcPr>
            <w:tcW w:w="2338" w:type="dxa"/>
          </w:tcPr>
          <w:p w14:paraId="120088DA" w14:textId="640BD4A5" w:rsidR="00687352" w:rsidRPr="002461C9" w:rsidRDefault="002461C9" w:rsidP="002461C9">
            <w:pPr>
              <w:jc w:val="center"/>
              <w:rPr>
                <w:rFonts w:cstheme="minorHAnsi"/>
              </w:rPr>
            </w:pPr>
            <w:r w:rsidRPr="002461C9">
              <w:rPr>
                <w:rFonts w:cstheme="minorHAnsi"/>
                <w:color w:val="000000"/>
              </w:rPr>
              <w:t>74.78 (17.426)</w:t>
            </w:r>
          </w:p>
        </w:tc>
      </w:tr>
    </w:tbl>
    <w:p w14:paraId="3B973EA2" w14:textId="3B237187" w:rsidR="00687352" w:rsidRDefault="00687352" w:rsidP="00687352">
      <w:pPr>
        <w:tabs>
          <w:tab w:val="left" w:pos="1935"/>
        </w:tabs>
      </w:pPr>
    </w:p>
    <w:p w14:paraId="1F06526C" w14:textId="72502B30" w:rsidR="002524EB" w:rsidRDefault="002524EB" w:rsidP="00687352">
      <w:pPr>
        <w:tabs>
          <w:tab w:val="left" w:pos="1935"/>
        </w:tabs>
      </w:pPr>
      <w:r>
        <w:t>PCR = Principal Component Regression</w:t>
      </w:r>
      <w:r>
        <w:br/>
        <w:t>PLS = Partial Least Squares</w:t>
      </w:r>
      <w:r>
        <w:br/>
        <w:t>Lasso = Least Absolute Shrinkage and Selection Operator</w:t>
      </w:r>
      <w:r>
        <w:br/>
        <w:t>SCAD = Smoothly Clipped Absolute Deviation penalty</w:t>
      </w:r>
      <w:r>
        <w:br/>
        <w:t>RF = Random Forest</w:t>
      </w:r>
      <w:r>
        <w:br/>
        <w:t>GBM = Gradient Boosting Machine</w:t>
      </w:r>
    </w:p>
    <w:p w14:paraId="59C70ABA" w14:textId="6F171CE9" w:rsidR="002461C9" w:rsidRDefault="002461C9" w:rsidP="00687352">
      <w:pPr>
        <w:tabs>
          <w:tab w:val="left" w:pos="1935"/>
        </w:tabs>
      </w:pPr>
      <w:r>
        <w:t>Observations:</w:t>
      </w:r>
    </w:p>
    <w:p w14:paraId="625C5267" w14:textId="1FCC68A3" w:rsidR="002461C9" w:rsidRDefault="008331CA" w:rsidP="00687352">
      <w:pPr>
        <w:tabs>
          <w:tab w:val="left" w:pos="1935"/>
        </w:tabs>
      </w:pPr>
      <w:r>
        <w:t>For all descriptor sets, PLS has the best performance</w:t>
      </w:r>
      <w:r w:rsidR="00DF7488">
        <w:t xml:space="preserve"> among all methods, while Boosting performs the best for the 95 amines data.</w:t>
      </w:r>
    </w:p>
    <w:p w14:paraId="7FD6E816" w14:textId="12E1E4E9" w:rsidR="00DF7488" w:rsidRDefault="00DF7488" w:rsidP="00687352">
      <w:pPr>
        <w:tabs>
          <w:tab w:val="left" w:pos="1935"/>
        </w:tabs>
      </w:pPr>
      <w:r>
        <w:t>Methods that depend directly on</w:t>
      </w:r>
      <w:r w:rsidR="007670B3">
        <w:t xml:space="preserve"> sparse</w:t>
      </w:r>
      <w:r>
        <w:t xml:space="preserve"> linear combinations of predictors: Lasso, SCAD do not perform well in either case. This means there is high degree of nonlinearity among the relationship between the responses and predictors</w:t>
      </w:r>
      <w:r w:rsidR="007670B3">
        <w:t>, and activities of compounds are more dependent on lower-dimensional subspaces in the predictor space than individual predictors.</w:t>
      </w:r>
      <w:bookmarkStart w:id="0" w:name="_GoBack"/>
      <w:bookmarkEnd w:id="0"/>
    </w:p>
    <w:p w14:paraId="6A799A69" w14:textId="2BBD95A9" w:rsidR="00DF7488" w:rsidRDefault="00DF7488" w:rsidP="00687352">
      <w:pPr>
        <w:tabs>
          <w:tab w:val="left" w:pos="1935"/>
        </w:tabs>
      </w:pPr>
      <w:r>
        <w:t>PLS performs well in both cases. This implies there are low-dimensional substructures in the predictor spaces that are predictive of the responses.</w:t>
      </w:r>
    </w:p>
    <w:p w14:paraId="2323368F" w14:textId="1DDC6B1A" w:rsidR="00DF7488" w:rsidRPr="00687352" w:rsidRDefault="00DF7488" w:rsidP="00687352">
      <w:pPr>
        <w:tabs>
          <w:tab w:val="left" w:pos="1935"/>
        </w:tabs>
      </w:pPr>
      <w:r>
        <w:t>For the 508 compound</w:t>
      </w:r>
      <w:r w:rsidR="002524EB">
        <w:t>s</w:t>
      </w:r>
      <w:r>
        <w:t xml:space="preserve">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sectPr w:rsidR="00DF7488" w:rsidRPr="00687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4D"/>
    <w:rsid w:val="002461C9"/>
    <w:rsid w:val="002524EB"/>
    <w:rsid w:val="00687352"/>
    <w:rsid w:val="007670B3"/>
    <w:rsid w:val="008331CA"/>
    <w:rsid w:val="00990000"/>
    <w:rsid w:val="00B44C4D"/>
    <w:rsid w:val="00BE16BB"/>
    <w:rsid w:val="00C00B6D"/>
    <w:rsid w:val="00DF7488"/>
    <w:rsid w:val="00E66B26"/>
    <w:rsid w:val="00F96E4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4014"/>
  <w15:chartTrackingRefBased/>
  <w15:docId w15:val="{973967F1-8656-4465-9908-FF180B79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E1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BE16BB"/>
    <w:rPr>
      <w:rFonts w:ascii="Courier New" w:eastAsia="Times New Roman" w:hAnsi="Courier New" w:cs="Courier New"/>
      <w:sz w:val="20"/>
      <w:szCs w:val="20"/>
      <w:lang w:bidi="bn-IN"/>
    </w:rPr>
  </w:style>
  <w:style w:type="paragraph" w:styleId="Caption">
    <w:name w:val="caption"/>
    <w:basedOn w:val="Normal"/>
    <w:next w:val="Normal"/>
    <w:uiPriority w:val="35"/>
    <w:unhideWhenUsed/>
    <w:qFormat/>
    <w:rsid w:val="00C00B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17068">
      <w:bodyDiv w:val="1"/>
      <w:marLeft w:val="0"/>
      <w:marRight w:val="0"/>
      <w:marTop w:val="0"/>
      <w:marBottom w:val="0"/>
      <w:divBdr>
        <w:top w:val="none" w:sz="0" w:space="0" w:color="auto"/>
        <w:left w:val="none" w:sz="0" w:space="0" w:color="auto"/>
        <w:bottom w:val="none" w:sz="0" w:space="0" w:color="auto"/>
        <w:right w:val="none" w:sz="0" w:space="0" w:color="auto"/>
      </w:divBdr>
    </w:div>
    <w:div w:id="565266341">
      <w:bodyDiv w:val="1"/>
      <w:marLeft w:val="0"/>
      <w:marRight w:val="0"/>
      <w:marTop w:val="0"/>
      <w:marBottom w:val="0"/>
      <w:divBdr>
        <w:top w:val="none" w:sz="0" w:space="0" w:color="auto"/>
        <w:left w:val="none" w:sz="0" w:space="0" w:color="auto"/>
        <w:bottom w:val="none" w:sz="0" w:space="0" w:color="auto"/>
        <w:right w:val="none" w:sz="0" w:space="0" w:color="auto"/>
      </w:divBdr>
    </w:div>
    <w:div w:id="756443023">
      <w:bodyDiv w:val="1"/>
      <w:marLeft w:val="0"/>
      <w:marRight w:val="0"/>
      <w:marTop w:val="0"/>
      <w:marBottom w:val="0"/>
      <w:divBdr>
        <w:top w:val="none" w:sz="0" w:space="0" w:color="auto"/>
        <w:left w:val="none" w:sz="0" w:space="0" w:color="auto"/>
        <w:bottom w:val="none" w:sz="0" w:space="0" w:color="auto"/>
        <w:right w:val="none" w:sz="0" w:space="0" w:color="auto"/>
      </w:divBdr>
    </w:div>
    <w:div w:id="956568706">
      <w:bodyDiv w:val="1"/>
      <w:marLeft w:val="0"/>
      <w:marRight w:val="0"/>
      <w:marTop w:val="0"/>
      <w:marBottom w:val="0"/>
      <w:divBdr>
        <w:top w:val="none" w:sz="0" w:space="0" w:color="auto"/>
        <w:left w:val="none" w:sz="0" w:space="0" w:color="auto"/>
        <w:bottom w:val="none" w:sz="0" w:space="0" w:color="auto"/>
        <w:right w:val="none" w:sz="0" w:space="0" w:color="auto"/>
      </w:divBdr>
    </w:div>
    <w:div w:id="994919185">
      <w:bodyDiv w:val="1"/>
      <w:marLeft w:val="0"/>
      <w:marRight w:val="0"/>
      <w:marTop w:val="0"/>
      <w:marBottom w:val="0"/>
      <w:divBdr>
        <w:top w:val="none" w:sz="0" w:space="0" w:color="auto"/>
        <w:left w:val="none" w:sz="0" w:space="0" w:color="auto"/>
        <w:bottom w:val="none" w:sz="0" w:space="0" w:color="auto"/>
        <w:right w:val="none" w:sz="0" w:space="0" w:color="auto"/>
      </w:divBdr>
    </w:div>
    <w:div w:id="1211838589">
      <w:bodyDiv w:val="1"/>
      <w:marLeft w:val="0"/>
      <w:marRight w:val="0"/>
      <w:marTop w:val="0"/>
      <w:marBottom w:val="0"/>
      <w:divBdr>
        <w:top w:val="none" w:sz="0" w:space="0" w:color="auto"/>
        <w:left w:val="none" w:sz="0" w:space="0" w:color="auto"/>
        <w:bottom w:val="none" w:sz="0" w:space="0" w:color="auto"/>
        <w:right w:val="none" w:sz="0" w:space="0" w:color="auto"/>
      </w:divBdr>
    </w:div>
    <w:div w:id="1520896598">
      <w:bodyDiv w:val="1"/>
      <w:marLeft w:val="0"/>
      <w:marRight w:val="0"/>
      <w:marTop w:val="0"/>
      <w:marBottom w:val="0"/>
      <w:divBdr>
        <w:top w:val="none" w:sz="0" w:space="0" w:color="auto"/>
        <w:left w:val="none" w:sz="0" w:space="0" w:color="auto"/>
        <w:bottom w:val="none" w:sz="0" w:space="0" w:color="auto"/>
        <w:right w:val="none" w:sz="0" w:space="0" w:color="auto"/>
      </w:divBdr>
    </w:div>
    <w:div w:id="1548688638">
      <w:bodyDiv w:val="1"/>
      <w:marLeft w:val="0"/>
      <w:marRight w:val="0"/>
      <w:marTop w:val="0"/>
      <w:marBottom w:val="0"/>
      <w:divBdr>
        <w:top w:val="none" w:sz="0" w:space="0" w:color="auto"/>
        <w:left w:val="none" w:sz="0" w:space="0" w:color="auto"/>
        <w:bottom w:val="none" w:sz="0" w:space="0" w:color="auto"/>
        <w:right w:val="none" w:sz="0" w:space="0" w:color="auto"/>
      </w:divBdr>
    </w:div>
    <w:div w:id="1566257337">
      <w:bodyDiv w:val="1"/>
      <w:marLeft w:val="0"/>
      <w:marRight w:val="0"/>
      <w:marTop w:val="0"/>
      <w:marBottom w:val="0"/>
      <w:divBdr>
        <w:top w:val="none" w:sz="0" w:space="0" w:color="auto"/>
        <w:left w:val="none" w:sz="0" w:space="0" w:color="auto"/>
        <w:bottom w:val="none" w:sz="0" w:space="0" w:color="auto"/>
        <w:right w:val="none" w:sz="0" w:space="0" w:color="auto"/>
      </w:divBdr>
    </w:div>
    <w:div w:id="1652826855">
      <w:bodyDiv w:val="1"/>
      <w:marLeft w:val="0"/>
      <w:marRight w:val="0"/>
      <w:marTop w:val="0"/>
      <w:marBottom w:val="0"/>
      <w:divBdr>
        <w:top w:val="none" w:sz="0" w:space="0" w:color="auto"/>
        <w:left w:val="none" w:sz="0" w:space="0" w:color="auto"/>
        <w:bottom w:val="none" w:sz="0" w:space="0" w:color="auto"/>
        <w:right w:val="none" w:sz="0" w:space="0" w:color="auto"/>
      </w:divBdr>
    </w:div>
    <w:div w:id="1749958891">
      <w:bodyDiv w:val="1"/>
      <w:marLeft w:val="0"/>
      <w:marRight w:val="0"/>
      <w:marTop w:val="0"/>
      <w:marBottom w:val="0"/>
      <w:divBdr>
        <w:top w:val="none" w:sz="0" w:space="0" w:color="auto"/>
        <w:left w:val="none" w:sz="0" w:space="0" w:color="auto"/>
        <w:bottom w:val="none" w:sz="0" w:space="0" w:color="auto"/>
        <w:right w:val="none" w:sz="0" w:space="0" w:color="auto"/>
      </w:divBdr>
    </w:div>
    <w:div w:id="1973711104">
      <w:bodyDiv w:val="1"/>
      <w:marLeft w:val="0"/>
      <w:marRight w:val="0"/>
      <w:marTop w:val="0"/>
      <w:marBottom w:val="0"/>
      <w:divBdr>
        <w:top w:val="none" w:sz="0" w:space="0" w:color="auto"/>
        <w:left w:val="none" w:sz="0" w:space="0" w:color="auto"/>
        <w:bottom w:val="none" w:sz="0" w:space="0" w:color="auto"/>
        <w:right w:val="none" w:sz="0" w:space="0" w:color="auto"/>
      </w:divBdr>
    </w:div>
    <w:div w:id="2008315523">
      <w:bodyDiv w:val="1"/>
      <w:marLeft w:val="0"/>
      <w:marRight w:val="0"/>
      <w:marTop w:val="0"/>
      <w:marBottom w:val="0"/>
      <w:divBdr>
        <w:top w:val="none" w:sz="0" w:space="0" w:color="auto"/>
        <w:left w:val="none" w:sz="0" w:space="0" w:color="auto"/>
        <w:bottom w:val="none" w:sz="0" w:space="0" w:color="auto"/>
        <w:right w:val="none" w:sz="0" w:space="0" w:color="auto"/>
      </w:divBdr>
    </w:div>
    <w:div w:id="207500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7</cp:revision>
  <dcterms:created xsi:type="dcterms:W3CDTF">2018-02-26T23:16:00Z</dcterms:created>
  <dcterms:modified xsi:type="dcterms:W3CDTF">2018-02-27T00:22:00Z</dcterms:modified>
</cp:coreProperties>
</file>