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9A729" w14:textId="77777777" w:rsidR="006F4DDA" w:rsidRPr="00A3270F" w:rsidRDefault="006F4DDA" w:rsidP="006F4DDA">
      <w:pPr>
        <w:pStyle w:val="Articletitle"/>
      </w:pPr>
      <w:r w:rsidRPr="00A3270F">
        <w:t>Mathematical structural descriptors and mutagenicity assessment: A study with congeneric and diverse data sets</w:t>
      </w:r>
    </w:p>
    <w:p w14:paraId="40BE8E76" w14:textId="77777777" w:rsidR="006F4DDA" w:rsidRDefault="006F4DDA" w:rsidP="006F4DDA">
      <w:pPr>
        <w:pStyle w:val="Authornames"/>
      </w:pPr>
      <w:proofErr w:type="spellStart"/>
      <w:r w:rsidRPr="00D50042">
        <w:t>Subhabrata</w:t>
      </w:r>
      <w:proofErr w:type="spellEnd"/>
      <w:r w:rsidRPr="00D50042">
        <w:t xml:space="preserve"> </w:t>
      </w:r>
      <w:proofErr w:type="spellStart"/>
      <w:r w:rsidRPr="00D50042">
        <w:t>Majumdar</w:t>
      </w:r>
      <w:r w:rsidRPr="00394920">
        <w:rPr>
          <w:vertAlign w:val="superscript"/>
        </w:rPr>
        <w:t>a</w:t>
      </w:r>
      <w:proofErr w:type="spellEnd"/>
      <w:r>
        <w:t xml:space="preserve">*, </w:t>
      </w:r>
      <w:r w:rsidRPr="00D50042">
        <w:t xml:space="preserve">Subhash C. </w:t>
      </w:r>
      <w:proofErr w:type="spellStart"/>
      <w:r w:rsidRPr="00D50042">
        <w:t>Basak</w:t>
      </w:r>
      <w:r w:rsidRPr="00394920">
        <w:rPr>
          <w:vertAlign w:val="superscript"/>
        </w:rPr>
        <w:t>b</w:t>
      </w:r>
      <w:proofErr w:type="spellEnd"/>
      <w:r>
        <w:t xml:space="preserve">, </w:t>
      </w:r>
      <w:proofErr w:type="spellStart"/>
      <w:r>
        <w:t>Claudiu</w:t>
      </w:r>
      <w:proofErr w:type="spellEnd"/>
      <w:r>
        <w:t xml:space="preserve"> N. </w:t>
      </w:r>
      <w:proofErr w:type="spellStart"/>
      <w:r>
        <w:t>Lungu</w:t>
      </w:r>
      <w:r>
        <w:rPr>
          <w:vertAlign w:val="superscript"/>
        </w:rPr>
        <w:t>c</w:t>
      </w:r>
      <w:proofErr w:type="spellEnd"/>
      <w:r>
        <w:t xml:space="preserve">, Mircea V. </w:t>
      </w:r>
      <w:proofErr w:type="spellStart"/>
      <w:r>
        <w:t>Diudea</w:t>
      </w:r>
      <w:r>
        <w:rPr>
          <w:vertAlign w:val="superscript"/>
        </w:rPr>
        <w:t>c</w:t>
      </w:r>
      <w:proofErr w:type="spellEnd"/>
      <w:r>
        <w:t xml:space="preserve"> and Gregory D. </w:t>
      </w:r>
      <w:proofErr w:type="spellStart"/>
      <w:r>
        <w:t>Grunwald</w:t>
      </w:r>
      <w:r>
        <w:rPr>
          <w:vertAlign w:val="superscript"/>
        </w:rPr>
        <w:t>d</w:t>
      </w:r>
      <w:proofErr w:type="spellEnd"/>
    </w:p>
    <w:p w14:paraId="696C120B" w14:textId="28C8DDFF" w:rsidR="006F4DDA" w:rsidRDefault="006F4DDA" w:rsidP="00340B7A">
      <w:pPr>
        <w:pStyle w:val="Affiliation"/>
      </w:pPr>
      <w:proofErr w:type="spellStart"/>
      <w:r w:rsidRPr="00394920">
        <w:rPr>
          <w:vertAlign w:val="superscript"/>
        </w:rPr>
        <w:t>a</w:t>
      </w:r>
      <w:r w:rsidRPr="00A3270F">
        <w:t>University</w:t>
      </w:r>
      <w:proofErr w:type="spellEnd"/>
      <w:r w:rsidRPr="00A3270F">
        <w:t xml:space="preserve"> of Florida Informatics Institute, </w:t>
      </w:r>
      <w:r w:rsidR="00340B7A" w:rsidRPr="00617F6A">
        <w:t xml:space="preserve">432 Newell Dr, CISE </w:t>
      </w:r>
      <w:proofErr w:type="spellStart"/>
      <w:r w:rsidR="00340B7A" w:rsidRPr="00617F6A">
        <w:t>Bldg</w:t>
      </w:r>
      <w:proofErr w:type="spellEnd"/>
      <w:r w:rsidR="00340B7A" w:rsidRPr="00617F6A">
        <w:t xml:space="preserve"> E251, Gainesville FL 32611</w:t>
      </w:r>
      <w:r w:rsidR="00340B7A">
        <w:t>, USA</w:t>
      </w:r>
      <w:r>
        <w:t>;</w:t>
      </w:r>
      <w:r w:rsidRPr="003152C8">
        <w:t xml:space="preserve"> </w:t>
      </w:r>
      <w:r>
        <w:br/>
      </w:r>
      <w:proofErr w:type="spellStart"/>
      <w:r w:rsidR="00340B7A">
        <w:rPr>
          <w:vertAlign w:val="superscript"/>
        </w:rPr>
        <w:t>b</w:t>
      </w:r>
      <w:r w:rsidRPr="00A3270F">
        <w:t>Department</w:t>
      </w:r>
      <w:proofErr w:type="spellEnd"/>
      <w:r w:rsidRPr="00A3270F">
        <w:t xml:space="preserve"> of Chemistry and Biochemistry, University of Minnesota,</w:t>
      </w:r>
      <w:r w:rsidR="00340B7A">
        <w:t xml:space="preserve"> 246 Chemistry Building, 1039 University Drive, Duluth MN 55812, USA;</w:t>
      </w:r>
      <w:r w:rsidR="00340B7A">
        <w:br/>
      </w:r>
      <w:proofErr w:type="spellStart"/>
      <w:r>
        <w:rPr>
          <w:vertAlign w:val="superscript"/>
        </w:rPr>
        <w:t>c</w:t>
      </w:r>
      <w:r w:rsidRPr="00A3270F">
        <w:t>Department</w:t>
      </w:r>
      <w:proofErr w:type="spellEnd"/>
      <w:r w:rsidRPr="00A3270F">
        <w:t xml:space="preserve"> of Chemistry, Babes-</w:t>
      </w:r>
      <w:proofErr w:type="spellStart"/>
      <w:r w:rsidRPr="00A3270F">
        <w:t>Bolyai</w:t>
      </w:r>
      <w:proofErr w:type="spellEnd"/>
      <w:r w:rsidRPr="00A3270F">
        <w:t xml:space="preserve"> University, </w:t>
      </w:r>
      <w:r w:rsidR="00E3278D" w:rsidRPr="00E3278D">
        <w:t xml:space="preserve">Strada </w:t>
      </w:r>
      <w:proofErr w:type="spellStart"/>
      <w:r w:rsidR="00E3278D" w:rsidRPr="00E3278D">
        <w:t>Arany</w:t>
      </w:r>
      <w:proofErr w:type="spellEnd"/>
      <w:r w:rsidR="00E3278D" w:rsidRPr="00E3278D">
        <w:t xml:space="preserve"> </w:t>
      </w:r>
      <w:proofErr w:type="spellStart"/>
      <w:r w:rsidR="00E3278D" w:rsidRPr="00E3278D">
        <w:t>János</w:t>
      </w:r>
      <w:proofErr w:type="spellEnd"/>
      <w:r w:rsidR="00E3278D" w:rsidRPr="00E3278D">
        <w:t xml:space="preserve"> 11, Cluj-Napoca 400028, Romania</w:t>
      </w:r>
      <w:r>
        <w:t>;</w:t>
      </w:r>
      <w:r>
        <w:br/>
      </w:r>
      <w:proofErr w:type="spellStart"/>
      <w:r>
        <w:rPr>
          <w:vertAlign w:val="superscript"/>
        </w:rPr>
        <w:t>d</w:t>
      </w:r>
      <w:r w:rsidRPr="00617F6A">
        <w:t>Natural</w:t>
      </w:r>
      <w:proofErr w:type="spellEnd"/>
      <w:r w:rsidRPr="00617F6A">
        <w:t xml:space="preserve"> Resources Research Institute, University of Minnesota, </w:t>
      </w:r>
      <w:r w:rsidR="00340B7A">
        <w:t>5013 Miller Trunk Highway, Duluth MN 55811</w:t>
      </w:r>
      <w:r w:rsidRPr="00617F6A">
        <w:t>, USA.</w:t>
      </w:r>
    </w:p>
    <w:p w14:paraId="71FD0D47" w14:textId="5B3035F2" w:rsidR="006F4DDA" w:rsidRPr="00617F6A" w:rsidRDefault="006F4DDA" w:rsidP="006F4DDA">
      <w:pPr>
        <w:pStyle w:val="Correspondencedetails"/>
      </w:pPr>
      <w:r>
        <w:t>*</w:t>
      </w:r>
      <w:r w:rsidRPr="00617F6A">
        <w:t xml:space="preserve">Correspondence </w:t>
      </w:r>
      <w:r w:rsidR="00340B7A">
        <w:t>e</w:t>
      </w:r>
      <w:r w:rsidRPr="00617F6A">
        <w:t>-mail: smajumdar@ufl.edu</w:t>
      </w:r>
    </w:p>
    <w:p w14:paraId="13F36278" w14:textId="7B154ADD" w:rsidR="006F4DDA" w:rsidRDefault="006F4DDA">
      <w:pPr>
        <w:spacing w:line="240" w:lineRule="auto"/>
      </w:pPr>
      <w:r>
        <w:br w:type="page"/>
      </w:r>
    </w:p>
    <w:p w14:paraId="40D06DC6" w14:textId="77777777" w:rsidR="006F4DDA" w:rsidRDefault="006F4DDA" w:rsidP="00F30DFF">
      <w:pPr>
        <w:pStyle w:val="Keywords"/>
      </w:pPr>
      <w:r>
        <w:lastRenderedPageBreak/>
        <w:t>Abstract:</w:t>
      </w:r>
    </w:p>
    <w:p w14:paraId="41BE44F7" w14:textId="3DF40862" w:rsidR="00617F6A" w:rsidRDefault="00617F6A" w:rsidP="00F30DFF">
      <w:pPr>
        <w:pStyle w:val="Keywords"/>
      </w:pPr>
      <w:r w:rsidRPr="00617F6A">
        <w:t xml:space="preserve">Quantitative bioactivity and toxicity assessment of chemical compounds plays a central role in drug discovery as it saves a substantial amount of resources. To this end, high-performance computing has enabled researchers and practitioners to leverage hundreds, or even thousands, of computed molecular descriptors for activity prediction of candidate compounds. In this paper, we evaluate the utility of two large groups of chemical descriptors in such predictive modelling, as well as chemical structure discovery, through empirical analysis. We use a suite of commercially available and in-house software to calculate molecular descriptors for two sets of chemical mutagens-  a homogeneous set of 95 amines, and a diverse set of 508 chemicals. Using calculated descriptors, we model the mutagenic activity of these compounds using a number of methods from the statistics and machine learning </w:t>
      </w:r>
      <w:proofErr w:type="gramStart"/>
      <w:r w:rsidRPr="00617F6A">
        <w:t>literature, and</w:t>
      </w:r>
      <w:proofErr w:type="gramEnd"/>
      <w:r w:rsidRPr="00617F6A">
        <w:t xml:space="preserve"> use robust principal component analysis to investigate the low-dimensional subspaces that characterize these chemicals. Our results suggest that combining different sets of descriptors is likely to result in a better predictive model- but that depends on the compounds being model</w:t>
      </w:r>
      <w:r w:rsidR="00096845">
        <w:t>l</w:t>
      </w:r>
      <w:r w:rsidRPr="00617F6A">
        <w:t>ed and the modelling technique being used.</w:t>
      </w:r>
    </w:p>
    <w:p w14:paraId="21FB8E0E" w14:textId="0C2BD64A" w:rsidR="0020415E" w:rsidRPr="0020415E" w:rsidRDefault="00997B0F" w:rsidP="00F30DFF">
      <w:pPr>
        <w:pStyle w:val="Keywords"/>
      </w:pPr>
      <w:r>
        <w:t xml:space="preserve">Keywords: </w:t>
      </w:r>
      <w:r w:rsidR="00617F6A">
        <w:t>m</w:t>
      </w:r>
      <w:r w:rsidR="00617F6A" w:rsidRPr="00617F6A">
        <w:t>olecular descriptors; variable selection; dimension reduction; machine learning; two-deep cross validation; quantitative structure-activity relationship (QSAR)</w:t>
      </w:r>
    </w:p>
    <w:p w14:paraId="7234EEAE" w14:textId="77777777" w:rsidR="006F4DDA" w:rsidRDefault="006F4DDA">
      <w:pPr>
        <w:spacing w:line="240" w:lineRule="auto"/>
        <w:rPr>
          <w:rFonts w:cs="Arial"/>
          <w:b/>
          <w:bCs/>
          <w:kern w:val="32"/>
          <w:szCs w:val="32"/>
        </w:rPr>
      </w:pPr>
      <w:r>
        <w:br w:type="page"/>
      </w:r>
    </w:p>
    <w:p w14:paraId="7CA40324" w14:textId="65831E79" w:rsidR="00997B0F" w:rsidRPr="00617F6A" w:rsidRDefault="00617F6A" w:rsidP="00617F6A">
      <w:pPr>
        <w:pStyle w:val="Heading1"/>
      </w:pPr>
      <w:r w:rsidRPr="00617F6A">
        <w:lastRenderedPageBreak/>
        <w:t>1. Introduction</w:t>
      </w:r>
    </w:p>
    <w:p w14:paraId="5A6556CB" w14:textId="306B9D6E" w:rsidR="00617F6A" w:rsidRPr="00A3270F" w:rsidRDefault="00617F6A" w:rsidP="00617F6A">
      <w:pPr>
        <w:pStyle w:val="Newparagraph"/>
        <w:ind w:firstLine="0"/>
      </w:pPr>
      <w:r w:rsidRPr="00A3270F">
        <w:t xml:space="preserve">Hazard assessment of chemicals is often carried out in data poor situations </w:t>
      </w:r>
      <w:r w:rsidRPr="00A3270F">
        <w:rPr>
          <w:noProof/>
        </w:rPr>
        <w:t>[1]</w:t>
      </w:r>
      <w:r w:rsidRPr="00A3270F">
        <w:t>. The Toxic Substances Control Act (TSCA) Inventory, maintained by the United States Environmental Protection Agency (USEPA), currently has about 85,000 entries</w:t>
      </w:r>
      <w:r w:rsidRPr="00A3270F">
        <w:rPr>
          <w:noProof/>
        </w:rPr>
        <w:t xml:space="preserve"> [2]</w:t>
      </w:r>
      <w:r w:rsidRPr="00A3270F">
        <w:t xml:space="preserve">.  A large fraction of these chemicals has very little or no data needed for their hazard estimation </w:t>
      </w:r>
      <w:r w:rsidRPr="00A3270F">
        <w:rPr>
          <w:noProof/>
        </w:rPr>
        <w:t>[3]</w:t>
      </w:r>
      <w:r w:rsidRPr="00A3270F">
        <w:t xml:space="preserve">.  The assessment of chemical mutagenicity is important both for environmental protection and drug discovery.  Identification of potential mutagenicity for industrial chemicals and environmental pollutants is prerequisite to the protection of human and ecological health. For drug discovery, early mutagenicity detection for drug candidates can help in the effective allocation of resources in drug design protocol which costs on the average over US $2 billion </w:t>
      </w:r>
      <w:r w:rsidRPr="00A3270F">
        <w:rPr>
          <w:noProof/>
        </w:rPr>
        <w:t>[4]</w:t>
      </w:r>
      <w:r w:rsidRPr="00A3270F">
        <w:t xml:space="preserve">. </w:t>
      </w:r>
    </w:p>
    <w:p w14:paraId="7CBF8DD9" w14:textId="06F14A0D" w:rsidR="00617F6A" w:rsidRPr="00A3270F" w:rsidRDefault="00617F6A" w:rsidP="00617F6A">
      <w:pPr>
        <w:pStyle w:val="Newparagraph"/>
      </w:pPr>
      <w:r w:rsidRPr="00A3270F">
        <w:t xml:space="preserve">Laboratory testing of mutagenicity for all possible candidate chemicals can be very expensive.  Therefore, assessment of potential mutagenicity of chemicals from Quantitative Structure-Activity Relationship (QSAR) models has been accepted for evaluation of chemicals in lieu of experimental mutagenicity data </w:t>
      </w:r>
      <w:r w:rsidRPr="00A3270F">
        <w:rPr>
          <w:noProof/>
        </w:rPr>
        <w:t>[5]</w:t>
      </w:r>
      <w:r w:rsidRPr="00A3270F">
        <w:t xml:space="preserve">. Such models carry out property/ bioactivity/ toxicity assessment </w:t>
      </w:r>
      <w:r w:rsidRPr="00617F6A">
        <w:t>in silico</w:t>
      </w:r>
      <w:r w:rsidRPr="00617F6A">
        <w:rPr>
          <w:i/>
          <w:iCs/>
        </w:rPr>
        <w:t xml:space="preserve">, </w:t>
      </w:r>
      <w:r w:rsidRPr="00A3270F">
        <w:t xml:space="preserve">i.e. without </w:t>
      </w:r>
      <w:proofErr w:type="gramStart"/>
      <w:r w:rsidRPr="00A3270F">
        <w:t>actually performing</w:t>
      </w:r>
      <w:proofErr w:type="gramEnd"/>
      <w:r w:rsidRPr="00A3270F">
        <w:t xml:space="preserve"> the experiments, and using quantitative modelling techniques instead that predict properties of compounds using molecular descriptors. In the early stages of QSAR during the middle of the 20</w:t>
      </w:r>
      <w:r w:rsidRPr="00617F6A">
        <w:rPr>
          <w:vertAlign w:val="superscript"/>
        </w:rPr>
        <w:t>th</w:t>
      </w:r>
      <w:r w:rsidRPr="00A3270F">
        <w:t xml:space="preserve"> century, the effectiveness of such approaches was limited by the handful of descriptors that could be calculated using the limited computational resources available. This situation has drastically changed in the past two or three decades. High-performance computing has enabled researchers to calculate hundreds or even thousands of descriptors using various software </w:t>
      </w:r>
      <w:r w:rsidRPr="00A3270F">
        <w:rPr>
          <w:noProof/>
        </w:rPr>
        <w:t>[6</w:t>
      </w:r>
      <w:r>
        <w:rPr>
          <w:noProof/>
        </w:rPr>
        <w:t>-11</w:t>
      </w:r>
      <w:r w:rsidRPr="00A3270F">
        <w:rPr>
          <w:noProof/>
        </w:rPr>
        <w:t>]</w:t>
      </w:r>
      <w:r w:rsidRPr="00A3270F">
        <w:t xml:space="preserve"> in a reasonable amount of time, thus generating a vast amount of information to potentially build effective models for chemical activity prediction. For this reason, development, </w:t>
      </w:r>
      <w:r w:rsidRPr="00A3270F">
        <w:lastRenderedPageBreak/>
        <w:t>computation and usage of molecular descriptors have a central role in the present landscape of QSAR research.</w:t>
      </w:r>
    </w:p>
    <w:p w14:paraId="5BB1B172" w14:textId="32E41EEC" w:rsidR="00617F6A" w:rsidRPr="00A3270F" w:rsidRDefault="00617F6A" w:rsidP="00617F6A">
      <w:pPr>
        <w:pStyle w:val="Newparagraph"/>
      </w:pPr>
      <w:r w:rsidRPr="00A3270F">
        <w:t xml:space="preserve">In this paper, we consider two approaches towards QSAR descriptor calculation and present an evaluation of their utility. The first set of descriptors </w:t>
      </w:r>
      <w:r w:rsidRPr="00A3270F">
        <w:rPr>
          <w:noProof/>
        </w:rPr>
        <w:t>[8</w:t>
      </w:r>
      <w:r>
        <w:rPr>
          <w:noProof/>
        </w:rPr>
        <w:t>-</w:t>
      </w:r>
      <w:r w:rsidRPr="00A3270F">
        <w:rPr>
          <w:noProof/>
        </w:rPr>
        <w:t>11]</w:t>
      </w:r>
      <w:r w:rsidRPr="00A3270F">
        <w:t xml:space="preserve"> consist</w:t>
      </w:r>
      <w:r w:rsidR="000E5047">
        <w:t>s</w:t>
      </w:r>
      <w:r w:rsidRPr="00A3270F">
        <w:t xml:space="preserve"> of those developed and used by </w:t>
      </w:r>
      <w:proofErr w:type="spellStart"/>
      <w:r w:rsidRPr="00A3270F">
        <w:t>Basak</w:t>
      </w:r>
      <w:proofErr w:type="spellEnd"/>
      <w:r w:rsidRPr="00A3270F">
        <w:t xml:space="preserve"> and co</w:t>
      </w:r>
      <w:r w:rsidR="008B66D3">
        <w:t>-</w:t>
      </w:r>
      <w:r w:rsidRPr="00A3270F">
        <w:t xml:space="preserve">workers over the past decades towards effective QSAR model formulation </w:t>
      </w:r>
      <w:r w:rsidRPr="00A3270F">
        <w:rPr>
          <w:noProof/>
        </w:rPr>
        <w:t>[</w:t>
      </w:r>
      <w:r>
        <w:rPr>
          <w:noProof/>
        </w:rPr>
        <w:t xml:space="preserve">7, </w:t>
      </w:r>
      <w:r w:rsidRPr="00A3270F">
        <w:rPr>
          <w:noProof/>
        </w:rPr>
        <w:t>12</w:t>
      </w:r>
      <w:r>
        <w:rPr>
          <w:noProof/>
        </w:rPr>
        <w:t>-</w:t>
      </w:r>
      <w:r w:rsidRPr="00A3270F">
        <w:rPr>
          <w:noProof/>
        </w:rPr>
        <w:t>15]</w:t>
      </w:r>
      <w:r w:rsidRPr="00A3270F">
        <w:t xml:space="preserve">. The second descriptor set </w:t>
      </w:r>
      <w:r w:rsidR="000E5047">
        <w:t>is</w:t>
      </w:r>
      <w:r w:rsidRPr="00A3270F">
        <w:t xml:space="preserve"> computed by </w:t>
      </w:r>
      <w:proofErr w:type="spellStart"/>
      <w:r w:rsidRPr="00A3270F">
        <w:t>Diudea</w:t>
      </w:r>
      <w:proofErr w:type="spellEnd"/>
      <w:r w:rsidRPr="00A3270F">
        <w:t xml:space="preserve"> and co</w:t>
      </w:r>
      <w:r w:rsidR="008B66D3">
        <w:t>-</w:t>
      </w:r>
      <w:r w:rsidRPr="00A3270F">
        <w:t xml:space="preserve">workers using Schrodinger and in-house software </w:t>
      </w:r>
      <w:proofErr w:type="spellStart"/>
      <w:r w:rsidRPr="00A3270F">
        <w:t>TopoCluj</w:t>
      </w:r>
      <w:proofErr w:type="spellEnd"/>
      <w:r w:rsidRPr="00A3270F">
        <w:t xml:space="preserve"> </w:t>
      </w:r>
      <w:r w:rsidRPr="00A3270F">
        <w:rPr>
          <w:noProof/>
        </w:rPr>
        <w:t>[16</w:t>
      </w:r>
      <w:r>
        <w:rPr>
          <w:noProof/>
        </w:rPr>
        <w:t>-</w:t>
      </w:r>
      <w:r w:rsidRPr="00A3270F">
        <w:rPr>
          <w:noProof/>
        </w:rPr>
        <w:t>18]</w:t>
      </w:r>
      <w:r w:rsidRPr="00A3270F">
        <w:t xml:space="preserve">. Examples of their effectiveness in mapping the chemical activity landscape include </w:t>
      </w:r>
      <w:r w:rsidRPr="00A3270F">
        <w:rPr>
          <w:noProof/>
        </w:rPr>
        <w:t>[19, 20]</w:t>
      </w:r>
      <w:r w:rsidRPr="00A3270F">
        <w:t>. Keeping the above in mind, the goal of this paper is two-fold: (1) Present a comparison of the two predictor sets (separately and combined) for the mutagenicity assessment of two data sets, viz., a homogeneous set of 95 aromatic and heteroaromatic amines and a structurally diverse set of 508 chemicals using a battery of various statistical and machine learning approaches, and (2) use robust principal component analysis to explore how the combined set of descriptors map the underlying low-dimensional subspace of chemical properties.</w:t>
      </w:r>
    </w:p>
    <w:p w14:paraId="0AEB536C" w14:textId="568A7965" w:rsidR="00617F6A" w:rsidRDefault="00617F6A" w:rsidP="00617F6A">
      <w:pPr>
        <w:pStyle w:val="Newparagraph"/>
      </w:pPr>
      <w:r w:rsidRPr="00A3270F">
        <w:t>The rest of the paper is organized as follows. Section 2 presents the details of our methodology- data, descriptors, and techniques used for model building and validation. In section 3, we present and elaborate on the findings from our analysis. We conclude the paper with a discussion in section 4.</w:t>
      </w:r>
    </w:p>
    <w:p w14:paraId="6C1FA48E" w14:textId="056B1510" w:rsidR="00617F6A" w:rsidRDefault="00617F6A" w:rsidP="00617F6A">
      <w:pPr>
        <w:pStyle w:val="Heading1"/>
      </w:pPr>
      <w:r>
        <w:t>2.  Materials and methods</w:t>
      </w:r>
    </w:p>
    <w:p w14:paraId="27EF9EC2" w14:textId="7813B81D" w:rsidR="00617F6A" w:rsidRDefault="00617F6A" w:rsidP="00617F6A">
      <w:pPr>
        <w:pStyle w:val="Heading2"/>
      </w:pPr>
      <w:r>
        <w:t>2.1. Data</w:t>
      </w:r>
    </w:p>
    <w:p w14:paraId="2EAA3F5C" w14:textId="61753A27" w:rsidR="00617F6A" w:rsidRDefault="00617F6A" w:rsidP="00617F6A">
      <w:pPr>
        <w:pStyle w:val="Newparagraph"/>
        <w:ind w:firstLine="0"/>
      </w:pPr>
      <w:r>
        <w:t xml:space="preserve">The two datasets used in this paper represent two different type of scenarios that practitioners are likely to encounter while doing QSAR analysis. The first data consists of the mutagenic activities of 95 congeneric amines on bacterial samples from the TA98 </w:t>
      </w:r>
      <w:r>
        <w:lastRenderedPageBreak/>
        <w:t xml:space="preserve">S. typhimurium strain [21]. The response variable, measured as the log number of </w:t>
      </w:r>
      <w:proofErr w:type="spellStart"/>
      <w:r>
        <w:t>revertants</w:t>
      </w:r>
      <w:proofErr w:type="spellEnd"/>
      <w:r>
        <w:t xml:space="preserve"> per nmol when a chemical compound is applied to the S. typhimurium test cultures, were studied in the original study by Debnath et al [21]. While the compounds in this dataset are very similar to each other in chemical structure, our second dataset consists of data on 508 chemical compounds from several different chemical classes. Table 1 summarizes this classification of the chemical compounds (note that a compound can belong to two or more classes). Collected from the CRC Handbook of Identified Carcinogens and Non-carcinogens [22], </w:t>
      </w:r>
      <w:r w:rsidRPr="005B49CA">
        <w:rPr>
          <w:highlight w:val="yellow"/>
        </w:rPr>
        <w:t>the response variable in this dataset is the 0/1 mutagen</w:t>
      </w:r>
      <w:r w:rsidR="005B49CA" w:rsidRPr="005B49CA">
        <w:rPr>
          <w:highlight w:val="yellow"/>
        </w:rPr>
        <w:t xml:space="preserve"> or non-mutagen</w:t>
      </w:r>
      <w:r w:rsidRPr="005B49CA">
        <w:rPr>
          <w:highlight w:val="yellow"/>
        </w:rPr>
        <w:t xml:space="preserve"> status of the chemical compounds</w:t>
      </w:r>
      <w:r w:rsidR="005B49CA" w:rsidRPr="005B49CA">
        <w:rPr>
          <w:highlight w:val="yellow"/>
        </w:rPr>
        <w:t xml:space="preserve"> as determined by the Ames test of mutagenicity</w:t>
      </w:r>
      <w:r>
        <w:t xml:space="preserve">. In total the data contains 256 mutagens and 252 non-mutagens. For each set of compounds, we calculated their corresponding descriptors sets using two sets of software, previously used by </w:t>
      </w:r>
      <w:proofErr w:type="spellStart"/>
      <w:r>
        <w:t>Basak</w:t>
      </w:r>
      <w:proofErr w:type="spellEnd"/>
      <w:r>
        <w:t xml:space="preserve"> et al [</w:t>
      </w:r>
      <w:r w:rsidR="000E5047">
        <w:t>12-14</w:t>
      </w:r>
      <w:r>
        <w:t xml:space="preserve">] and </w:t>
      </w:r>
      <w:proofErr w:type="spellStart"/>
      <w:r>
        <w:t>Diudea</w:t>
      </w:r>
      <w:proofErr w:type="spellEnd"/>
      <w:r>
        <w:t xml:space="preserve"> et al [23].</w:t>
      </w:r>
    </w:p>
    <w:p w14:paraId="70F1FAB7" w14:textId="08B6D2D6" w:rsidR="00617F6A" w:rsidRDefault="00A20438" w:rsidP="000E5047">
      <w:pPr>
        <w:pStyle w:val="Newparagraph"/>
        <w:ind w:firstLine="0"/>
      </w:pPr>
      <w:r>
        <w:t>&lt;Insert Table 1 here&gt;</w:t>
      </w:r>
    </w:p>
    <w:p w14:paraId="0E2C36D2" w14:textId="77777777" w:rsidR="00617F6A" w:rsidRDefault="00617F6A" w:rsidP="000E5047">
      <w:pPr>
        <w:pStyle w:val="Heading2"/>
      </w:pPr>
      <w:r>
        <w:t>2.2. Descriptors</w:t>
      </w:r>
    </w:p>
    <w:p w14:paraId="513FBEF9" w14:textId="4015B4CA" w:rsidR="00617F6A" w:rsidRDefault="00617F6A" w:rsidP="000E5047">
      <w:pPr>
        <w:pStyle w:val="Newparagraph"/>
        <w:ind w:firstLine="0"/>
      </w:pPr>
      <w:r>
        <w:t xml:space="preserve">For this study we </w:t>
      </w:r>
      <w:r w:rsidR="000E5047">
        <w:t>use</w:t>
      </w:r>
      <w:r>
        <w:t xml:space="preserve"> two collections of molecular descriptors.  One set of descriptors, used frequently by the Cluj team of </w:t>
      </w:r>
      <w:proofErr w:type="spellStart"/>
      <w:r>
        <w:t>Diudea</w:t>
      </w:r>
      <w:proofErr w:type="spellEnd"/>
      <w:r>
        <w:t xml:space="preserve"> and collaborators, </w:t>
      </w:r>
      <w:r w:rsidR="000E5047">
        <w:t>are</w:t>
      </w:r>
      <w:r>
        <w:t xml:space="preserve"> calculated by the programs Schrodinger [16] and </w:t>
      </w:r>
      <w:proofErr w:type="spellStart"/>
      <w:r>
        <w:t>TopoCluj</w:t>
      </w:r>
      <w:proofErr w:type="spellEnd"/>
      <w:r>
        <w:t xml:space="preserve"> [17].  More detailed references about these descriptors are given in Supplementary Tables 1 and 4.  For the 95 and 508 data sets, 185 and 201 </w:t>
      </w:r>
      <w:r w:rsidR="000E5047">
        <w:t xml:space="preserve">such </w:t>
      </w:r>
      <w:r>
        <w:t xml:space="preserve">descriptors </w:t>
      </w:r>
      <w:r w:rsidR="000E5047">
        <w:t>are</w:t>
      </w:r>
      <w:r>
        <w:t xml:space="preserve"> calculated.</w:t>
      </w:r>
    </w:p>
    <w:p w14:paraId="158E4880" w14:textId="027DAF6C" w:rsidR="00617F6A" w:rsidRDefault="00617F6A" w:rsidP="00617F6A">
      <w:pPr>
        <w:pStyle w:val="Newparagraph"/>
      </w:pPr>
      <w:r>
        <w:t xml:space="preserve">The second set of molecular descriptors, used frequently by </w:t>
      </w:r>
      <w:proofErr w:type="spellStart"/>
      <w:r>
        <w:t>Basak</w:t>
      </w:r>
      <w:proofErr w:type="spellEnd"/>
      <w:r>
        <w:t xml:space="preserve"> et al,</w:t>
      </w:r>
      <w:r w:rsidR="000E5047">
        <w:t xml:space="preserve"> is</w:t>
      </w:r>
      <w:r>
        <w:t xml:space="preserve"> calculated by the software POLLY [8], </w:t>
      </w:r>
      <w:proofErr w:type="spellStart"/>
      <w:r>
        <w:t>MolConnZ</w:t>
      </w:r>
      <w:proofErr w:type="spellEnd"/>
      <w:r>
        <w:t xml:space="preserve"> [24], Triplet [11], and MOPAC [9].  For the 95 and 508 chemical sets, 275 and 307 descriptors </w:t>
      </w:r>
      <w:r w:rsidR="000E5047">
        <w:t>are</w:t>
      </w:r>
      <w:r>
        <w:t xml:space="preserve"> calculated by these software</w:t>
      </w:r>
      <w:r w:rsidR="000E5047">
        <w:t>, respectively</w:t>
      </w:r>
      <w:r>
        <w:t xml:space="preserve">. Among them, 18 descriptors </w:t>
      </w:r>
      <w:r w:rsidR="000E5047">
        <w:t>are</w:t>
      </w:r>
      <w:r>
        <w:t xml:space="preserve"> common with the Cluj descriptors for the 95 amines data, while for the 508 compound</w:t>
      </w:r>
      <w:r w:rsidR="000E5047">
        <w:t>s</w:t>
      </w:r>
      <w:r>
        <w:t xml:space="preserve"> diverse dataset there </w:t>
      </w:r>
      <w:r w:rsidR="000E5047">
        <w:lastRenderedPageBreak/>
        <w:t xml:space="preserve">are </w:t>
      </w:r>
      <w:r>
        <w:t>22 common descriptors. Thus</w:t>
      </w:r>
      <w:r w:rsidR="000E5047">
        <w:t>,</w:t>
      </w:r>
      <w:r>
        <w:t xml:space="preserve"> the number of descriptors in the union of these two sets are 442 and 486, respectively.</w:t>
      </w:r>
    </w:p>
    <w:p w14:paraId="2ABF702B" w14:textId="13FB391C" w:rsidR="00EF6284" w:rsidRDefault="00EF6284" w:rsidP="00617F6A">
      <w:pPr>
        <w:pStyle w:val="Newparagraph"/>
      </w:pPr>
      <w:r w:rsidRPr="00EF6284">
        <w:rPr>
          <w:highlight w:val="yellow"/>
        </w:rPr>
        <w:t xml:space="preserve">Collectively, the combined set of descriptors consist of important classes of topological descriptors like connectivity indices, valence connectivity indices, </w:t>
      </w:r>
      <w:proofErr w:type="spellStart"/>
      <w:r w:rsidRPr="00EF6284">
        <w:rPr>
          <w:highlight w:val="yellow"/>
        </w:rPr>
        <w:t>electrotopological</w:t>
      </w:r>
      <w:proofErr w:type="spellEnd"/>
      <w:r w:rsidRPr="00EF6284">
        <w:rPr>
          <w:highlight w:val="yellow"/>
        </w:rPr>
        <w:t xml:space="preserve"> indices, information-theoretic neighbourhood complexity indices of various order developed by </w:t>
      </w:r>
      <w:proofErr w:type="spellStart"/>
      <w:r w:rsidRPr="00EF6284">
        <w:rPr>
          <w:highlight w:val="yellow"/>
        </w:rPr>
        <w:t>Basak</w:t>
      </w:r>
      <w:proofErr w:type="spellEnd"/>
      <w:r w:rsidRPr="00EF6284">
        <w:rPr>
          <w:highlight w:val="yellow"/>
        </w:rPr>
        <w:t xml:space="preserve"> et al </w:t>
      </w:r>
      <w:r>
        <w:rPr>
          <w:highlight w:val="yellow"/>
        </w:rPr>
        <w:t>[</w:t>
      </w:r>
      <w:r w:rsidRPr="00EF6284">
        <w:rPr>
          <w:highlight w:val="yellow"/>
        </w:rPr>
        <w:t xml:space="preserve">25], Triplet indices, </w:t>
      </w:r>
      <w:proofErr w:type="spellStart"/>
      <w:r w:rsidRPr="00EF6284">
        <w:rPr>
          <w:highlight w:val="yellow"/>
        </w:rPr>
        <w:t>electrotopological</w:t>
      </w:r>
      <w:proofErr w:type="spellEnd"/>
      <w:r w:rsidRPr="00EF6284">
        <w:rPr>
          <w:highlight w:val="yellow"/>
        </w:rPr>
        <w:t xml:space="preserve"> state indices and a variety of shape and size indices used in numerous QSAR studies by various authors.</w:t>
      </w:r>
    </w:p>
    <w:p w14:paraId="0E801B83" w14:textId="77777777" w:rsidR="00617F6A" w:rsidRDefault="00617F6A" w:rsidP="000E5047">
      <w:pPr>
        <w:pStyle w:val="Heading2"/>
      </w:pPr>
      <w:r>
        <w:t>2.3. Statistical and machine learning methods</w:t>
      </w:r>
    </w:p>
    <w:p w14:paraId="63AC2F3A" w14:textId="77777777" w:rsidR="00617F6A" w:rsidRDefault="00617F6A" w:rsidP="000E5047">
      <w:pPr>
        <w:pStyle w:val="Newparagraph"/>
        <w:ind w:firstLine="0"/>
      </w:pPr>
      <w:r>
        <w:t>We use three types of methods to build our predictive models.</w:t>
      </w:r>
    </w:p>
    <w:p w14:paraId="5F9CBE94" w14:textId="77777777" w:rsidR="00617F6A" w:rsidRDefault="00617F6A" w:rsidP="000E5047">
      <w:pPr>
        <w:pStyle w:val="Heading3"/>
      </w:pPr>
      <w:r>
        <w:t>2.3.1. Dimension reduction</w:t>
      </w:r>
    </w:p>
    <w:p w14:paraId="1B480CEF" w14:textId="6DC7CF25" w:rsidR="00617F6A" w:rsidRDefault="00617F6A" w:rsidP="000E5047">
      <w:pPr>
        <w:pStyle w:val="Newparagraph"/>
        <w:ind w:firstLine="0"/>
      </w:pPr>
      <w:r>
        <w:t>The hundreds of descriptors generally used in chemometric analysis generally have a high degree of correlation among them [25]. For this reason, dimension reduction techniques, such as Principal Component Analysis (PCA) or Partial Least Squares (PLS) have seen widespread use in QSAR model building [26</w:t>
      </w:r>
      <w:r w:rsidR="00A20438">
        <w:t>-</w:t>
      </w:r>
      <w:r>
        <w:t xml:space="preserve">28]. In this paper, we build predictive models using the following </w:t>
      </w:r>
      <w:proofErr w:type="gramStart"/>
      <w:r>
        <w:t>two dimension</w:t>
      </w:r>
      <w:proofErr w:type="gramEnd"/>
      <w:r>
        <w:t xml:space="preserve"> reduction methods:</w:t>
      </w:r>
    </w:p>
    <w:p w14:paraId="3624E625" w14:textId="7F0E5353" w:rsidR="00617F6A" w:rsidRDefault="00617F6A" w:rsidP="000E5047">
      <w:pPr>
        <w:pStyle w:val="Heading4Paragraph"/>
      </w:pPr>
      <w:r w:rsidRPr="000E5047">
        <w:t>Principal Component Regression (PCR):</w:t>
      </w:r>
      <w:r>
        <w:t xml:space="preserve"> We transform descriptor matrix X, we transform it by multiplying with a principal component loading matrix</w:t>
      </w:r>
      <w:r w:rsidR="00A20438">
        <w:t xml:space="preserve"> Γ</w:t>
      </w:r>
      <w:r>
        <w:t>:</w:t>
      </w:r>
    </w:p>
    <w:p w14:paraId="409DF18F" w14:textId="495A0D78" w:rsidR="00617F6A" w:rsidRDefault="00617F6A" w:rsidP="000E5047">
      <w:pPr>
        <w:pStyle w:val="Displayedequation"/>
      </w:pPr>
      <w:r w:rsidRPr="00A20438">
        <w:rPr>
          <w:highlight w:val="yellow"/>
        </w:rPr>
        <w:t>T</w:t>
      </w:r>
      <w:r w:rsidR="00A20438" w:rsidRPr="00A20438">
        <w:rPr>
          <w:highlight w:val="yellow"/>
          <w:vertAlign w:val="subscript"/>
        </w:rPr>
        <w:t>x</w:t>
      </w:r>
      <w:r w:rsidR="00A20438" w:rsidRPr="00A20438">
        <w:rPr>
          <w:highlight w:val="yellow"/>
        </w:rPr>
        <w:t xml:space="preserve"> </w:t>
      </w:r>
      <w:r w:rsidRPr="00A20438">
        <w:rPr>
          <w:highlight w:val="yellow"/>
        </w:rPr>
        <w:t>=XΓ</w:t>
      </w:r>
    </w:p>
    <w:p w14:paraId="0648C5CE" w14:textId="743EBAA2" w:rsidR="00617F6A" w:rsidRDefault="000E5047" w:rsidP="000E5047">
      <w:pPr>
        <w:pStyle w:val="Newparagraph"/>
        <w:ind w:firstLine="0"/>
      </w:pPr>
      <w:r>
        <w:t>w</w:t>
      </w:r>
      <w:r w:rsidR="00617F6A">
        <w:t xml:space="preserve">here the number of columns in Γ denote the minimum number of principal components (PCs) that explain 95% of the total underlying variation. We follow the analysis of [28] and apply a robust PCA procedure [29] to obtain the PC loadings. Following this, we use the transformed data matrix T(X) as the matrix of predictors in </w:t>
      </w:r>
      <w:r w:rsidR="00617F6A">
        <w:lastRenderedPageBreak/>
        <w:t>linear and logistic regression models to predict activities in the 95 and 508 compound datasets, respectively.</w:t>
      </w:r>
    </w:p>
    <w:p w14:paraId="30D934EC" w14:textId="3E0A9B14" w:rsidR="00617F6A" w:rsidRDefault="00617F6A" w:rsidP="000E5047">
      <w:pPr>
        <w:pStyle w:val="Heading4Paragraph"/>
      </w:pPr>
      <w:r>
        <w:t>Partial Least Squares (PLS): Another popular method in QSAR literature, PLS uses latent variables to model the correlation between predictors and the response variables. Mainly used to build models used in prediction purposes, PLS obtains a sequence of linear regression coefficients by successively regressing orthogonal components in the data matrix on those in the response vector.</w:t>
      </w:r>
    </w:p>
    <w:p w14:paraId="17D00758" w14:textId="77777777" w:rsidR="00617F6A" w:rsidRDefault="00617F6A" w:rsidP="000E5047">
      <w:pPr>
        <w:pStyle w:val="Heading3"/>
      </w:pPr>
      <w:r>
        <w:t xml:space="preserve"> 2.3.2. Variable selection</w:t>
      </w:r>
    </w:p>
    <w:p w14:paraId="22B68AFF" w14:textId="77777777" w:rsidR="00617F6A" w:rsidRDefault="00617F6A" w:rsidP="000E5047">
      <w:pPr>
        <w:pStyle w:val="Newparagraph"/>
        <w:ind w:firstLine="0"/>
      </w:pPr>
      <w:r>
        <w:t>Since the datasets we are dealing with are inherently high-dimensional (i.e. large number of predictors that can potentially be more than the number of samples), we use sparse regression methods for variable selection.</w:t>
      </w:r>
    </w:p>
    <w:p w14:paraId="4FFF0BD0" w14:textId="1F7F29FF" w:rsidR="00617F6A" w:rsidRDefault="00617F6A" w:rsidP="000E5047">
      <w:pPr>
        <w:pStyle w:val="Heading4Paragraph"/>
      </w:pPr>
      <w:r>
        <w:t xml:space="preserve">Least Absolute Shrinkage and Selection Operator (LASSO): In a linear or generalized linear model, the lasso method </w:t>
      </w:r>
      <w:r w:rsidR="000E5047">
        <w:t>[30]</w:t>
      </w:r>
      <w:r>
        <w:t xml:space="preserve"> obtains sparse estimates of the coefficient estimates by setting some entries to exactly zero. In the QSAR context, this means some predictors will have zero effect on the response variable. Thus, the lasso method </w:t>
      </w:r>
      <w:proofErr w:type="gramStart"/>
      <w:r>
        <w:t>is able to</w:t>
      </w:r>
      <w:proofErr w:type="gramEnd"/>
      <w:r>
        <w:t xml:space="preserve"> perform simultaneous variable selection and model building.</w:t>
      </w:r>
    </w:p>
    <w:p w14:paraId="528FD114" w14:textId="634F5E8C" w:rsidR="00617F6A" w:rsidRDefault="00617F6A" w:rsidP="000E5047">
      <w:pPr>
        <w:pStyle w:val="Heading4Paragraph"/>
      </w:pPr>
      <w:r>
        <w:t>Smoothly Clipped Absolute Deviation penalty (SCAD): Proposed by [3</w:t>
      </w:r>
      <w:r w:rsidR="00FA0EF2">
        <w:t>1</w:t>
      </w:r>
      <w:r>
        <w:t>], SCAD is another penalization method that selects sparser models than lasso, i.e. models where more entries in the coefficient vector are set at 0, without compromising on the predictive capability of the model.</w:t>
      </w:r>
    </w:p>
    <w:p w14:paraId="7254DF5A" w14:textId="77777777" w:rsidR="00617F6A" w:rsidRDefault="00617F6A" w:rsidP="000E5047">
      <w:pPr>
        <w:pStyle w:val="Heading3"/>
      </w:pPr>
      <w:r>
        <w:lastRenderedPageBreak/>
        <w:t>2.3.3. Machine learning</w:t>
      </w:r>
    </w:p>
    <w:p w14:paraId="3D097FE6" w14:textId="345200A4" w:rsidR="00617F6A" w:rsidRDefault="00617F6A" w:rsidP="000E5047">
      <w:pPr>
        <w:pStyle w:val="Newparagraph"/>
        <w:ind w:firstLine="0"/>
      </w:pPr>
      <w:r>
        <w:t>Our goal in this paper is to assess and compare the predictive capabilities of different descriptor sets. Machine learning methods are known to produce models with high predictive performance, even though interpreting such ‘black box’ models is often difficult [3</w:t>
      </w:r>
      <w:r w:rsidR="00FA0EF2">
        <w:t>2</w:t>
      </w:r>
      <w:r>
        <w:t>]. For this reason, we use the following two methods in our study.</w:t>
      </w:r>
    </w:p>
    <w:p w14:paraId="307C6C4D" w14:textId="14A4BF9D" w:rsidR="00617F6A" w:rsidRDefault="00617F6A" w:rsidP="000E5047">
      <w:pPr>
        <w:pStyle w:val="Heading4Paragraph"/>
      </w:pPr>
      <w:r>
        <w:t>Random Forest (RF): This method trains multiple decision trees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[3</w:t>
      </w:r>
      <w:r w:rsidR="00FA0EF2">
        <w:t>3</w:t>
      </w:r>
      <w:r w:rsidR="000E5047">
        <w:t>-</w:t>
      </w:r>
      <w:r>
        <w:t>3</w:t>
      </w:r>
      <w:r w:rsidR="00FA0EF2">
        <w:t>5</w:t>
      </w:r>
      <w:r>
        <w:t>].</w:t>
      </w:r>
    </w:p>
    <w:p w14:paraId="1420D4FC" w14:textId="7789E4CC" w:rsidR="00617F6A" w:rsidRDefault="00617F6A" w:rsidP="000E5047">
      <w:pPr>
        <w:pStyle w:val="Heading4Paragraph"/>
      </w:pPr>
      <w:r>
        <w:t>Gradient Boosting Machine (GBM):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[3</w:t>
      </w:r>
      <w:r w:rsidR="00FA0EF2">
        <w:t>6</w:t>
      </w:r>
      <w:r>
        <w:t>, 3</w:t>
      </w:r>
      <w:r w:rsidR="00FA0EF2">
        <w:t>7</w:t>
      </w:r>
      <w:r>
        <w:t>].</w:t>
      </w:r>
    </w:p>
    <w:p w14:paraId="4A9793AC" w14:textId="77777777" w:rsidR="00617F6A" w:rsidRDefault="00617F6A" w:rsidP="000E5047">
      <w:pPr>
        <w:pStyle w:val="Heading2"/>
      </w:pPr>
      <w:r>
        <w:t>2.4. Validation</w:t>
      </w:r>
    </w:p>
    <w:p w14:paraId="195FFF52" w14:textId="59070280" w:rsidR="00617F6A" w:rsidRDefault="00617F6A" w:rsidP="00617F6A">
      <w:pPr>
        <w:pStyle w:val="Newparagraph"/>
        <w:ind w:firstLine="0"/>
      </w:pPr>
      <w:r>
        <w:t>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This has been referred in the QSAR literature as Monte-Carlo Cross Validation [3</w:t>
      </w:r>
      <w:r w:rsidR="00FA0EF2">
        <w:t>8</w:t>
      </w:r>
      <w:proofErr w:type="gramStart"/>
      <w:r>
        <w:t>], and</w:t>
      </w:r>
      <w:proofErr w:type="gramEnd"/>
      <w:r>
        <w:t xml:space="preserve"> ensures that the true underlying components in a model (e.g. important predictors or principal components) are more </w:t>
      </w:r>
      <w:r>
        <w:lastRenderedPageBreak/>
        <w:t>and more likely to be recovered accurately as sample size increases [3</w:t>
      </w:r>
      <w:r w:rsidR="00FA0EF2">
        <w:t>8</w:t>
      </w:r>
      <w:r>
        <w:t>, 3</w:t>
      </w:r>
      <w:r w:rsidR="00FA0EF2">
        <w:t>9</w:t>
      </w:r>
      <w:r>
        <w:t>]. The phrase ‘two-deep’ means we repeat the dimension reduction/ tuning parameter selection steps of the method being implemented. This ensures that information from the test samples are not used while training the model, and gives a more accurate picture of the predictive capability of the technique being analy</w:t>
      </w:r>
      <w:r w:rsidR="00015867">
        <w:t>s</w:t>
      </w:r>
      <w:r>
        <w:t>ed [</w:t>
      </w:r>
      <w:r w:rsidR="000E5047">
        <w:t xml:space="preserve">7, </w:t>
      </w:r>
      <w:r w:rsidR="00FA0EF2">
        <w:t>40</w:t>
      </w:r>
      <w:r w:rsidR="000E5047">
        <w:t>-</w:t>
      </w:r>
      <w:r>
        <w:t>4</w:t>
      </w:r>
      <w:r w:rsidR="00FA0EF2">
        <w:t>2</w:t>
      </w:r>
      <w:r>
        <w:t>].</w:t>
      </w:r>
    </w:p>
    <w:p w14:paraId="45748284" w14:textId="7E034CDC" w:rsidR="0004599F" w:rsidRDefault="0004599F" w:rsidP="0004599F">
      <w:pPr>
        <w:pStyle w:val="Heading1"/>
      </w:pPr>
      <w:r>
        <w:t>3. Results</w:t>
      </w:r>
    </w:p>
    <w:p w14:paraId="07165ABA" w14:textId="2799F517" w:rsidR="0004599F" w:rsidRDefault="0004599F" w:rsidP="0004599F">
      <w:pPr>
        <w:pStyle w:val="Newparagraph"/>
        <w:ind w:firstLine="0"/>
      </w:pPr>
      <w:r>
        <w:t>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 All data analyses were done using the statistical software R v3.3.2 [43].</w:t>
      </w:r>
    </w:p>
    <w:p w14:paraId="585C3D29" w14:textId="297D0770" w:rsidR="002B1786" w:rsidRPr="004C462F" w:rsidRDefault="002B1786" w:rsidP="002B1786">
      <w:pPr>
        <w:pStyle w:val="Heading2"/>
        <w:rPr>
          <w:highlight w:val="yellow"/>
        </w:rPr>
      </w:pPr>
      <w:r w:rsidRPr="004C462F">
        <w:rPr>
          <w:highlight w:val="yellow"/>
        </w:rPr>
        <w:t>3.1. Details of predictive models</w:t>
      </w:r>
    </w:p>
    <w:p w14:paraId="5D79BEE5" w14:textId="37FAC047" w:rsidR="00664622" w:rsidRPr="004C462F" w:rsidRDefault="006A3B3D" w:rsidP="00664622">
      <w:pPr>
        <w:pStyle w:val="Paragraph"/>
        <w:rPr>
          <w:highlight w:val="yellow"/>
        </w:rPr>
      </w:pPr>
      <w:r w:rsidRPr="004C462F">
        <w:rPr>
          <w:highlight w:val="yellow"/>
        </w:rPr>
        <w:t>For PCR on the 95 amine</w:t>
      </w:r>
      <w:r w:rsidR="001F6075" w:rsidRPr="004C462F">
        <w:rPr>
          <w:highlight w:val="yellow"/>
        </w:rPr>
        <w:t>s</w:t>
      </w:r>
      <w:r w:rsidRPr="004C462F">
        <w:rPr>
          <w:highlight w:val="yellow"/>
        </w:rPr>
        <w:t xml:space="preserve"> data, </w:t>
      </w:r>
      <w:r w:rsidR="001F6075" w:rsidRPr="004C462F">
        <w:rPr>
          <w:highlight w:val="yellow"/>
        </w:rPr>
        <w:t xml:space="preserve">it took </w:t>
      </w:r>
      <w:r w:rsidR="00AE1825" w:rsidRPr="004C462F">
        <w:rPr>
          <w:highlight w:val="yellow"/>
        </w:rPr>
        <w:t>32</w:t>
      </w:r>
      <w:r w:rsidR="001F6075" w:rsidRPr="004C462F">
        <w:rPr>
          <w:highlight w:val="yellow"/>
        </w:rPr>
        <w:t xml:space="preserve">, </w:t>
      </w:r>
      <w:r w:rsidR="00AE1825" w:rsidRPr="004C462F">
        <w:rPr>
          <w:highlight w:val="yellow"/>
        </w:rPr>
        <w:t>1</w:t>
      </w:r>
      <w:r w:rsidR="00E64793">
        <w:rPr>
          <w:highlight w:val="yellow"/>
        </w:rPr>
        <w:t>7</w:t>
      </w:r>
      <w:r w:rsidR="001F6075" w:rsidRPr="004C462F">
        <w:rPr>
          <w:highlight w:val="yellow"/>
        </w:rPr>
        <w:t xml:space="preserve"> and </w:t>
      </w:r>
      <w:r w:rsidR="00AE1825" w:rsidRPr="004C462F">
        <w:rPr>
          <w:highlight w:val="yellow"/>
        </w:rPr>
        <w:t>40</w:t>
      </w:r>
      <w:r w:rsidR="001F6075" w:rsidRPr="004C462F">
        <w:rPr>
          <w:highlight w:val="yellow"/>
        </w:rPr>
        <w:t xml:space="preserve"> PCs respectively to explain 95% of the total variance in the </w:t>
      </w:r>
      <w:proofErr w:type="spellStart"/>
      <w:r w:rsidR="001F6075" w:rsidRPr="004C462F">
        <w:rPr>
          <w:highlight w:val="yellow"/>
        </w:rPr>
        <w:t>Basak</w:t>
      </w:r>
      <w:proofErr w:type="spellEnd"/>
      <w:r w:rsidR="001F6075" w:rsidRPr="004C462F">
        <w:rPr>
          <w:highlight w:val="yellow"/>
        </w:rPr>
        <w:t xml:space="preserve">, </w:t>
      </w:r>
      <w:proofErr w:type="spellStart"/>
      <w:r w:rsidR="001F6075" w:rsidRPr="004C462F">
        <w:rPr>
          <w:highlight w:val="yellow"/>
        </w:rPr>
        <w:t>Diudea</w:t>
      </w:r>
      <w:proofErr w:type="spellEnd"/>
      <w:r w:rsidR="001F6075" w:rsidRPr="004C462F">
        <w:rPr>
          <w:highlight w:val="yellow"/>
        </w:rPr>
        <w:t xml:space="preserve"> and </w:t>
      </w:r>
      <w:r w:rsidR="008C723D" w:rsidRPr="004C462F">
        <w:rPr>
          <w:highlight w:val="yellow"/>
        </w:rPr>
        <w:t>c</w:t>
      </w:r>
      <w:r w:rsidR="001F6075" w:rsidRPr="004C462F">
        <w:rPr>
          <w:highlight w:val="yellow"/>
        </w:rPr>
        <w:t xml:space="preserve">ombined descriptor sets, respectively. </w:t>
      </w:r>
      <w:r w:rsidR="008C723D" w:rsidRPr="004C462F">
        <w:rPr>
          <w:highlight w:val="yellow"/>
        </w:rPr>
        <w:t xml:space="preserve">These numbers </w:t>
      </w:r>
      <w:r w:rsidR="000078DA">
        <w:rPr>
          <w:highlight w:val="yellow"/>
        </w:rPr>
        <w:t>a</w:t>
      </w:r>
      <w:r w:rsidR="008C723D" w:rsidRPr="004C462F">
        <w:rPr>
          <w:highlight w:val="yellow"/>
        </w:rPr>
        <w:t xml:space="preserve">re </w:t>
      </w:r>
      <w:r w:rsidR="00B9505E">
        <w:rPr>
          <w:highlight w:val="yellow"/>
        </w:rPr>
        <w:t>32</w:t>
      </w:r>
      <w:r w:rsidR="008C723D" w:rsidRPr="004C462F">
        <w:rPr>
          <w:highlight w:val="yellow"/>
        </w:rPr>
        <w:t xml:space="preserve">, </w:t>
      </w:r>
      <w:r w:rsidR="00BB3146">
        <w:rPr>
          <w:highlight w:val="yellow"/>
        </w:rPr>
        <w:t>9</w:t>
      </w:r>
      <w:r w:rsidR="00B9505E">
        <w:rPr>
          <w:highlight w:val="yellow"/>
        </w:rPr>
        <w:t>5</w:t>
      </w:r>
      <w:r w:rsidR="008C723D" w:rsidRPr="004C462F">
        <w:rPr>
          <w:highlight w:val="yellow"/>
        </w:rPr>
        <w:t xml:space="preserve"> and </w:t>
      </w:r>
      <w:r w:rsidR="00A10E04">
        <w:rPr>
          <w:highlight w:val="yellow"/>
        </w:rPr>
        <w:t>39</w:t>
      </w:r>
      <w:r w:rsidR="008C723D" w:rsidRPr="004C462F">
        <w:rPr>
          <w:highlight w:val="yellow"/>
        </w:rPr>
        <w:t xml:space="preserve"> respectively, for the 508</w:t>
      </w:r>
      <w:r w:rsidR="004750FB">
        <w:rPr>
          <w:highlight w:val="yellow"/>
        </w:rPr>
        <w:t xml:space="preserve"> compounds</w:t>
      </w:r>
      <w:r w:rsidR="008C723D" w:rsidRPr="004C462F">
        <w:rPr>
          <w:highlight w:val="yellow"/>
        </w:rPr>
        <w:t xml:space="preserve"> dataset.</w:t>
      </w:r>
    </w:p>
    <w:p w14:paraId="00C2EF23" w14:textId="515CD347" w:rsidR="00664622" w:rsidRPr="004C462F" w:rsidRDefault="00523F57" w:rsidP="00664622">
      <w:pPr>
        <w:pStyle w:val="Paragraph"/>
        <w:rPr>
          <w:highlight w:val="yellow"/>
        </w:rPr>
      </w:pPr>
      <w:r w:rsidRPr="004C462F">
        <w:rPr>
          <w:highlight w:val="yellow"/>
        </w:rPr>
        <w:t xml:space="preserve">We use </w:t>
      </w:r>
      <w:r w:rsidR="00C40C34" w:rsidRPr="004C462F">
        <w:rPr>
          <w:highlight w:val="yellow"/>
        </w:rPr>
        <w:t>the maximum possible number of latent components while training PLS models on the 95 amine</w:t>
      </w:r>
      <w:r w:rsidR="00664622" w:rsidRPr="004C462F">
        <w:rPr>
          <w:highlight w:val="yellow"/>
        </w:rPr>
        <w:t>s</w:t>
      </w:r>
      <w:r w:rsidR="00C40C34" w:rsidRPr="004C462F">
        <w:rPr>
          <w:highlight w:val="yellow"/>
        </w:rPr>
        <w:t xml:space="preserve"> data. This sets the number of components to 75, considering the sample size is 76 for each training set in our 5-fold cross-validation. For the logistic PLS model</w:t>
      </w:r>
      <w:r w:rsidR="00664622" w:rsidRPr="004C462F">
        <w:rPr>
          <w:highlight w:val="yellow"/>
        </w:rPr>
        <w:t>s</w:t>
      </w:r>
      <w:r w:rsidR="00C40C34" w:rsidRPr="004C462F">
        <w:rPr>
          <w:highlight w:val="yellow"/>
        </w:rPr>
        <w:t xml:space="preserve"> on the 508 data</w:t>
      </w:r>
      <w:r w:rsidR="00664622" w:rsidRPr="004C462F">
        <w:rPr>
          <w:highlight w:val="yellow"/>
        </w:rPr>
        <w:t xml:space="preserve"> we use 10 latent variables</w:t>
      </w:r>
      <w:r w:rsidR="00C40C34" w:rsidRPr="004C462F">
        <w:rPr>
          <w:highlight w:val="yellow"/>
        </w:rPr>
        <w:t xml:space="preserve">, </w:t>
      </w:r>
      <w:r w:rsidR="00664622" w:rsidRPr="004C462F">
        <w:rPr>
          <w:highlight w:val="yellow"/>
        </w:rPr>
        <w:t xml:space="preserve">since </w:t>
      </w:r>
      <w:r w:rsidR="00C40C34" w:rsidRPr="004C462F">
        <w:rPr>
          <w:highlight w:val="yellow"/>
        </w:rPr>
        <w:t>computation becomes very slow for higher number of PLS components</w:t>
      </w:r>
      <w:r w:rsidR="00664622" w:rsidRPr="004C462F">
        <w:rPr>
          <w:highlight w:val="yellow"/>
        </w:rPr>
        <w:t xml:space="preserve"> due to high sample size and a generalized linear model setup.</w:t>
      </w:r>
    </w:p>
    <w:p w14:paraId="2E233FE5" w14:textId="7D04D1E3" w:rsidR="00AE1825" w:rsidRPr="004C462F" w:rsidRDefault="00AE1825" w:rsidP="00664622">
      <w:pPr>
        <w:pStyle w:val="Paragraph"/>
        <w:rPr>
          <w:highlight w:val="yellow"/>
        </w:rPr>
      </w:pPr>
      <w:r w:rsidRPr="004C462F">
        <w:rPr>
          <w:highlight w:val="yellow"/>
        </w:rPr>
        <w:t xml:space="preserve">The Lasso models on </w:t>
      </w:r>
      <w:r w:rsidR="007936F0">
        <w:rPr>
          <w:highlight w:val="yellow"/>
        </w:rPr>
        <w:t>all the three sets of</w:t>
      </w:r>
      <w:r w:rsidRPr="004C462F">
        <w:rPr>
          <w:highlight w:val="yellow"/>
        </w:rPr>
        <w:t xml:space="preserve"> descriptors </w:t>
      </w:r>
      <w:r w:rsidR="007936F0">
        <w:rPr>
          <w:highlight w:val="yellow"/>
        </w:rPr>
        <w:t>(</w:t>
      </w:r>
      <w:proofErr w:type="spellStart"/>
      <w:r w:rsidR="007936F0">
        <w:rPr>
          <w:highlight w:val="yellow"/>
        </w:rPr>
        <w:t>Basak</w:t>
      </w:r>
      <w:proofErr w:type="spellEnd"/>
      <w:r w:rsidR="007936F0">
        <w:rPr>
          <w:highlight w:val="yellow"/>
        </w:rPr>
        <w:t xml:space="preserve">, </w:t>
      </w:r>
      <w:proofErr w:type="spellStart"/>
      <w:r w:rsidR="007936F0">
        <w:rPr>
          <w:highlight w:val="yellow"/>
        </w:rPr>
        <w:t>Diudea</w:t>
      </w:r>
      <w:proofErr w:type="spellEnd"/>
      <w:r w:rsidR="007936F0">
        <w:rPr>
          <w:highlight w:val="yellow"/>
        </w:rPr>
        <w:t xml:space="preserve"> and combined) </w:t>
      </w:r>
      <w:r w:rsidRPr="004C462F">
        <w:rPr>
          <w:highlight w:val="yellow"/>
        </w:rPr>
        <w:t xml:space="preserve">for </w:t>
      </w:r>
      <w:r w:rsidRPr="004C462F">
        <w:rPr>
          <w:highlight w:val="yellow"/>
        </w:rPr>
        <w:lastRenderedPageBreak/>
        <w:t xml:space="preserve">95 amine data contained </w:t>
      </w:r>
      <w:r w:rsidR="007936F0">
        <w:rPr>
          <w:highlight w:val="yellow"/>
        </w:rPr>
        <w:t>75</w:t>
      </w:r>
      <w:r w:rsidRPr="004C462F">
        <w:rPr>
          <w:highlight w:val="yellow"/>
        </w:rPr>
        <w:t xml:space="preserve"> descriptors, while the SCAD models had </w:t>
      </w:r>
      <w:r w:rsidR="007936F0">
        <w:rPr>
          <w:highlight w:val="yellow"/>
        </w:rPr>
        <w:t>13, 0 and 26</w:t>
      </w:r>
      <w:r w:rsidRPr="004C462F">
        <w:rPr>
          <w:highlight w:val="yellow"/>
        </w:rPr>
        <w:t xml:space="preserve"> descriptors</w:t>
      </w:r>
      <w:r w:rsidR="007936F0">
        <w:rPr>
          <w:highlight w:val="yellow"/>
        </w:rPr>
        <w:t>, respectively</w:t>
      </w:r>
      <w:r w:rsidRPr="004C462F">
        <w:rPr>
          <w:highlight w:val="yellow"/>
        </w:rPr>
        <w:t xml:space="preserve">. </w:t>
      </w:r>
      <w:r w:rsidR="000078DA">
        <w:rPr>
          <w:highlight w:val="yellow"/>
        </w:rPr>
        <w:t>On the other hand, for the 508 compound diverse data, Lasso selects 2</w:t>
      </w:r>
      <w:r w:rsidR="009E4383">
        <w:rPr>
          <w:highlight w:val="yellow"/>
        </w:rPr>
        <w:t>1</w:t>
      </w:r>
      <w:r w:rsidR="000078DA">
        <w:rPr>
          <w:highlight w:val="yellow"/>
        </w:rPr>
        <w:t xml:space="preserve"> and </w:t>
      </w:r>
      <w:r w:rsidR="004750FB">
        <w:rPr>
          <w:highlight w:val="yellow"/>
        </w:rPr>
        <w:t>2</w:t>
      </w:r>
      <w:r w:rsidR="009E4383">
        <w:rPr>
          <w:highlight w:val="yellow"/>
        </w:rPr>
        <w:t>5</w:t>
      </w:r>
      <w:r w:rsidR="000078DA">
        <w:rPr>
          <w:highlight w:val="yellow"/>
        </w:rPr>
        <w:t xml:space="preserve"> descriptors from the </w:t>
      </w:r>
      <w:proofErr w:type="spellStart"/>
      <w:r w:rsidR="000078DA">
        <w:rPr>
          <w:highlight w:val="yellow"/>
        </w:rPr>
        <w:t>Basak</w:t>
      </w:r>
      <w:proofErr w:type="spellEnd"/>
      <w:r w:rsidR="00BB3146">
        <w:rPr>
          <w:highlight w:val="yellow"/>
        </w:rPr>
        <w:t xml:space="preserve"> </w:t>
      </w:r>
      <w:r w:rsidR="000078DA">
        <w:rPr>
          <w:highlight w:val="yellow"/>
        </w:rPr>
        <w:t>and combined set respectively, while SCAD selects 1</w:t>
      </w:r>
      <w:r w:rsidR="009E4383">
        <w:rPr>
          <w:highlight w:val="yellow"/>
        </w:rPr>
        <w:t>5 and 18</w:t>
      </w:r>
      <w:r w:rsidR="000078DA">
        <w:rPr>
          <w:highlight w:val="yellow"/>
        </w:rPr>
        <w:t xml:space="preserve"> descriptors.</w:t>
      </w:r>
      <w:r w:rsidR="00BB3146">
        <w:rPr>
          <w:highlight w:val="yellow"/>
        </w:rPr>
        <w:t xml:space="preserve"> Both methods select no descriptors when only the </w:t>
      </w:r>
      <w:proofErr w:type="spellStart"/>
      <w:r w:rsidR="00BB3146">
        <w:rPr>
          <w:highlight w:val="yellow"/>
        </w:rPr>
        <w:t>Diudea</w:t>
      </w:r>
      <w:proofErr w:type="spellEnd"/>
      <w:r w:rsidR="00BB3146">
        <w:rPr>
          <w:highlight w:val="yellow"/>
        </w:rPr>
        <w:t xml:space="preserve"> set is analysed.</w:t>
      </w:r>
    </w:p>
    <w:p w14:paraId="009E32EF" w14:textId="43EE3777" w:rsidR="002A5896" w:rsidRPr="004C462F" w:rsidRDefault="001F6075" w:rsidP="002A5896">
      <w:pPr>
        <w:pStyle w:val="Paragraph"/>
        <w:rPr>
          <w:highlight w:val="yellow"/>
        </w:rPr>
      </w:pPr>
      <w:r w:rsidRPr="004C462F">
        <w:rPr>
          <w:highlight w:val="yellow"/>
        </w:rPr>
        <w:t>Each random forest model was built from an ensemble of 500 trees. We used the default setting in the R software for the depth of each tree- which means that minimum node size was 5 for the 95 amines data (as it was a regression problem</w:t>
      </w:r>
      <w:proofErr w:type="gramStart"/>
      <w:r w:rsidRPr="004C462F">
        <w:rPr>
          <w:highlight w:val="yellow"/>
        </w:rPr>
        <w:t>), and</w:t>
      </w:r>
      <w:proofErr w:type="gramEnd"/>
      <w:r w:rsidRPr="004C462F">
        <w:rPr>
          <w:highlight w:val="yellow"/>
        </w:rPr>
        <w:t xml:space="preserve"> was 1 for the 508 compound data (since it was a classification problem).</w:t>
      </w:r>
    </w:p>
    <w:p w14:paraId="24D2AEB8" w14:textId="508E0C17" w:rsidR="002A5896" w:rsidRDefault="004C462F" w:rsidP="002A5896">
      <w:pPr>
        <w:pStyle w:val="Paragraph"/>
        <w:rPr>
          <w:highlight w:val="yellow"/>
        </w:rPr>
      </w:pPr>
      <w:r w:rsidRPr="004C462F">
        <w:rPr>
          <w:highlight w:val="yellow"/>
        </w:rPr>
        <w:t xml:space="preserve">Gradient Boosting models depend on </w:t>
      </w:r>
      <w:proofErr w:type="gramStart"/>
      <w:r w:rsidRPr="004C462F">
        <w:rPr>
          <w:highlight w:val="yellow"/>
        </w:rPr>
        <w:t>a number of</w:t>
      </w:r>
      <w:proofErr w:type="gramEnd"/>
      <w:r w:rsidRPr="004C462F">
        <w:rPr>
          <w:highlight w:val="yellow"/>
        </w:rPr>
        <w:t xml:space="preserve"> tuning parameters- number of trees, and interaction depth, shrinkage parameter and minimum node size in each tree. We selected them from a grid of values using 5-fold cross-validation. For each descriptor and data setting, the selected values are given in Table</w:t>
      </w:r>
      <w:r>
        <w:rPr>
          <w:highlight w:val="yellow"/>
        </w:rPr>
        <w:t xml:space="preserve"> 2</w:t>
      </w:r>
      <w:r w:rsidRPr="004C462F">
        <w:rPr>
          <w:highlight w:val="yellow"/>
        </w:rPr>
        <w:t>.</w:t>
      </w:r>
    </w:p>
    <w:p w14:paraId="74729C81" w14:textId="5EAD2E74" w:rsidR="009E4383" w:rsidRPr="009E4383" w:rsidRDefault="009E4383" w:rsidP="009E4383">
      <w:pPr>
        <w:pStyle w:val="Newparagraph"/>
        <w:ind w:firstLine="0"/>
      </w:pPr>
      <w:r w:rsidRPr="009E4383">
        <w:rPr>
          <w:highlight w:val="yellow"/>
        </w:rPr>
        <w:t>&lt;Insert Table 2 here&gt;</w:t>
      </w:r>
    </w:p>
    <w:p w14:paraId="3E6A3EA1" w14:textId="6F05C8FC" w:rsidR="0004599F" w:rsidRPr="00A3270F" w:rsidRDefault="0004599F" w:rsidP="0004599F">
      <w:pPr>
        <w:pStyle w:val="Heading2"/>
      </w:pPr>
      <w:r w:rsidRPr="00A3270F">
        <w:t>3.</w:t>
      </w:r>
      <w:r w:rsidR="002B1786">
        <w:t>2</w:t>
      </w:r>
      <w:r w:rsidRPr="00A3270F">
        <w:t xml:space="preserve">. </w:t>
      </w:r>
      <w:r w:rsidR="002B1786">
        <w:t>Predictive performance of models</w:t>
      </w:r>
    </w:p>
    <w:p w14:paraId="0DEE8BF9" w14:textId="3B6AB051" w:rsidR="00A20438" w:rsidRPr="00A20438" w:rsidRDefault="00A20438" w:rsidP="0004599F">
      <w:pPr>
        <w:rPr>
          <w:bCs/>
        </w:rPr>
      </w:pPr>
      <w:r w:rsidRPr="00A20438">
        <w:rPr>
          <w:bCs/>
        </w:rPr>
        <w:t xml:space="preserve">&lt;Insert Table </w:t>
      </w:r>
      <w:r w:rsidR="004C462F">
        <w:rPr>
          <w:bCs/>
        </w:rPr>
        <w:t>3</w:t>
      </w:r>
      <w:r w:rsidRPr="00A20438">
        <w:rPr>
          <w:bCs/>
        </w:rPr>
        <w:t xml:space="preserve"> here&gt;</w:t>
      </w:r>
    </w:p>
    <w:p w14:paraId="748B1E86" w14:textId="21881C3A" w:rsidR="0004599F" w:rsidRPr="00A3270F" w:rsidRDefault="0004599F" w:rsidP="0004599F">
      <w:pPr>
        <w:jc w:val="both"/>
      </w:pPr>
      <w:r w:rsidRPr="00A3270F">
        <w:rPr>
          <w:bCs/>
        </w:rPr>
        <w:t xml:space="preserve">It is evident from the results in Table </w:t>
      </w:r>
      <w:r w:rsidR="00CC3F52">
        <w:rPr>
          <w:bCs/>
        </w:rPr>
        <w:t>3</w:t>
      </w:r>
      <w:r w:rsidRPr="00A3270F">
        <w:rPr>
          <w:bCs/>
        </w:rPr>
        <w:t xml:space="preserve"> that the PLS method with the combined set of descriptors gives the best predictive model (AUC = 0.86) while the model based on </w:t>
      </w:r>
      <w:proofErr w:type="spellStart"/>
      <w:r w:rsidRPr="00A3270F">
        <w:rPr>
          <w:bCs/>
        </w:rPr>
        <w:t>Basak</w:t>
      </w:r>
      <w:proofErr w:type="spellEnd"/>
      <w:r w:rsidRPr="00A3270F">
        <w:rPr>
          <w:bCs/>
        </w:rPr>
        <w:t xml:space="preserve"> group index only is also close second (AUC = 0.85). </w:t>
      </w:r>
    </w:p>
    <w:p w14:paraId="6F3EC161" w14:textId="625EE788" w:rsidR="0004599F" w:rsidRPr="00A3270F" w:rsidRDefault="00A20438" w:rsidP="0004599F">
      <w:pPr>
        <w:tabs>
          <w:tab w:val="left" w:pos="1935"/>
        </w:tabs>
      </w:pPr>
      <w:r>
        <w:t xml:space="preserve">&lt;Insert Table </w:t>
      </w:r>
      <w:r w:rsidR="004C462F">
        <w:t>4</w:t>
      </w:r>
      <w:r>
        <w:t xml:space="preserve"> here&gt;</w:t>
      </w:r>
    </w:p>
    <w:p w14:paraId="558D95BB" w14:textId="01C9FA7E" w:rsidR="0004599F" w:rsidRPr="00A3270F" w:rsidRDefault="0004599F" w:rsidP="0004599F">
      <w:pPr>
        <w:pStyle w:val="Newparagraph"/>
      </w:pPr>
      <w:r w:rsidRPr="00A3270F">
        <w:t xml:space="preserve">For the congeneric set of 95 aromatic and heteroaromatic amines, the PLS, RF and GBM methods yield the best predictive models when the combined sets of descriptors were used.  Results derived </w:t>
      </w:r>
      <w:r>
        <w:t xml:space="preserve">using </w:t>
      </w:r>
      <w:r w:rsidRPr="00A3270F">
        <w:t xml:space="preserve">the </w:t>
      </w:r>
      <w:proofErr w:type="spellStart"/>
      <w:r w:rsidRPr="00A3270F">
        <w:t>Basak</w:t>
      </w:r>
      <w:proofErr w:type="spellEnd"/>
      <w:r w:rsidRPr="00A3270F">
        <w:t xml:space="preserve"> group indices </w:t>
      </w:r>
      <w:r>
        <w:t xml:space="preserve">only </w:t>
      </w:r>
      <w:r w:rsidRPr="00A3270F">
        <w:t>c</w:t>
      </w:r>
      <w:r>
        <w:t>o</w:t>
      </w:r>
      <w:r w:rsidRPr="00A3270F">
        <w:t>me out as close second ones.</w:t>
      </w:r>
    </w:p>
    <w:p w14:paraId="33B60B90" w14:textId="32CCC691" w:rsidR="0004599F" w:rsidRPr="00A3270F" w:rsidRDefault="0004599F" w:rsidP="0004599F">
      <w:pPr>
        <w:pStyle w:val="Newparagraph"/>
      </w:pPr>
      <w:r w:rsidRPr="00A3270F">
        <w:lastRenderedPageBreak/>
        <w:t xml:space="preserve">Methods that depend directly on sparse linear combinations of predictors: Lasso, SCAD do not perform well in either case. </w:t>
      </w:r>
      <w:r w:rsidR="00AE1825" w:rsidRPr="00523F57">
        <w:rPr>
          <w:highlight w:val="yellow"/>
        </w:rPr>
        <w:t xml:space="preserve">In some cases (e.g. </w:t>
      </w:r>
      <w:r w:rsidR="001D45DA" w:rsidRPr="00523F57">
        <w:rPr>
          <w:highlight w:val="yellow"/>
        </w:rPr>
        <w:t xml:space="preserve">lasso on </w:t>
      </w:r>
      <w:r w:rsidR="00AE1825" w:rsidRPr="00523F57">
        <w:rPr>
          <w:highlight w:val="yellow"/>
        </w:rPr>
        <w:t xml:space="preserve">95 amines </w:t>
      </w:r>
      <w:r w:rsidR="001D45DA" w:rsidRPr="00523F57">
        <w:rPr>
          <w:highlight w:val="yellow"/>
        </w:rPr>
        <w:t xml:space="preserve">on </w:t>
      </w:r>
      <w:proofErr w:type="spellStart"/>
      <w:r w:rsidR="001D45DA" w:rsidRPr="00523F57">
        <w:rPr>
          <w:highlight w:val="yellow"/>
        </w:rPr>
        <w:t>Diudea</w:t>
      </w:r>
      <w:proofErr w:type="spellEnd"/>
      <w:r w:rsidR="001D45DA" w:rsidRPr="00523F57">
        <w:rPr>
          <w:highlight w:val="yellow"/>
        </w:rPr>
        <w:t xml:space="preserve"> descriptors)</w:t>
      </w:r>
      <w:r w:rsidR="00AE1825" w:rsidRPr="00523F57">
        <w:rPr>
          <w:highlight w:val="yellow"/>
        </w:rPr>
        <w:t xml:space="preserve"> they even select a null model, i.e. models with no non-zero descriptor effects.</w:t>
      </w:r>
      <w:r w:rsidR="00AE1825">
        <w:t xml:space="preserve"> </w:t>
      </w:r>
      <w:r w:rsidRPr="00A3270F">
        <w:t xml:space="preserve">This means there is high degree of nonlinearity among the relationship between the responses and predictors, and activities of compounds are more dependent on lower-dimensional subspaces in the predictor space than individual predictors. These subspaces are often predictive of the response, as corroborated by the good performance of PLS for both the datasets. PLS has the best performance among all methods on the combined set of predictors in the 95 amines </w:t>
      </w:r>
      <w:proofErr w:type="gramStart"/>
      <w:r w:rsidRPr="00A3270F">
        <w:t>data, and</w:t>
      </w:r>
      <w:proofErr w:type="gramEnd"/>
      <w:r w:rsidRPr="00A3270F">
        <w:t xml:space="preserve"> performs competitively in the more diverse 508 compounds dataset.</w:t>
      </w:r>
    </w:p>
    <w:p w14:paraId="69E66AFA" w14:textId="77777777" w:rsidR="0004599F" w:rsidRPr="00A3270F" w:rsidRDefault="0004599F" w:rsidP="0004599F">
      <w:pPr>
        <w:pStyle w:val="Newparagraph"/>
      </w:pPr>
      <w:r w:rsidRPr="00A3270F">
        <w:t>Interestingly, for the 508 compounds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p w14:paraId="24326521" w14:textId="77777777" w:rsidR="00945BA0" w:rsidRPr="00A3270F" w:rsidRDefault="00945BA0" w:rsidP="00945BA0">
      <w:pPr>
        <w:pStyle w:val="Heading2"/>
      </w:pPr>
      <w:r w:rsidRPr="00A3270F">
        <w:t>3.2. Principal Component Analysis of descriptor sets</w:t>
      </w:r>
    </w:p>
    <w:p w14:paraId="3C5E7483" w14:textId="25558D32" w:rsidR="00945BA0" w:rsidRDefault="00945BA0" w:rsidP="00945BA0">
      <w:pPr>
        <w:tabs>
          <w:tab w:val="left" w:pos="1935"/>
        </w:tabs>
        <w:jc w:val="both"/>
      </w:pPr>
      <w:r w:rsidRPr="00A3270F">
        <w:t xml:space="preserve">The results obtained using the robust PCA procedure are presented in Tables </w:t>
      </w:r>
      <w:r w:rsidR="00CC3F52">
        <w:t>5</w:t>
      </w:r>
      <w:r w:rsidRPr="00A3270F">
        <w:t xml:space="preserve"> and </w:t>
      </w:r>
      <w:r w:rsidR="00CC3F52">
        <w:t>6</w:t>
      </w:r>
      <w:r w:rsidRPr="00A3270F">
        <w:t xml:space="preserve"> and the below discussion. Interestingly, even though the </w:t>
      </w:r>
      <w:proofErr w:type="spellStart"/>
      <w:r w:rsidRPr="00A3270F">
        <w:t>Diudea</w:t>
      </w:r>
      <w:proofErr w:type="spellEnd"/>
      <w:r w:rsidRPr="00A3270F">
        <w:t xml:space="preserve"> set of descriptors do not perform well in prediction by themselves, they come up almost completely as the ones with top loadings in the robust PCA results</w:t>
      </w:r>
      <w:r w:rsidR="00015867">
        <w:t xml:space="preserve"> (all non-bold descriptors)</w:t>
      </w:r>
      <w:r w:rsidRPr="00A3270F">
        <w:t>.</w:t>
      </w:r>
    </w:p>
    <w:p w14:paraId="0FB76A50" w14:textId="0B778ADF" w:rsidR="00A20438" w:rsidRPr="00A3270F" w:rsidRDefault="00A20438" w:rsidP="00945BA0">
      <w:pPr>
        <w:tabs>
          <w:tab w:val="left" w:pos="1935"/>
        </w:tabs>
        <w:jc w:val="both"/>
      </w:pPr>
      <w:r>
        <w:t xml:space="preserve">&lt;Insert Table </w:t>
      </w:r>
      <w:r w:rsidR="004C462F">
        <w:t>5</w:t>
      </w:r>
      <w:r>
        <w:t xml:space="preserve"> here&gt;</w:t>
      </w:r>
    </w:p>
    <w:p w14:paraId="6F059247" w14:textId="77777777" w:rsidR="00945BA0" w:rsidRPr="00A3270F" w:rsidRDefault="00945BA0" w:rsidP="00945BA0">
      <w:pPr>
        <w:pStyle w:val="Newparagraph"/>
      </w:pPr>
      <w:r w:rsidRPr="00A3270F">
        <w:t xml:space="preserve">For the 95 amines data set, first four PCs explained 36.8% of the variance in the data, and it needs 28 PCs to explain 90% of the total variance. These PCs represent important features of chemical graph. Since PCs are orthogonal to each other, higher order PCs do not contain characteristics encoded in the first four PCs. The energetic </w:t>
      </w:r>
      <w:r w:rsidRPr="00A3270F">
        <w:lastRenderedPageBreak/>
        <w:t xml:space="preserve">variable </w:t>
      </w:r>
      <w:proofErr w:type="spellStart"/>
      <w:r w:rsidRPr="00A3270F">
        <w:rPr>
          <w:shd w:val="clear" w:color="auto" w:fill="FFFFFF"/>
        </w:rPr>
        <w:t>E_ele</w:t>
      </w:r>
      <w:proofErr w:type="spellEnd"/>
      <w:r w:rsidRPr="00A3270F">
        <w:rPr>
          <w:shd w:val="clear" w:color="auto" w:fill="FFFFFF"/>
        </w:rPr>
        <w:t xml:space="preserve"> has very high loadings across all PCs (Highest for PC1 to 3, third highest for PC4), advising that the activity of 95 amines is possibly guided by an energetic dependent process, i.e. interaction with a potential target. These loadings are positive for PC1 and PC4, while negative for the other two: which is justified by the dynamic nature of the interaction. These values reflect distinct structural states, possibly conformational changes in compounds </w:t>
      </w:r>
      <w:proofErr w:type="gramStart"/>
      <w:r w:rsidRPr="00A3270F">
        <w:rPr>
          <w:shd w:val="clear" w:color="auto" w:fill="FFFFFF"/>
        </w:rPr>
        <w:t>by virtue of</w:t>
      </w:r>
      <w:proofErr w:type="gramEnd"/>
      <w:r w:rsidRPr="00A3270F">
        <w:rPr>
          <w:shd w:val="clear" w:color="auto" w:fill="FFFFFF"/>
        </w:rPr>
        <w:t xml:space="preserve"> interaction with a certain target.</w:t>
      </w:r>
    </w:p>
    <w:p w14:paraId="659E33E5" w14:textId="0C98BB7F" w:rsidR="00945BA0" w:rsidRPr="00A3270F" w:rsidRDefault="00A20438" w:rsidP="00945BA0">
      <w:r>
        <w:t xml:space="preserve">&lt;Insert Table </w:t>
      </w:r>
      <w:r w:rsidR="004C462F">
        <w:t>6</w:t>
      </w:r>
      <w:r>
        <w:t xml:space="preserve"> here&gt;</w:t>
      </w:r>
    </w:p>
    <w:p w14:paraId="0139B7A7" w14:textId="042D2999" w:rsidR="00945BA0" w:rsidRPr="00A3270F" w:rsidRDefault="00945BA0" w:rsidP="00945BA0">
      <w:pPr>
        <w:pStyle w:val="Newparagraph"/>
      </w:pPr>
      <w:r w:rsidRPr="00A3270F">
        <w:t xml:space="preserve">For the 508 structurally diverse set, first four PCs explained 50.3% of the variance in data, and 12 PCs were needed to explain 90% of total variance.  Loadings in case of this group of compounds are high with respect to intrinsic physicochemical properties. The top 4 PCs have highest loadings for the following relevant variables: </w:t>
      </w:r>
      <w:proofErr w:type="spellStart"/>
      <w:r w:rsidRPr="00A3270F">
        <w:rPr>
          <w:shd w:val="clear" w:color="auto" w:fill="FFFFFF"/>
        </w:rPr>
        <w:t>E_tor</w:t>
      </w:r>
      <w:proofErr w:type="spellEnd"/>
      <w:r w:rsidRPr="00A3270F">
        <w:rPr>
          <w:shd w:val="clear" w:color="auto" w:fill="FFFFFF"/>
        </w:rPr>
        <w:t xml:space="preserve"> (0.96), vsurf_DW23 (0.95), density (-0.93), GCUT_SlogP_0 (0.96)</w:t>
      </w:r>
      <w:r w:rsidRPr="00A3270F">
        <w:t xml:space="preserve">, which are part of the so-called </w:t>
      </w:r>
      <w:r w:rsidR="008E7ABD">
        <w:t xml:space="preserve">absorption-distribution-metabolism-excretion </w:t>
      </w:r>
      <w:r w:rsidRPr="00A3270F">
        <w:t>(ADME) features.</w:t>
      </w:r>
    </w:p>
    <w:p w14:paraId="0ADC2823" w14:textId="5CCD4881" w:rsidR="005978F3" w:rsidRDefault="005978F3" w:rsidP="005978F3">
      <w:pPr>
        <w:pStyle w:val="Heading1"/>
      </w:pPr>
      <w:r w:rsidRPr="00C52BB8">
        <w:rPr>
          <w:highlight w:val="yellow"/>
        </w:rPr>
        <w:t xml:space="preserve">4. </w:t>
      </w:r>
      <w:r w:rsidR="00C52BB8" w:rsidRPr="00C52BB8">
        <w:rPr>
          <w:highlight w:val="yellow"/>
        </w:rPr>
        <w:t>Conclusion</w:t>
      </w:r>
    </w:p>
    <w:p w14:paraId="3AFC8654" w14:textId="6DEDA30D" w:rsidR="005978F3" w:rsidRDefault="005978F3" w:rsidP="005978F3">
      <w:pPr>
        <w:pStyle w:val="Newparagraph"/>
        <w:ind w:firstLine="0"/>
      </w:pPr>
      <w:r>
        <w:t>In this paper we explored the utility of two large sets of chemical descriptors (separately and combined) using a case study on two sets of chemical compounds. Our findings highlight the fact that a higher number of descriptors is often beneficial for predictive model building- but that is contingent on the specific set of compounds being model</w:t>
      </w:r>
      <w:r w:rsidR="00923A4C">
        <w:t>l</w:t>
      </w:r>
      <w:r>
        <w:t xml:space="preserve">ed, as well as the use of proper modelling and validation techniques.  Both for the 95 and 508 mutagens, results in tables </w:t>
      </w:r>
      <w:r w:rsidR="00CC3F52">
        <w:t>3</w:t>
      </w:r>
      <w:r>
        <w:t xml:space="preserve"> and </w:t>
      </w:r>
      <w:r w:rsidR="00CC3F52">
        <w:t>4</w:t>
      </w:r>
      <w:r>
        <w:t xml:space="preserve"> show that the combined set of descriptors gave better predictive models as compared to one set of descriptors only.</w:t>
      </w:r>
    </w:p>
    <w:p w14:paraId="04BA2687" w14:textId="6478BDD4" w:rsidR="005978F3" w:rsidRDefault="005978F3" w:rsidP="005978F3">
      <w:pPr>
        <w:pStyle w:val="Newparagraph"/>
      </w:pPr>
      <w:r>
        <w:t>We analy</w:t>
      </w:r>
      <w:r w:rsidR="00923A4C">
        <w:t>s</w:t>
      </w:r>
      <w:r>
        <w:t xml:space="preserve">ed the intrinsic dimensionality of the descriptor spaces for the two data sets using PCA (Tables </w:t>
      </w:r>
      <w:r w:rsidR="00CC3F52">
        <w:t>5</w:t>
      </w:r>
      <w:r>
        <w:t xml:space="preserve"> and </w:t>
      </w:r>
      <w:r w:rsidR="00CC3F52">
        <w:t>6</w:t>
      </w:r>
      <w:r>
        <w:t xml:space="preserve">).  For the combined set of descriptors, the set of 95 amines needed first 28 PCs whereas 12 PCs were needed to explain the same level of variance for the diverse 508 data set.  Such results are in line with the earlier studies of </w:t>
      </w:r>
      <w:proofErr w:type="spellStart"/>
      <w:r>
        <w:lastRenderedPageBreak/>
        <w:t>Basak</w:t>
      </w:r>
      <w:proofErr w:type="spellEnd"/>
      <w:r>
        <w:t xml:space="preserve"> et al [15, 26] with 90 calculated topological indices and a structurally diverse set of 3,692 chemicals where first ten PCs explained 92.6% of the variance in the data.</w:t>
      </w:r>
    </w:p>
    <w:p w14:paraId="7464ACA2" w14:textId="77777777" w:rsidR="005978F3" w:rsidRDefault="005978F3" w:rsidP="005978F3">
      <w:pPr>
        <w:pStyle w:val="Newparagraph"/>
      </w:pPr>
      <w:r>
        <w:t>In the realm of predictive quality of models developed by different statistical and machine learning methods, no one method emerged as the best one.  Whereas for the 508 mutagens PLS gave the best results, GBM and RF were superior to PLS for the 95-congeneric set. However, GBM and RF have consistently competitive performance across the methods used and subsets of descriptors (single or combined). This underscores the utility of ‘black box’ machine learning models when prediction, not interpretation of descriptor effects on the activity, is the only goal of a QSAR model building exercise.</w:t>
      </w:r>
    </w:p>
    <w:p w14:paraId="6349EA4C" w14:textId="60E11113" w:rsidR="0004599F" w:rsidRDefault="005978F3" w:rsidP="005978F3">
      <w:pPr>
        <w:pStyle w:val="Newparagraph"/>
      </w:pPr>
      <w:r>
        <w:t>In the PC loadings, for both the data sets, physicochemical, conformational, and</w:t>
      </w:r>
      <w:r w:rsidR="00417437">
        <w:t xml:space="preserve"> </w:t>
      </w:r>
      <w:r>
        <w:t xml:space="preserve">ADME related properties dominate the first four PCs. The </w:t>
      </w:r>
      <w:proofErr w:type="spellStart"/>
      <w:r>
        <w:t>Diudea</w:t>
      </w:r>
      <w:proofErr w:type="spellEnd"/>
      <w:r>
        <w:t xml:space="preserve"> group of descriptors seem to be controlling a high proportion of overall variance, as seen in the PCA loadings in both datasets. However, they do not perform well in the predictive models across different methods (tables </w:t>
      </w:r>
      <w:r w:rsidR="00CC3F52">
        <w:t>3</w:t>
      </w:r>
      <w:r>
        <w:t xml:space="preserve"> and </w:t>
      </w:r>
      <w:r w:rsidR="00CC3F52">
        <w:t>4</w:t>
      </w:r>
      <w:r>
        <w:t>). This hints at the need for a more detailed exploration of chemical subspaces that are possibly guided by the specific activity being model</w:t>
      </w:r>
      <w:r w:rsidR="00ED2D89">
        <w:t>l</w:t>
      </w:r>
      <w:r>
        <w:t>ed. To this end, methods like supervised PCA [44-46] can be useful. We intend to pursue this in future research.</w:t>
      </w:r>
    </w:p>
    <w:p w14:paraId="3558EDAE" w14:textId="49C7D397" w:rsidR="00E64793" w:rsidRDefault="00E64793" w:rsidP="005978F3">
      <w:pPr>
        <w:pStyle w:val="Newparagraph"/>
      </w:pPr>
      <w:r w:rsidRPr="00E64793">
        <w:rPr>
          <w:highlight w:val="yellow"/>
        </w:rPr>
        <w:t xml:space="preserve">From a mechanistic point of view, the mutagenicity of the 95 amine mutagens were well predicted by the set of computed descriptors consisting of quantifiers of molecular shape, size, and electronic characters.  Such factors are also related to hydrophobicity which was found by Debnath et al [21] to be a critical factor underlying the mutagenicity of this set of chemicals.  </w:t>
      </w:r>
      <w:r>
        <w:rPr>
          <w:highlight w:val="yellow"/>
        </w:rPr>
        <w:t>The</w:t>
      </w:r>
      <w:r w:rsidRPr="00E64793">
        <w:rPr>
          <w:highlight w:val="yellow"/>
        </w:rPr>
        <w:t xml:space="preserve"> </w:t>
      </w:r>
      <w:r>
        <w:rPr>
          <w:highlight w:val="yellow"/>
        </w:rPr>
        <w:t xml:space="preserve">case of the </w:t>
      </w:r>
      <w:r w:rsidRPr="00E64793">
        <w:rPr>
          <w:highlight w:val="yellow"/>
        </w:rPr>
        <w:t>508 diverse set</w:t>
      </w:r>
      <w:r>
        <w:rPr>
          <w:highlight w:val="yellow"/>
        </w:rPr>
        <w:t xml:space="preserve"> is more complex. Due to its heterogenous composition, this dataset </w:t>
      </w:r>
      <w:proofErr w:type="gramStart"/>
      <w:r w:rsidRPr="00E64793">
        <w:rPr>
          <w:highlight w:val="yellow"/>
        </w:rPr>
        <w:t>has to</w:t>
      </w:r>
      <w:proofErr w:type="gramEnd"/>
      <w:r w:rsidRPr="00E64793">
        <w:rPr>
          <w:highlight w:val="yellow"/>
        </w:rPr>
        <w:t xml:space="preserve"> </w:t>
      </w:r>
      <w:r>
        <w:rPr>
          <w:highlight w:val="yellow"/>
        </w:rPr>
        <w:t xml:space="preserve">be </w:t>
      </w:r>
      <w:r w:rsidRPr="00E64793">
        <w:rPr>
          <w:highlight w:val="yellow"/>
        </w:rPr>
        <w:t xml:space="preserve">decomposed into different smaller structural classes and QSARs need to be developed for class-specific </w:t>
      </w:r>
      <w:r w:rsidRPr="00E64793">
        <w:rPr>
          <w:highlight w:val="yellow"/>
        </w:rPr>
        <w:lastRenderedPageBreak/>
        <w:t>mechanistic interpretation.  Such studies are in progress which will be published subsequently.</w:t>
      </w:r>
    </w:p>
    <w:p w14:paraId="4F881CA6" w14:textId="0DF6A4EB" w:rsidR="0010771A" w:rsidRPr="00A3270F" w:rsidRDefault="0010771A" w:rsidP="0010771A">
      <w:pPr>
        <w:pStyle w:val="Heading1"/>
      </w:pPr>
      <w:r>
        <w:t>Conflict of Interest</w:t>
      </w:r>
    </w:p>
    <w:p w14:paraId="33BFE9AB" w14:textId="04093C61" w:rsidR="0010771A" w:rsidRDefault="0010771A" w:rsidP="0010771A">
      <w:r w:rsidRPr="00A3270F">
        <w:t>We confirm that there is no conflict of interest on the content of this paper.</w:t>
      </w:r>
    </w:p>
    <w:p w14:paraId="4C3B5BDA" w14:textId="371B9157" w:rsidR="0010771A" w:rsidRPr="00A3270F" w:rsidRDefault="0010771A" w:rsidP="0010771A">
      <w:pPr>
        <w:rPr>
          <w:b/>
          <w:bCs/>
        </w:rPr>
      </w:pPr>
      <w:r>
        <w:rPr>
          <w:b/>
          <w:bCs/>
        </w:rPr>
        <w:t>Supplementary material</w:t>
      </w:r>
    </w:p>
    <w:p w14:paraId="1D700E4B" w14:textId="436331C1" w:rsidR="00FE70A0" w:rsidRDefault="0010771A" w:rsidP="00FE70A0">
      <w:r w:rsidRPr="00A3270F">
        <w:t>Supplementary material (Supplementary tables 1-4) is available on the publisher’s web site along with the published article.</w:t>
      </w:r>
      <w:r>
        <w:t xml:space="preserve"> </w:t>
      </w:r>
      <w:r w:rsidR="0025727C">
        <w:t xml:space="preserve">Supplementary files 1, 2 and 4 give more details about the descriptors used, and file 3 gives individual split results for all methods and both datasets. </w:t>
      </w:r>
      <w:r>
        <w:t xml:space="preserve">All data and code are available in </w:t>
      </w:r>
      <w:r w:rsidR="00C522DB">
        <w:t xml:space="preserve">GitHub: </w:t>
      </w:r>
      <w:hyperlink r:id="rId8" w:history="1">
        <w:r w:rsidR="00FE70A0" w:rsidRPr="00F44705">
          <w:rPr>
            <w:rStyle w:val="Hyperlink"/>
          </w:rPr>
          <w:t>https://github.com/shubhobm/Mutagenicity-assessment</w:t>
        </w:r>
      </w:hyperlink>
      <w:r w:rsidR="00C522DB">
        <w:t>.</w:t>
      </w:r>
    </w:p>
    <w:p w14:paraId="170821C9" w14:textId="1197B55A" w:rsidR="00FE70A0" w:rsidRDefault="00FE70A0" w:rsidP="00FE70A0">
      <w:pPr>
        <w:rPr>
          <w:b/>
        </w:rPr>
      </w:pPr>
      <w:r>
        <w:rPr>
          <w:b/>
        </w:rPr>
        <w:t>Acknowledgement</w:t>
      </w:r>
    </w:p>
    <w:p w14:paraId="0414ECAE" w14:textId="3E4C7A9C" w:rsidR="00FE70A0" w:rsidRPr="00FE70A0" w:rsidRDefault="00FE70A0" w:rsidP="00FE70A0">
      <w:r>
        <w:t>The research of SM is supported by George Michailidis.</w:t>
      </w:r>
      <w:bookmarkStart w:id="0" w:name="_GoBack"/>
      <w:bookmarkEnd w:id="0"/>
    </w:p>
    <w:p w14:paraId="62061127" w14:textId="790A213D" w:rsidR="00FE70A0" w:rsidRPr="00FE70A0" w:rsidRDefault="00FE70A0" w:rsidP="00FE70A0">
      <w:pPr>
        <w:rPr>
          <w:b/>
        </w:rPr>
      </w:pPr>
      <w:r w:rsidRPr="00FE70A0">
        <w:rPr>
          <w:b/>
        </w:rPr>
        <w:t>References</w:t>
      </w:r>
    </w:p>
    <w:p w14:paraId="56F6874E" w14:textId="1DDCCF20" w:rsidR="00C522DB" w:rsidRDefault="00FE70A0" w:rsidP="00C522DB">
      <w:pPr>
        <w:pStyle w:val="Tabletitle"/>
        <w:ind w:left="720" w:hanging="720"/>
      </w:pPr>
      <w:r>
        <w:t xml:space="preserve"> </w:t>
      </w:r>
      <w:r w:rsidR="00C522DB">
        <w:t xml:space="preserve">[1] </w:t>
      </w:r>
      <w:r w:rsidR="00C522DB">
        <w:tab/>
        <w:t xml:space="preserve">National Research Council, </w:t>
      </w:r>
      <w:r w:rsidR="00C522DB" w:rsidRPr="00C522DB">
        <w:rPr>
          <w:i/>
          <w:iCs/>
        </w:rPr>
        <w:t>Toxicity Testing Strategies to Determine Needs and Priorities</w:t>
      </w:r>
      <w:r w:rsidR="00C522DB">
        <w:t xml:space="preserve">, National Academy Press, Washington, DC, 1984. </w:t>
      </w:r>
    </w:p>
    <w:p w14:paraId="4AB1A7AF" w14:textId="3E97A3B3" w:rsidR="00C522DB" w:rsidRDefault="00C522DB" w:rsidP="00936CC1">
      <w:pPr>
        <w:pStyle w:val="Tabletitle"/>
        <w:ind w:left="720" w:hanging="720"/>
      </w:pPr>
      <w:r>
        <w:t xml:space="preserve">[2] </w:t>
      </w:r>
      <w:r>
        <w:tab/>
        <w:t>Toxic Substances Control Act (TSCA) Inventory. Available</w:t>
      </w:r>
      <w:r w:rsidR="00936CC1">
        <w:t xml:space="preserve"> at </w:t>
      </w:r>
      <w:r>
        <w:t>https://19january2017snapshot.epa.gov/tsca-inventory/about-tsca-chemical-substance-inventory_.html. [Accessed 11</w:t>
      </w:r>
      <w:r w:rsidR="009935E3">
        <w:t>-</w:t>
      </w:r>
      <w:r>
        <w:t>4</w:t>
      </w:r>
      <w:r w:rsidR="009935E3">
        <w:t>-</w:t>
      </w:r>
      <w:r>
        <w:t>2018].</w:t>
      </w:r>
    </w:p>
    <w:p w14:paraId="1C7AC815" w14:textId="4AAAF7CB" w:rsidR="00C522DB" w:rsidRDefault="00C522DB" w:rsidP="00936CC1">
      <w:pPr>
        <w:pStyle w:val="Tabletitle"/>
        <w:ind w:left="720" w:hanging="720"/>
      </w:pPr>
      <w:r>
        <w:t xml:space="preserve">[3] </w:t>
      </w:r>
      <w:r>
        <w:tab/>
        <w:t xml:space="preserve">C. M. Auer, J. V. </w:t>
      </w:r>
      <w:proofErr w:type="spellStart"/>
      <w:r>
        <w:t>Nabholz</w:t>
      </w:r>
      <w:proofErr w:type="spellEnd"/>
      <w:r>
        <w:t xml:space="preserve"> and K. P. </w:t>
      </w:r>
      <w:proofErr w:type="spellStart"/>
      <w:r>
        <w:t>Baetcke</w:t>
      </w:r>
      <w:proofErr w:type="spellEnd"/>
      <w:r>
        <w:t xml:space="preserve">, </w:t>
      </w:r>
      <w:r w:rsidRPr="00936CC1">
        <w:rPr>
          <w:i/>
          <w:iCs/>
        </w:rPr>
        <w:t>Mode of action and the assessment of chemical hazards in the presence of limited data: use of structure-activity relationships (SAR) under TSCA, Section 5</w:t>
      </w:r>
      <w:r>
        <w:t xml:space="preserve">, Environ. Health, </w:t>
      </w:r>
      <w:proofErr w:type="spellStart"/>
      <w:r>
        <w:t>Persp</w:t>
      </w:r>
      <w:proofErr w:type="spellEnd"/>
      <w:r>
        <w:t>. 87</w:t>
      </w:r>
      <w:r w:rsidR="00F846D1">
        <w:t xml:space="preserve"> </w:t>
      </w:r>
      <w:r w:rsidR="00936CC1">
        <w:t>(1990),</w:t>
      </w:r>
      <w:r>
        <w:t xml:space="preserve"> pp. 183-197. </w:t>
      </w:r>
    </w:p>
    <w:p w14:paraId="2D5A8980" w14:textId="02E5F314" w:rsidR="00C522DB" w:rsidRDefault="00C522DB" w:rsidP="00933090">
      <w:pPr>
        <w:pStyle w:val="Tabletitle"/>
        <w:ind w:left="720" w:hanging="720"/>
      </w:pPr>
      <w:r>
        <w:t xml:space="preserve">[4] </w:t>
      </w:r>
      <w:r>
        <w:tab/>
        <w:t xml:space="preserve">J. A. </w:t>
      </w:r>
      <w:proofErr w:type="spellStart"/>
      <w:r>
        <w:t>DiMasi</w:t>
      </w:r>
      <w:proofErr w:type="spellEnd"/>
      <w:r>
        <w:t>, H. G. Grabowski and R. W. Hansen</w:t>
      </w:r>
      <w:r w:rsidR="00F846D1">
        <w:t>.</w:t>
      </w:r>
      <w:r>
        <w:t xml:space="preserve"> </w:t>
      </w:r>
      <w:r w:rsidRPr="00F846D1">
        <w:rPr>
          <w:i/>
          <w:iCs/>
        </w:rPr>
        <w:t>Innovation in the pharmaceutical industry: new estimates of R&amp;D costs</w:t>
      </w:r>
      <w:r>
        <w:t>, J. Health Econ. 47</w:t>
      </w:r>
      <w:r w:rsidR="00F846D1">
        <w:t xml:space="preserve"> (2016)</w:t>
      </w:r>
      <w:r>
        <w:t xml:space="preserve">, pp. 20-33. </w:t>
      </w:r>
    </w:p>
    <w:p w14:paraId="0559AC00" w14:textId="4F0985DB" w:rsidR="00C522DB" w:rsidRDefault="00C522DB" w:rsidP="00487DEC">
      <w:pPr>
        <w:pStyle w:val="Tabletitle"/>
        <w:ind w:left="720" w:hanging="720"/>
      </w:pPr>
      <w:r>
        <w:lastRenderedPageBreak/>
        <w:t xml:space="preserve">[5] </w:t>
      </w:r>
      <w:r>
        <w:tab/>
        <w:t xml:space="preserve">R. Benigni, </w:t>
      </w:r>
      <w:r w:rsidRPr="00487DEC">
        <w:rPr>
          <w:i/>
          <w:iCs/>
        </w:rPr>
        <w:t>Quantitative structure-activity relationship (QSAR) Models for Mutagens and Carcinogens</w:t>
      </w:r>
      <w:r>
        <w:t xml:space="preserve">, </w:t>
      </w:r>
      <w:r w:rsidR="00487DEC">
        <w:t xml:space="preserve">CRC Press, </w:t>
      </w:r>
      <w:r>
        <w:t xml:space="preserve">Boca Raton, FL, 2003. </w:t>
      </w:r>
    </w:p>
    <w:p w14:paraId="5C282DD3" w14:textId="61EA6046" w:rsidR="00C522DB" w:rsidRDefault="00C522DB" w:rsidP="009750B8">
      <w:pPr>
        <w:pStyle w:val="Tabletitle"/>
        <w:ind w:left="720" w:hanging="720"/>
      </w:pPr>
      <w:r>
        <w:t xml:space="preserve">[6] </w:t>
      </w:r>
      <w:r>
        <w:tab/>
        <w:t xml:space="preserve">E. L. </w:t>
      </w:r>
      <w:proofErr w:type="spellStart"/>
      <w:r>
        <w:t>Piparo</w:t>
      </w:r>
      <w:proofErr w:type="spellEnd"/>
      <w:r>
        <w:t xml:space="preserve"> and A. Worth, </w:t>
      </w:r>
      <w:r w:rsidRPr="009750B8">
        <w:rPr>
          <w:i/>
          <w:iCs/>
        </w:rPr>
        <w:t>Review of QSAR Models and Software Tools for Predicting Developmental and Reproductive Toxicity</w:t>
      </w:r>
      <w:r>
        <w:t xml:space="preserve">, JRC Scientific and Technical Reports EUR 24522 EN, </w:t>
      </w:r>
      <w:proofErr w:type="spellStart"/>
      <w:r>
        <w:t>Ispra</w:t>
      </w:r>
      <w:proofErr w:type="spellEnd"/>
      <w:r>
        <w:t>, Italy, 2010.</w:t>
      </w:r>
    </w:p>
    <w:p w14:paraId="0C72EFD7" w14:textId="2A186A11" w:rsidR="00C522DB" w:rsidRDefault="00C522DB" w:rsidP="006F3DB1">
      <w:pPr>
        <w:pStyle w:val="Tabletitle"/>
        <w:ind w:left="720" w:hanging="720"/>
      </w:pPr>
      <w:r>
        <w:t xml:space="preserve">[7] </w:t>
      </w:r>
      <w:r>
        <w:tab/>
        <w:t xml:space="preserve">S. C. </w:t>
      </w:r>
      <w:proofErr w:type="spellStart"/>
      <w:r>
        <w:t>Basak</w:t>
      </w:r>
      <w:proofErr w:type="spellEnd"/>
      <w:r>
        <w:t xml:space="preserve"> and S. Majumdar, </w:t>
      </w:r>
      <w:r w:rsidRPr="006F3DB1">
        <w:rPr>
          <w:i/>
          <w:iCs/>
        </w:rPr>
        <w:t xml:space="preserve">Current landscape of hierarchical QSAR </w:t>
      </w:r>
      <w:proofErr w:type="spellStart"/>
      <w:r w:rsidRPr="006F3DB1">
        <w:rPr>
          <w:i/>
          <w:iCs/>
        </w:rPr>
        <w:t>modeling</w:t>
      </w:r>
      <w:proofErr w:type="spellEnd"/>
      <w:r w:rsidRPr="006F3DB1">
        <w:rPr>
          <w:i/>
          <w:iCs/>
        </w:rPr>
        <w:t xml:space="preserve"> and its applications: Some comments on the importance of mathematical descriptors as well as rigorous statistical methods of model building and validation</w:t>
      </w:r>
      <w:r>
        <w:t xml:space="preserve">, in </w:t>
      </w:r>
      <w:r w:rsidRPr="006F3DB1">
        <w:rPr>
          <w:i/>
          <w:iCs/>
        </w:rPr>
        <w:t>Advances in Mathematical Chemistry and Applications</w:t>
      </w:r>
      <w:r w:rsidR="001B6B26" w:rsidRPr="001B6B26">
        <w:t xml:space="preserve"> </w:t>
      </w:r>
      <w:r w:rsidR="001B6B26" w:rsidRPr="001B6B26">
        <w:rPr>
          <w:i/>
          <w:iCs/>
        </w:rPr>
        <w:t>Vol. 1</w:t>
      </w:r>
      <w:r w:rsidR="006F3DB1">
        <w:t xml:space="preserve">, </w:t>
      </w:r>
      <w:r>
        <w:t>Bentham e-Books, 2016, pp. 251-281.</w:t>
      </w:r>
    </w:p>
    <w:p w14:paraId="3067CC12" w14:textId="54275FF8" w:rsidR="00C522DB" w:rsidRPr="00CD2E11" w:rsidRDefault="00C522DB" w:rsidP="00464A75">
      <w:pPr>
        <w:pStyle w:val="Tabletitle"/>
        <w:ind w:left="720" w:hanging="720"/>
      </w:pPr>
      <w:r>
        <w:t xml:space="preserve">[8] </w:t>
      </w:r>
      <w:r>
        <w:tab/>
        <w:t xml:space="preserve">S. C. </w:t>
      </w:r>
      <w:proofErr w:type="spellStart"/>
      <w:r>
        <w:t>Basak</w:t>
      </w:r>
      <w:proofErr w:type="spellEnd"/>
      <w:r>
        <w:t xml:space="preserve">, D. K. </w:t>
      </w:r>
      <w:proofErr w:type="spellStart"/>
      <w:r>
        <w:t>Harriss</w:t>
      </w:r>
      <w:proofErr w:type="spellEnd"/>
      <w:r>
        <w:t xml:space="preserve"> and V. R. Magnuson, </w:t>
      </w:r>
      <w:r w:rsidRPr="00CD2E11">
        <w:rPr>
          <w:i/>
          <w:iCs/>
        </w:rPr>
        <w:t>POLLY v2.3</w:t>
      </w:r>
      <w:r>
        <w:t xml:space="preserve">, </w:t>
      </w:r>
      <w:r w:rsidRPr="00CD2E11">
        <w:t>Copyright of the University of Minnesota, 1988.</w:t>
      </w:r>
    </w:p>
    <w:p w14:paraId="190C9486" w14:textId="03A2981D" w:rsidR="00C522DB" w:rsidRDefault="00C522DB" w:rsidP="00EE769C">
      <w:pPr>
        <w:pStyle w:val="Tabletitle"/>
        <w:ind w:left="720" w:hanging="720"/>
      </w:pPr>
      <w:r>
        <w:t xml:space="preserve">[9] </w:t>
      </w:r>
      <w:r>
        <w:tab/>
        <w:t xml:space="preserve">J. Stewart, </w:t>
      </w:r>
      <w:r w:rsidRPr="00EE769C">
        <w:rPr>
          <w:i/>
          <w:iCs/>
        </w:rPr>
        <w:t>MOPAC Version 6.00, QCPE #455</w:t>
      </w:r>
      <w:r>
        <w:t>, Frank J. Seiler Research Laboratory</w:t>
      </w:r>
      <w:r w:rsidR="00EE769C">
        <w:t xml:space="preserve">, </w:t>
      </w:r>
      <w:r>
        <w:t xml:space="preserve">US Air Force Academy, CO, 1990. </w:t>
      </w:r>
    </w:p>
    <w:p w14:paraId="12AAA52F" w14:textId="3E74C34C" w:rsidR="00C522DB" w:rsidRDefault="00C522DB" w:rsidP="00C522DB">
      <w:pPr>
        <w:pStyle w:val="Tabletitle"/>
      </w:pPr>
      <w:r>
        <w:t xml:space="preserve">[10] </w:t>
      </w:r>
      <w:r>
        <w:tab/>
      </w:r>
      <w:proofErr w:type="spellStart"/>
      <w:r w:rsidRPr="00941C8D">
        <w:rPr>
          <w:i/>
          <w:iCs/>
        </w:rPr>
        <w:t>Sybyl</w:t>
      </w:r>
      <w:proofErr w:type="spellEnd"/>
      <w:r w:rsidRPr="00941C8D">
        <w:rPr>
          <w:i/>
          <w:iCs/>
        </w:rPr>
        <w:t xml:space="preserve"> Version 6.2</w:t>
      </w:r>
      <w:r w:rsidR="009E4F30">
        <w:t>, Tripos Associates, Inc,</w:t>
      </w:r>
      <w:r>
        <w:t xml:space="preserve"> St. Louis, MO</w:t>
      </w:r>
      <w:r w:rsidR="009E4F30">
        <w:t xml:space="preserve">, </w:t>
      </w:r>
      <w:r>
        <w:t xml:space="preserve">1995. </w:t>
      </w:r>
    </w:p>
    <w:p w14:paraId="378FC102" w14:textId="403EEB32" w:rsidR="00C522DB" w:rsidRDefault="00C522DB" w:rsidP="00941C8D">
      <w:pPr>
        <w:pStyle w:val="Tabletitle"/>
        <w:ind w:left="720" w:hanging="720"/>
      </w:pPr>
      <w:r>
        <w:t xml:space="preserve">[11] </w:t>
      </w:r>
      <w:r>
        <w:tab/>
        <w:t xml:space="preserve">S. </w:t>
      </w:r>
      <w:proofErr w:type="spellStart"/>
      <w:r>
        <w:t>Basak</w:t>
      </w:r>
      <w:proofErr w:type="spellEnd"/>
      <w:r>
        <w:t xml:space="preserve">, G. Grunwald and A. </w:t>
      </w:r>
      <w:proofErr w:type="spellStart"/>
      <w:r>
        <w:t>Balaban</w:t>
      </w:r>
      <w:proofErr w:type="spellEnd"/>
      <w:r>
        <w:t xml:space="preserve">, </w:t>
      </w:r>
      <w:r w:rsidRPr="00941C8D">
        <w:rPr>
          <w:i/>
          <w:iCs/>
        </w:rPr>
        <w:t>TRIPLET</w:t>
      </w:r>
      <w:r>
        <w:t>, Copyright of the Regents of the University of Minnesota, 1993.</w:t>
      </w:r>
    </w:p>
    <w:p w14:paraId="20EC47C4" w14:textId="1A806B1B" w:rsidR="00C522DB" w:rsidRDefault="00C522DB" w:rsidP="00C9560D">
      <w:pPr>
        <w:pStyle w:val="Tabletitle"/>
        <w:ind w:left="720" w:hanging="720"/>
      </w:pPr>
      <w:r>
        <w:t xml:space="preserve">[12] </w:t>
      </w:r>
      <w:r>
        <w:tab/>
        <w:t xml:space="preserve">S. C. </w:t>
      </w:r>
      <w:proofErr w:type="spellStart"/>
      <w:r>
        <w:t>Basak</w:t>
      </w:r>
      <w:proofErr w:type="spellEnd"/>
      <w:r>
        <w:t xml:space="preserve">, B. D. </w:t>
      </w:r>
      <w:proofErr w:type="spellStart"/>
      <w:r>
        <w:t>Gute</w:t>
      </w:r>
      <w:proofErr w:type="spellEnd"/>
      <w:r>
        <w:t xml:space="preserve"> and G. D. Grunwald, </w:t>
      </w:r>
      <w:r w:rsidRPr="00C9560D">
        <w:rPr>
          <w:i/>
          <w:iCs/>
        </w:rPr>
        <w:t>A hierarchical approach to the development of QSAR models using topological, geometrical and quantum chemical parameters</w:t>
      </w:r>
      <w:r>
        <w:t xml:space="preserve">, in </w:t>
      </w:r>
      <w:r w:rsidRPr="00C9560D">
        <w:rPr>
          <w:i/>
          <w:iCs/>
        </w:rPr>
        <w:t>Topological Indices and Related Descriptors in QSAR and QSPR</w:t>
      </w:r>
      <w:r>
        <w:t xml:space="preserve">, J. </w:t>
      </w:r>
      <w:proofErr w:type="spellStart"/>
      <w:r>
        <w:t>Devillers</w:t>
      </w:r>
      <w:proofErr w:type="spellEnd"/>
      <w:r>
        <w:t xml:space="preserve"> and A. T. </w:t>
      </w:r>
      <w:proofErr w:type="spellStart"/>
      <w:r>
        <w:t>Balaban</w:t>
      </w:r>
      <w:proofErr w:type="spellEnd"/>
      <w:r>
        <w:t xml:space="preserve">, </w:t>
      </w:r>
      <w:r w:rsidR="006A53E3">
        <w:t>e</w:t>
      </w:r>
      <w:r>
        <w:t xml:space="preserve">ds., </w:t>
      </w:r>
      <w:r w:rsidR="00C9560D">
        <w:t xml:space="preserve">Gordon and Breach Science Publishers, </w:t>
      </w:r>
      <w:r>
        <w:t>Amsterdam, The Netherlands, 1999, pp. 675-696.</w:t>
      </w:r>
    </w:p>
    <w:p w14:paraId="2389DC1C" w14:textId="2AAA3512" w:rsidR="00C522DB" w:rsidRDefault="00C522DB" w:rsidP="006A53E3">
      <w:pPr>
        <w:pStyle w:val="Tabletitle"/>
        <w:ind w:left="720" w:hanging="720"/>
      </w:pPr>
      <w:r>
        <w:t xml:space="preserve">[13] </w:t>
      </w:r>
      <w:r>
        <w:tab/>
        <w:t xml:space="preserve">S. C. </w:t>
      </w:r>
      <w:proofErr w:type="spellStart"/>
      <w:r>
        <w:t>Basak</w:t>
      </w:r>
      <w:proofErr w:type="spellEnd"/>
      <w:r>
        <w:t xml:space="preserve">, D. Mills, B. D. </w:t>
      </w:r>
      <w:proofErr w:type="spellStart"/>
      <w:r>
        <w:t>Gute</w:t>
      </w:r>
      <w:proofErr w:type="spellEnd"/>
      <w:r>
        <w:t xml:space="preserve"> and D. M. Hawkins, </w:t>
      </w:r>
      <w:r w:rsidRPr="006A53E3">
        <w:rPr>
          <w:i/>
          <w:iCs/>
        </w:rPr>
        <w:t>Predicting Mutagenicity of Congeneric and Diverse Sets of Chemicals Using Computed Molecular Descriptors: A Hierarchical Approach</w:t>
      </w:r>
      <w:r>
        <w:t xml:space="preserve">, in </w:t>
      </w:r>
      <w:r w:rsidRPr="006A53E3">
        <w:rPr>
          <w:i/>
          <w:iCs/>
        </w:rPr>
        <w:t>Quantitative structure-activity relationship (QSAR) models of mutagens and carcinogens</w:t>
      </w:r>
      <w:r>
        <w:t xml:space="preserve">, R. Benigni, </w:t>
      </w:r>
      <w:r w:rsidR="006A53E3">
        <w:t>e</w:t>
      </w:r>
      <w:r>
        <w:t xml:space="preserve">d., </w:t>
      </w:r>
      <w:r w:rsidR="006A53E3">
        <w:t xml:space="preserve">CRC Press, </w:t>
      </w:r>
      <w:r>
        <w:t>Boca Raton, FL, 2007, pp. 215-242.</w:t>
      </w:r>
    </w:p>
    <w:p w14:paraId="7ACDD098" w14:textId="177D58DF" w:rsidR="00C522DB" w:rsidRDefault="00C522DB" w:rsidP="00CB0BD3">
      <w:pPr>
        <w:pStyle w:val="Tabletitle"/>
        <w:ind w:left="720" w:hanging="720"/>
      </w:pPr>
      <w:r>
        <w:lastRenderedPageBreak/>
        <w:t xml:space="preserve">[14] </w:t>
      </w:r>
      <w:r>
        <w:tab/>
        <w:t xml:space="preserve">S. Majumdar and S. C. </w:t>
      </w:r>
      <w:proofErr w:type="spellStart"/>
      <w:r>
        <w:t>Basak</w:t>
      </w:r>
      <w:proofErr w:type="spellEnd"/>
      <w:r>
        <w:t xml:space="preserve">, </w:t>
      </w:r>
      <w:r w:rsidRPr="00CB0BD3">
        <w:rPr>
          <w:i/>
          <w:iCs/>
        </w:rPr>
        <w:t>Beware of external validation! – A Comparative Study of Several Validation Techniques used in QSAR Modelling</w:t>
      </w:r>
      <w:r>
        <w:t xml:space="preserve">, </w:t>
      </w:r>
      <w:proofErr w:type="spellStart"/>
      <w:r>
        <w:t>Curr</w:t>
      </w:r>
      <w:proofErr w:type="spellEnd"/>
      <w:r>
        <w:t xml:space="preserve">. </w:t>
      </w:r>
      <w:proofErr w:type="spellStart"/>
      <w:r>
        <w:t>Comput</w:t>
      </w:r>
      <w:proofErr w:type="spellEnd"/>
      <w:r>
        <w:t>. Aided Drug Des. 14</w:t>
      </w:r>
      <w:r w:rsidR="00CB0BD3">
        <w:t xml:space="preserve"> (2018), </w:t>
      </w:r>
      <w:r>
        <w:t>in pres</w:t>
      </w:r>
      <w:r w:rsidR="00CB0BD3">
        <w:t>s</w:t>
      </w:r>
      <w:r>
        <w:t xml:space="preserve">. </w:t>
      </w:r>
    </w:p>
    <w:p w14:paraId="44C860CA" w14:textId="1F6241A7" w:rsidR="00C522DB" w:rsidRDefault="00C522DB" w:rsidP="00CF6041">
      <w:pPr>
        <w:pStyle w:val="Tabletitle"/>
        <w:ind w:left="720" w:hanging="720"/>
      </w:pPr>
      <w:r>
        <w:t xml:space="preserve">[15] </w:t>
      </w:r>
      <w:r>
        <w:tab/>
        <w:t xml:space="preserve">S. </w:t>
      </w:r>
      <w:proofErr w:type="spellStart"/>
      <w:r>
        <w:t>Basak</w:t>
      </w:r>
      <w:proofErr w:type="spellEnd"/>
      <w:r>
        <w:t xml:space="preserve">, V. Magnuson, G. Niemi, R. Regal and G. </w:t>
      </w:r>
      <w:proofErr w:type="spellStart"/>
      <w:r>
        <w:t>Veith</w:t>
      </w:r>
      <w:proofErr w:type="spellEnd"/>
      <w:r>
        <w:t xml:space="preserve">, </w:t>
      </w:r>
      <w:r w:rsidRPr="00CF6041">
        <w:rPr>
          <w:i/>
          <w:iCs/>
        </w:rPr>
        <w:t>Topological indices: their nature, mutual relatedness, and applications</w:t>
      </w:r>
      <w:r>
        <w:t>, Math. Modelling 8</w:t>
      </w:r>
      <w:r w:rsidR="00CF6041">
        <w:t xml:space="preserve"> (1987)</w:t>
      </w:r>
      <w:r>
        <w:t xml:space="preserve">, pp. 300-305. </w:t>
      </w:r>
    </w:p>
    <w:p w14:paraId="5635EBBD" w14:textId="0691D76F" w:rsidR="00C522DB" w:rsidRDefault="00C522DB" w:rsidP="00D42E33">
      <w:pPr>
        <w:pStyle w:val="Tabletitle"/>
        <w:ind w:left="720" w:hanging="720"/>
      </w:pPr>
      <w:r>
        <w:t xml:space="preserve">[16] </w:t>
      </w:r>
      <w:r>
        <w:tab/>
      </w:r>
      <w:r w:rsidRPr="00D42E33">
        <w:rPr>
          <w:i/>
          <w:iCs/>
        </w:rPr>
        <w:t>Small-Molecule Drug Discovery Suite 2009</w:t>
      </w:r>
      <w:r>
        <w:t xml:space="preserve">, </w:t>
      </w:r>
      <w:r w:rsidR="00D42E33">
        <w:t xml:space="preserve">Schrödinger LLC, </w:t>
      </w:r>
      <w:r>
        <w:t xml:space="preserve">New York, NY, 2009. </w:t>
      </w:r>
    </w:p>
    <w:p w14:paraId="6DA1A100" w14:textId="4A4F36C0" w:rsidR="00C522DB" w:rsidRDefault="00C522DB" w:rsidP="0011376E">
      <w:pPr>
        <w:pStyle w:val="Tabletitle"/>
        <w:ind w:left="720" w:hanging="720"/>
      </w:pPr>
      <w:r>
        <w:t xml:space="preserve">[17] </w:t>
      </w:r>
      <w:r>
        <w:tab/>
        <w:t xml:space="preserve">O. </w:t>
      </w:r>
      <w:proofErr w:type="spellStart"/>
      <w:r>
        <w:t>Ursu</w:t>
      </w:r>
      <w:proofErr w:type="spellEnd"/>
      <w:r>
        <w:t xml:space="preserve"> and M. V. </w:t>
      </w:r>
      <w:proofErr w:type="spellStart"/>
      <w:r>
        <w:t>Diudea</w:t>
      </w:r>
      <w:proofErr w:type="spellEnd"/>
      <w:r>
        <w:t xml:space="preserve">, </w:t>
      </w:r>
      <w:r w:rsidRPr="0011376E">
        <w:rPr>
          <w:i/>
          <w:iCs/>
        </w:rPr>
        <w:t>TOPOCLUJ software program</w:t>
      </w:r>
      <w:r>
        <w:t xml:space="preserve">, </w:t>
      </w:r>
      <w:r w:rsidR="0011376E">
        <w:t>Babes-</w:t>
      </w:r>
      <w:proofErr w:type="spellStart"/>
      <w:r w:rsidR="0011376E">
        <w:t>Bolyai</w:t>
      </w:r>
      <w:proofErr w:type="spellEnd"/>
      <w:r w:rsidR="0011376E">
        <w:t xml:space="preserve"> University, </w:t>
      </w:r>
      <w:r>
        <w:t xml:space="preserve">Cluj, Romania, 2005. </w:t>
      </w:r>
    </w:p>
    <w:p w14:paraId="6CAA7A0E" w14:textId="787AD41D" w:rsidR="00C522DB" w:rsidRDefault="00C522DB" w:rsidP="005C3FD7">
      <w:pPr>
        <w:pStyle w:val="Tabletitle"/>
        <w:ind w:left="720" w:hanging="720"/>
      </w:pPr>
      <w:r>
        <w:t xml:space="preserve">[18] </w:t>
      </w:r>
      <w:r>
        <w:tab/>
      </w:r>
      <w:r w:rsidRPr="005C3FD7">
        <w:rPr>
          <w:i/>
          <w:iCs/>
        </w:rPr>
        <w:t>Molecular Operating Environment (MOE),</w:t>
      </w:r>
      <w:r>
        <w:t xml:space="preserve"> </w:t>
      </w:r>
      <w:r w:rsidR="00BC5462">
        <w:t xml:space="preserve">Chemical Computing Group ULC, </w:t>
      </w:r>
      <w:r>
        <w:t>Montreal, QC, Canada</w:t>
      </w:r>
      <w:r w:rsidR="00BC5462">
        <w:t>,</w:t>
      </w:r>
      <w:r>
        <w:t xml:space="preserve"> 2004. </w:t>
      </w:r>
    </w:p>
    <w:p w14:paraId="63194B11" w14:textId="5BE94754" w:rsidR="00C522DB" w:rsidRDefault="00C522DB" w:rsidP="006721F5">
      <w:pPr>
        <w:pStyle w:val="Tabletitle"/>
        <w:ind w:left="720" w:hanging="720"/>
      </w:pPr>
      <w:r>
        <w:t xml:space="preserve">[19] </w:t>
      </w:r>
      <w:r>
        <w:tab/>
        <w:t xml:space="preserve">C. Lungu, M. </w:t>
      </w:r>
      <w:proofErr w:type="spellStart"/>
      <w:r>
        <w:t>Diudea</w:t>
      </w:r>
      <w:proofErr w:type="spellEnd"/>
      <w:r>
        <w:t xml:space="preserve">, M. Putz and I. </w:t>
      </w:r>
      <w:proofErr w:type="spellStart"/>
      <w:r>
        <w:t>Grudziński</w:t>
      </w:r>
      <w:proofErr w:type="spellEnd"/>
      <w:r>
        <w:t xml:space="preserve">, </w:t>
      </w:r>
      <w:r w:rsidRPr="002B13B8">
        <w:rPr>
          <w:i/>
          <w:iCs/>
        </w:rPr>
        <w:t>Linear and Branched PEIs (</w:t>
      </w:r>
      <w:proofErr w:type="spellStart"/>
      <w:r w:rsidRPr="002B13B8">
        <w:rPr>
          <w:i/>
          <w:iCs/>
        </w:rPr>
        <w:t>Polyethylenimines</w:t>
      </w:r>
      <w:proofErr w:type="spellEnd"/>
      <w:r w:rsidRPr="002B13B8">
        <w:rPr>
          <w:i/>
          <w:iCs/>
        </w:rPr>
        <w:t>) and Their Property Space</w:t>
      </w:r>
      <w:r>
        <w:t>, Int. J. Mol. Sci. 17</w:t>
      </w:r>
      <w:r w:rsidR="002B13B8">
        <w:t xml:space="preserve"> (2016)</w:t>
      </w:r>
      <w:r>
        <w:t>, p</w:t>
      </w:r>
      <w:r w:rsidR="002B13B8">
        <w:t>p</w:t>
      </w:r>
      <w:r>
        <w:t xml:space="preserve">. 555. </w:t>
      </w:r>
    </w:p>
    <w:p w14:paraId="5C61BF3D" w14:textId="28FE1129" w:rsidR="00C522DB" w:rsidRDefault="00C522DB" w:rsidP="006721F5">
      <w:pPr>
        <w:pStyle w:val="Tabletitle"/>
        <w:ind w:left="720" w:hanging="720"/>
      </w:pPr>
      <w:r>
        <w:t xml:space="preserve">[20] </w:t>
      </w:r>
      <w:r>
        <w:tab/>
        <w:t xml:space="preserve">C. N. Lungu, </w:t>
      </w:r>
      <w:r w:rsidRPr="00477CBB">
        <w:rPr>
          <w:i/>
          <w:iCs/>
        </w:rPr>
        <w:t>C-C Chemokine receptor type 3 inhibitors: Bioactivity prediction using local vertex invariants based on thermal conductivity layer matrix</w:t>
      </w:r>
      <w:r>
        <w:t xml:space="preserve">, </w:t>
      </w:r>
      <w:r w:rsidR="00432C70">
        <w:t>Stud. Univ. Babes-</w:t>
      </w:r>
      <w:proofErr w:type="spellStart"/>
      <w:r w:rsidR="00432C70">
        <w:t>Bolyai</w:t>
      </w:r>
      <w:proofErr w:type="spellEnd"/>
      <w:r w:rsidR="00432C70">
        <w:t xml:space="preserve"> Chem.</w:t>
      </w:r>
      <w:r>
        <w:t xml:space="preserve"> LXIII</w:t>
      </w:r>
      <w:r w:rsidR="00477CBB">
        <w:t>-1 (2018),</w:t>
      </w:r>
      <w:r>
        <w:t xml:space="preserve"> pp. 177-188. </w:t>
      </w:r>
    </w:p>
    <w:p w14:paraId="2CF26EDD" w14:textId="3C01605D" w:rsidR="00C522DB" w:rsidRDefault="00C522DB" w:rsidP="004945E5">
      <w:pPr>
        <w:pStyle w:val="Tabletitle"/>
        <w:ind w:left="720" w:hanging="720"/>
      </w:pPr>
      <w:r>
        <w:t xml:space="preserve">[21] </w:t>
      </w:r>
      <w:r>
        <w:tab/>
        <w:t xml:space="preserve">A. Debnath, G. Debnath, A. Shusterman and C. </w:t>
      </w:r>
      <w:proofErr w:type="spellStart"/>
      <w:r>
        <w:t>Hansch</w:t>
      </w:r>
      <w:proofErr w:type="spellEnd"/>
      <w:r>
        <w:t xml:space="preserve">, </w:t>
      </w:r>
      <w:r w:rsidRPr="004945E5">
        <w:rPr>
          <w:i/>
          <w:iCs/>
        </w:rPr>
        <w:t xml:space="preserve">A QSAR Investigation of the Role of Hydrophobicity in Regulating </w:t>
      </w:r>
      <w:proofErr w:type="spellStart"/>
      <w:r w:rsidRPr="004945E5">
        <w:rPr>
          <w:i/>
          <w:iCs/>
        </w:rPr>
        <w:t>Muagenicity</w:t>
      </w:r>
      <w:proofErr w:type="spellEnd"/>
      <w:r w:rsidRPr="004945E5">
        <w:rPr>
          <w:i/>
          <w:iCs/>
        </w:rPr>
        <w:t xml:space="preserve"> in the Ames Test: 1. Mutagenicity of Aromatic and Heteroaromatic Amines in Salmonella typhimurium TA98 and TA100</w:t>
      </w:r>
      <w:r>
        <w:t>, Environ. Mol. Mutagen.</w:t>
      </w:r>
      <w:r w:rsidR="004945E5">
        <w:t xml:space="preserve"> </w:t>
      </w:r>
      <w:r>
        <w:t>19</w:t>
      </w:r>
      <w:r w:rsidR="004945E5">
        <w:t xml:space="preserve"> (1992)</w:t>
      </w:r>
      <w:r>
        <w:t xml:space="preserve">, pp. 37-52. </w:t>
      </w:r>
    </w:p>
    <w:p w14:paraId="6B93D6BF" w14:textId="518864D7" w:rsidR="00C522DB" w:rsidRDefault="00C522DB" w:rsidP="00A64BA6">
      <w:pPr>
        <w:pStyle w:val="Tabletitle"/>
        <w:ind w:left="720" w:hanging="720"/>
      </w:pPr>
      <w:r>
        <w:t xml:space="preserve">[22] </w:t>
      </w:r>
      <w:r>
        <w:tab/>
        <w:t xml:space="preserve">J. V. </w:t>
      </w:r>
      <w:proofErr w:type="spellStart"/>
      <w:r>
        <w:t>Soderman</w:t>
      </w:r>
      <w:proofErr w:type="spellEnd"/>
      <w:r>
        <w:t xml:space="preserve">, </w:t>
      </w:r>
      <w:r w:rsidRPr="00A64BA6">
        <w:rPr>
          <w:i/>
          <w:iCs/>
        </w:rPr>
        <w:t>CRC Handbook of Identified Carcinogens and Noncarcinogens: Carcinogenicity-Mutagenicity Database</w:t>
      </w:r>
      <w:r w:rsidR="00A64BA6">
        <w:rPr>
          <w:i/>
          <w:iCs/>
        </w:rPr>
        <w:t xml:space="preserve">, </w:t>
      </w:r>
      <w:r w:rsidR="00A64BA6">
        <w:t>CRC Press</w:t>
      </w:r>
      <w:r>
        <w:t>, Boca Raton, FL,</w:t>
      </w:r>
      <w:r w:rsidR="00E62991">
        <w:t xml:space="preserve"> </w:t>
      </w:r>
      <w:r>
        <w:t xml:space="preserve">1982. </w:t>
      </w:r>
    </w:p>
    <w:p w14:paraId="21A23BA6" w14:textId="288C341E" w:rsidR="00C522DB" w:rsidRDefault="00C522DB" w:rsidP="002A6CCC">
      <w:pPr>
        <w:pStyle w:val="Tabletitle"/>
        <w:ind w:left="720" w:hanging="720"/>
      </w:pPr>
      <w:r>
        <w:t xml:space="preserve">[23] </w:t>
      </w:r>
      <w:r>
        <w:tab/>
        <w:t xml:space="preserve">C. Lungu, S. </w:t>
      </w:r>
      <w:proofErr w:type="spellStart"/>
      <w:r>
        <w:t>Ersali</w:t>
      </w:r>
      <w:proofErr w:type="spellEnd"/>
      <w:r>
        <w:t xml:space="preserve">, B. </w:t>
      </w:r>
      <w:proofErr w:type="spellStart"/>
      <w:r>
        <w:t>Szefler</w:t>
      </w:r>
      <w:proofErr w:type="spellEnd"/>
      <w:r>
        <w:t xml:space="preserve">, A. </w:t>
      </w:r>
      <w:proofErr w:type="spellStart"/>
      <w:r>
        <w:t>Pirvan</w:t>
      </w:r>
      <w:proofErr w:type="spellEnd"/>
      <w:r>
        <w:t xml:space="preserve">-Moldovan, S. C. </w:t>
      </w:r>
      <w:proofErr w:type="spellStart"/>
      <w:r>
        <w:t>Basak</w:t>
      </w:r>
      <w:proofErr w:type="spellEnd"/>
      <w:r>
        <w:t xml:space="preserve"> and M. V. </w:t>
      </w:r>
      <w:proofErr w:type="spellStart"/>
      <w:r>
        <w:t>Diudea</w:t>
      </w:r>
      <w:proofErr w:type="spellEnd"/>
      <w:r>
        <w:t xml:space="preserve">, </w:t>
      </w:r>
      <w:r w:rsidRPr="002A6CCC">
        <w:rPr>
          <w:i/>
          <w:iCs/>
        </w:rPr>
        <w:t xml:space="preserve">Dimensionality of big data set explored by </w:t>
      </w:r>
      <w:proofErr w:type="spellStart"/>
      <w:r w:rsidRPr="002A6CCC">
        <w:rPr>
          <w:i/>
          <w:iCs/>
        </w:rPr>
        <w:t>cluj</w:t>
      </w:r>
      <w:proofErr w:type="spellEnd"/>
      <w:r w:rsidRPr="002A6CCC">
        <w:rPr>
          <w:i/>
          <w:iCs/>
        </w:rPr>
        <w:t xml:space="preserve"> descriptors</w:t>
      </w:r>
      <w:r>
        <w:t xml:space="preserve">, </w:t>
      </w:r>
      <w:r w:rsidR="002A6CCC">
        <w:t>Stud. Univ. Babes-</w:t>
      </w:r>
      <w:proofErr w:type="spellStart"/>
      <w:r w:rsidR="002A6CCC">
        <w:t>Bolyai</w:t>
      </w:r>
      <w:proofErr w:type="spellEnd"/>
      <w:r w:rsidR="002A6CCC">
        <w:t xml:space="preserve"> Chem. LXII-3 (2017), pp. 197-204</w:t>
      </w:r>
      <w:r w:rsidR="00010327">
        <w:t>.</w:t>
      </w:r>
    </w:p>
    <w:p w14:paraId="67D71642" w14:textId="4AF87DA3" w:rsidR="00C522DB" w:rsidRDefault="00C522DB" w:rsidP="00C522DB">
      <w:pPr>
        <w:pStyle w:val="Tabletitle"/>
      </w:pPr>
      <w:r>
        <w:t xml:space="preserve">[24] </w:t>
      </w:r>
      <w:r>
        <w:tab/>
      </w:r>
      <w:proofErr w:type="spellStart"/>
      <w:r w:rsidRPr="00445B30">
        <w:rPr>
          <w:i/>
          <w:iCs/>
        </w:rPr>
        <w:t>MolconnZ</w:t>
      </w:r>
      <w:proofErr w:type="spellEnd"/>
      <w:r w:rsidRPr="00445B30">
        <w:rPr>
          <w:i/>
          <w:iCs/>
        </w:rPr>
        <w:t xml:space="preserve"> v4.05</w:t>
      </w:r>
      <w:r>
        <w:t xml:space="preserve">, </w:t>
      </w:r>
      <w:r w:rsidR="00445B30">
        <w:t xml:space="preserve">Hall Ass. Consult., </w:t>
      </w:r>
      <w:r>
        <w:t>Quincy, MA</w:t>
      </w:r>
      <w:r w:rsidR="00445B30">
        <w:t xml:space="preserve">, </w:t>
      </w:r>
      <w:r>
        <w:t xml:space="preserve">2003. </w:t>
      </w:r>
    </w:p>
    <w:p w14:paraId="417DE2B4" w14:textId="17E876A6" w:rsidR="00C522DB" w:rsidRDefault="00C522DB" w:rsidP="00595195">
      <w:pPr>
        <w:pStyle w:val="Tabletitle"/>
        <w:ind w:left="720" w:hanging="720"/>
      </w:pPr>
      <w:r>
        <w:lastRenderedPageBreak/>
        <w:t xml:space="preserve">[25] </w:t>
      </w:r>
      <w:r>
        <w:tab/>
        <w:t xml:space="preserve">S. C. </w:t>
      </w:r>
      <w:proofErr w:type="spellStart"/>
      <w:r>
        <w:t>Basak</w:t>
      </w:r>
      <w:proofErr w:type="spellEnd"/>
      <w:r>
        <w:t xml:space="preserve">, </w:t>
      </w:r>
      <w:r w:rsidRPr="00595195">
        <w:rPr>
          <w:i/>
          <w:iCs/>
        </w:rPr>
        <w:t>Mathematical Structural Descriptors of Molecules and Biomolecules: Background and Applications</w:t>
      </w:r>
      <w:r>
        <w:t xml:space="preserve">, in </w:t>
      </w:r>
      <w:r w:rsidRPr="00595195">
        <w:rPr>
          <w:i/>
          <w:iCs/>
        </w:rPr>
        <w:t>Advances in Mathematical Chemistry and Applications</w:t>
      </w:r>
      <w:r w:rsidR="00595195">
        <w:t xml:space="preserve"> </w:t>
      </w:r>
      <w:r w:rsidR="00595195" w:rsidRPr="00595195">
        <w:rPr>
          <w:i/>
          <w:iCs/>
        </w:rPr>
        <w:t>Vol.</w:t>
      </w:r>
      <w:r w:rsidRPr="00595195">
        <w:rPr>
          <w:i/>
          <w:iCs/>
        </w:rPr>
        <w:t xml:space="preserve"> 1</w:t>
      </w:r>
      <w:r>
        <w:t xml:space="preserve">, S. C. </w:t>
      </w:r>
      <w:proofErr w:type="spellStart"/>
      <w:r>
        <w:t>Basak</w:t>
      </w:r>
      <w:proofErr w:type="spellEnd"/>
      <w:r>
        <w:t xml:space="preserve">, G. Restrepo and J. L. </w:t>
      </w:r>
      <w:proofErr w:type="spellStart"/>
      <w:r>
        <w:t>Villaveces</w:t>
      </w:r>
      <w:proofErr w:type="spellEnd"/>
      <w:r>
        <w:t xml:space="preserve">, </w:t>
      </w:r>
      <w:r w:rsidR="00595195">
        <w:t>e</w:t>
      </w:r>
      <w:r>
        <w:t>ds., Bentham eBooks, Bentham Science Publishers and Elsevier, 2015, pp. 3-23.</w:t>
      </w:r>
    </w:p>
    <w:p w14:paraId="156EEF7B" w14:textId="244C10E5" w:rsidR="00C522DB" w:rsidRDefault="00C522DB" w:rsidP="004C5516">
      <w:pPr>
        <w:pStyle w:val="Tabletitle"/>
        <w:ind w:left="720" w:hanging="720"/>
      </w:pPr>
      <w:r>
        <w:t xml:space="preserve">[26] </w:t>
      </w:r>
      <w:r>
        <w:tab/>
        <w:t xml:space="preserve">S. C. </w:t>
      </w:r>
      <w:proofErr w:type="spellStart"/>
      <w:r>
        <w:t>Basak</w:t>
      </w:r>
      <w:proofErr w:type="spellEnd"/>
      <w:r>
        <w:t xml:space="preserve">, V. R. Magnusson, G. J. Niemi and R. R. Regal, </w:t>
      </w:r>
      <w:proofErr w:type="gramStart"/>
      <w:r w:rsidRPr="004C5516">
        <w:rPr>
          <w:i/>
          <w:iCs/>
        </w:rPr>
        <w:t>Determining</w:t>
      </w:r>
      <w:proofErr w:type="gramEnd"/>
      <w:r w:rsidRPr="004C5516">
        <w:rPr>
          <w:i/>
          <w:iCs/>
        </w:rPr>
        <w:t xml:space="preserve"> structural similarity of chemicals using graph-theoretic indices</w:t>
      </w:r>
      <w:r w:rsidRPr="004C5516">
        <w:t>,</w:t>
      </w:r>
      <w:r>
        <w:t xml:space="preserve"> Discrete Appl. Math.</w:t>
      </w:r>
      <w:r w:rsidR="004C5516">
        <w:t xml:space="preserve"> </w:t>
      </w:r>
      <w:r>
        <w:t>19</w:t>
      </w:r>
      <w:r w:rsidR="004C5516">
        <w:t xml:space="preserve"> (1988)</w:t>
      </w:r>
      <w:r>
        <w:t xml:space="preserve">, pp. 17-44. </w:t>
      </w:r>
    </w:p>
    <w:p w14:paraId="5BE5FE39" w14:textId="0AC3648D" w:rsidR="00C522DB" w:rsidRDefault="00C522DB" w:rsidP="00FD23F3">
      <w:pPr>
        <w:pStyle w:val="Tabletitle"/>
        <w:ind w:left="720" w:hanging="720"/>
      </w:pPr>
      <w:r>
        <w:t xml:space="preserve">[27] </w:t>
      </w:r>
      <w:r>
        <w:tab/>
        <w:t xml:space="preserve">A. </w:t>
      </w:r>
      <w:proofErr w:type="spellStart"/>
      <w:r>
        <w:t>Lauria</w:t>
      </w:r>
      <w:proofErr w:type="spellEnd"/>
      <w:r>
        <w:t xml:space="preserve">, M. Ippolito and A. M. </w:t>
      </w:r>
      <w:proofErr w:type="spellStart"/>
      <w:r>
        <w:t>Almerico</w:t>
      </w:r>
      <w:proofErr w:type="spellEnd"/>
      <w:r>
        <w:t xml:space="preserve">, </w:t>
      </w:r>
      <w:r w:rsidRPr="00FD23F3">
        <w:rPr>
          <w:i/>
          <w:iCs/>
        </w:rPr>
        <w:t>Combined Use of PCA and QSAR/QSPR to Predict the Drugs Mechanism of Action. An Application to the NCI ACAM Database</w:t>
      </w:r>
      <w:r>
        <w:t>, Mol. Inform. 28</w:t>
      </w:r>
      <w:r w:rsidR="00FD23F3">
        <w:t>-</w:t>
      </w:r>
      <w:r>
        <w:t>4</w:t>
      </w:r>
      <w:r w:rsidR="00FD23F3">
        <w:t xml:space="preserve"> (2009)</w:t>
      </w:r>
      <w:r>
        <w:t xml:space="preserve">, pp. 387-395. </w:t>
      </w:r>
    </w:p>
    <w:p w14:paraId="2156C7EC" w14:textId="1A3C8584" w:rsidR="00C522DB" w:rsidRDefault="00C522DB" w:rsidP="000B6CEC">
      <w:pPr>
        <w:pStyle w:val="Tabletitle"/>
        <w:ind w:left="720" w:hanging="720"/>
      </w:pPr>
      <w:r>
        <w:t xml:space="preserve">[28] </w:t>
      </w:r>
      <w:r>
        <w:tab/>
        <w:t xml:space="preserve">S. Majumdar and S. C. </w:t>
      </w:r>
      <w:proofErr w:type="spellStart"/>
      <w:r>
        <w:t>Basak</w:t>
      </w:r>
      <w:proofErr w:type="spellEnd"/>
      <w:r>
        <w:t xml:space="preserve">, </w:t>
      </w:r>
      <w:r w:rsidRPr="000B6CEC">
        <w:rPr>
          <w:i/>
          <w:iCs/>
        </w:rPr>
        <w:t>Exploring intrinsic dimensionality of chemical spaces for robust QSAR model development: A comparison of several statistical approaches</w:t>
      </w:r>
      <w:r>
        <w:t xml:space="preserve">, </w:t>
      </w:r>
      <w:proofErr w:type="spellStart"/>
      <w:r>
        <w:t>Curr</w:t>
      </w:r>
      <w:proofErr w:type="spellEnd"/>
      <w:r>
        <w:t xml:space="preserve">. </w:t>
      </w:r>
      <w:proofErr w:type="spellStart"/>
      <w:r>
        <w:t>Comput</w:t>
      </w:r>
      <w:proofErr w:type="spellEnd"/>
      <w:r>
        <w:t>. Aided Drug Des. 12</w:t>
      </w:r>
      <w:r w:rsidR="000B6CEC">
        <w:t>-</w:t>
      </w:r>
      <w:r>
        <w:t>4</w:t>
      </w:r>
      <w:r w:rsidR="000B6CEC">
        <w:t xml:space="preserve"> (2016)</w:t>
      </w:r>
      <w:r>
        <w:t xml:space="preserve">, pp. 294-301. </w:t>
      </w:r>
    </w:p>
    <w:p w14:paraId="19405BD7" w14:textId="5A571D4A" w:rsidR="00C522DB" w:rsidRDefault="00C522DB" w:rsidP="006619E8">
      <w:pPr>
        <w:pStyle w:val="Tabletitle"/>
        <w:ind w:left="720" w:hanging="720"/>
      </w:pPr>
      <w:r>
        <w:t xml:space="preserve">[29] </w:t>
      </w:r>
      <w:r>
        <w:tab/>
        <w:t xml:space="preserve">S. Majumdar, </w:t>
      </w:r>
      <w:r w:rsidRPr="006619E8">
        <w:rPr>
          <w:i/>
          <w:iCs/>
        </w:rPr>
        <w:t>Robust estimation of principal components from depth-based multivariate rank covariance matrix</w:t>
      </w:r>
      <w:r>
        <w:t>,</w:t>
      </w:r>
      <w:r w:rsidR="006619E8">
        <w:t xml:space="preserve"> preprint</w:t>
      </w:r>
      <w:r>
        <w:t xml:space="preserve"> </w:t>
      </w:r>
      <w:r w:rsidR="006619E8">
        <w:t>(</w:t>
      </w:r>
      <w:r>
        <w:t>2015</w:t>
      </w:r>
      <w:r w:rsidR="006619E8">
        <w:t>)</w:t>
      </w:r>
      <w:r>
        <w:t>. Available</w:t>
      </w:r>
      <w:r w:rsidR="006619E8">
        <w:t xml:space="preserve"> at</w:t>
      </w:r>
      <w:r>
        <w:t xml:space="preserve"> http://arxiv.org/abs/1502.07042.</w:t>
      </w:r>
    </w:p>
    <w:p w14:paraId="550FF5EF" w14:textId="5B617A55" w:rsidR="00C522DB" w:rsidRDefault="00C522DB" w:rsidP="006619E8">
      <w:pPr>
        <w:pStyle w:val="Tabletitle"/>
        <w:ind w:left="720" w:hanging="720"/>
      </w:pPr>
      <w:r>
        <w:t xml:space="preserve">[30] </w:t>
      </w:r>
      <w:r>
        <w:tab/>
        <w:t xml:space="preserve">R. </w:t>
      </w:r>
      <w:proofErr w:type="spellStart"/>
      <w:r>
        <w:t>Tibshirani</w:t>
      </w:r>
      <w:proofErr w:type="spellEnd"/>
      <w:r>
        <w:t xml:space="preserve">, </w:t>
      </w:r>
      <w:r w:rsidRPr="006619E8">
        <w:rPr>
          <w:i/>
          <w:iCs/>
        </w:rPr>
        <w:t>Regression Shrinkage and Selection via the Lasso</w:t>
      </w:r>
      <w:r>
        <w:t xml:space="preserve">, J. R. Statist. Soc. </w:t>
      </w:r>
      <w:r w:rsidR="006619E8">
        <w:t xml:space="preserve">B, </w:t>
      </w:r>
      <w:r>
        <w:t>58</w:t>
      </w:r>
      <w:r w:rsidR="006619E8">
        <w:t xml:space="preserve"> (1996)</w:t>
      </w:r>
      <w:r>
        <w:t xml:space="preserve">, pp. 267-288. </w:t>
      </w:r>
    </w:p>
    <w:p w14:paraId="605ABFD1" w14:textId="14694D1B" w:rsidR="00C522DB" w:rsidRDefault="00C522DB" w:rsidP="00B15D2A">
      <w:pPr>
        <w:pStyle w:val="Tabletitle"/>
        <w:ind w:left="720" w:hanging="720"/>
      </w:pPr>
      <w:r>
        <w:t xml:space="preserve">[31] </w:t>
      </w:r>
      <w:r>
        <w:tab/>
        <w:t xml:space="preserve">J. Fan and R. Li, </w:t>
      </w:r>
      <w:r w:rsidRPr="00B15D2A">
        <w:rPr>
          <w:i/>
          <w:iCs/>
        </w:rPr>
        <w:t>Variable Selection via Nonconcave Penalized Likelihood and its Oracle Properties</w:t>
      </w:r>
      <w:r>
        <w:t>, J. Amer. Statist. Assoc. 96</w:t>
      </w:r>
      <w:r w:rsidR="00B15D2A">
        <w:t xml:space="preserve"> (2001)</w:t>
      </w:r>
      <w:r>
        <w:t xml:space="preserve">, pp. 1348-1360. </w:t>
      </w:r>
    </w:p>
    <w:p w14:paraId="147DA7A5" w14:textId="1A24EB4A" w:rsidR="00C522DB" w:rsidRDefault="00C522DB" w:rsidP="00774FC9">
      <w:pPr>
        <w:pStyle w:val="Tabletitle"/>
        <w:ind w:left="720" w:hanging="720"/>
      </w:pPr>
      <w:r>
        <w:t xml:space="preserve">[32] </w:t>
      </w:r>
      <w:r>
        <w:tab/>
        <w:t xml:space="preserve">J. B. O. Mitchell, </w:t>
      </w:r>
      <w:r w:rsidRPr="00774FC9">
        <w:rPr>
          <w:i/>
          <w:iCs/>
        </w:rPr>
        <w:t xml:space="preserve">Machine learning methods in </w:t>
      </w:r>
      <w:proofErr w:type="spellStart"/>
      <w:r w:rsidRPr="00774FC9">
        <w:rPr>
          <w:i/>
          <w:iCs/>
        </w:rPr>
        <w:t>chemoinformatics</w:t>
      </w:r>
      <w:proofErr w:type="spellEnd"/>
      <w:r>
        <w:t xml:space="preserve">, WIREs </w:t>
      </w:r>
      <w:proofErr w:type="spellStart"/>
      <w:r>
        <w:t>Comput</w:t>
      </w:r>
      <w:proofErr w:type="spellEnd"/>
      <w:r>
        <w:t>. Mol. Sci. 4</w:t>
      </w:r>
      <w:r w:rsidR="00774FC9">
        <w:t xml:space="preserve"> (2014)</w:t>
      </w:r>
      <w:r>
        <w:t xml:space="preserve">, pp. 468-481. </w:t>
      </w:r>
    </w:p>
    <w:p w14:paraId="33951BF1" w14:textId="63838D74" w:rsidR="00C522DB" w:rsidRDefault="00C522DB" w:rsidP="001E04B3">
      <w:pPr>
        <w:pStyle w:val="Tabletitle"/>
        <w:ind w:left="720" w:hanging="720"/>
      </w:pPr>
      <w:r>
        <w:t xml:space="preserve">[33] </w:t>
      </w:r>
      <w:r>
        <w:tab/>
        <w:t xml:space="preserve">V. </w:t>
      </w:r>
      <w:proofErr w:type="spellStart"/>
      <w:r>
        <w:t>Svetnik</w:t>
      </w:r>
      <w:proofErr w:type="spellEnd"/>
      <w:r>
        <w:t xml:space="preserve">, A. </w:t>
      </w:r>
      <w:proofErr w:type="spellStart"/>
      <w:r>
        <w:t>Liaw</w:t>
      </w:r>
      <w:proofErr w:type="spellEnd"/>
      <w:r>
        <w:t xml:space="preserve">, C. Tong and others, </w:t>
      </w:r>
      <w:r w:rsidRPr="001E04B3">
        <w:rPr>
          <w:i/>
          <w:iCs/>
        </w:rPr>
        <w:t xml:space="preserve">Random Forest:  A Classification and Regression Tool for Compound Classification and QSAR </w:t>
      </w:r>
      <w:proofErr w:type="spellStart"/>
      <w:r w:rsidRPr="001E04B3">
        <w:rPr>
          <w:i/>
          <w:iCs/>
        </w:rPr>
        <w:t>Modeling</w:t>
      </w:r>
      <w:proofErr w:type="spellEnd"/>
      <w:r>
        <w:t>, J. Chem. Inf. Model., 43</w:t>
      </w:r>
      <w:r w:rsidR="001E04B3">
        <w:t>-</w:t>
      </w:r>
      <w:r>
        <w:t>6</w:t>
      </w:r>
      <w:r w:rsidR="001E04B3">
        <w:t xml:space="preserve"> (2003)</w:t>
      </w:r>
      <w:r>
        <w:t xml:space="preserve">, pp. 1947-1958. </w:t>
      </w:r>
    </w:p>
    <w:p w14:paraId="7A5DAC76" w14:textId="0B6B2209" w:rsidR="00C522DB" w:rsidRDefault="00C522DB" w:rsidP="009206B8">
      <w:pPr>
        <w:pStyle w:val="Tabletitle"/>
        <w:ind w:left="720" w:hanging="720"/>
      </w:pPr>
      <w:r>
        <w:lastRenderedPageBreak/>
        <w:t xml:space="preserve">[34] </w:t>
      </w:r>
      <w:r>
        <w:tab/>
        <w:t xml:space="preserve">P. G. </w:t>
      </w:r>
      <w:proofErr w:type="spellStart"/>
      <w:r>
        <w:t>Polishchuk</w:t>
      </w:r>
      <w:proofErr w:type="spellEnd"/>
      <w:r>
        <w:t xml:space="preserve">, E. N. </w:t>
      </w:r>
      <w:proofErr w:type="spellStart"/>
      <w:r>
        <w:t>Muratov</w:t>
      </w:r>
      <w:proofErr w:type="spellEnd"/>
      <w:r>
        <w:t xml:space="preserve">, A. G. </w:t>
      </w:r>
      <w:proofErr w:type="spellStart"/>
      <w:r>
        <w:t>Artemenko</w:t>
      </w:r>
      <w:proofErr w:type="spellEnd"/>
      <w:r>
        <w:t xml:space="preserve"> and others, </w:t>
      </w:r>
      <w:r w:rsidRPr="009206B8">
        <w:rPr>
          <w:i/>
          <w:iCs/>
        </w:rPr>
        <w:t>Application of Random Forest Approach to QSAR Prediction of Aquatic Toxicity</w:t>
      </w:r>
      <w:r>
        <w:t>, J. Chem, Inf. Model., 49</w:t>
      </w:r>
      <w:r w:rsidR="009206B8">
        <w:t>-</w:t>
      </w:r>
      <w:r>
        <w:t>11</w:t>
      </w:r>
      <w:r w:rsidR="009206B8">
        <w:t xml:space="preserve"> (2009)</w:t>
      </w:r>
      <w:r>
        <w:t xml:space="preserve">, pp. 2481-2488. </w:t>
      </w:r>
    </w:p>
    <w:p w14:paraId="76AE28BE" w14:textId="26DFCDD5" w:rsidR="00C522DB" w:rsidRDefault="00C522DB" w:rsidP="00570D60">
      <w:pPr>
        <w:pStyle w:val="Tabletitle"/>
        <w:ind w:left="720" w:hanging="720"/>
      </w:pPr>
      <w:r>
        <w:t xml:space="preserve">[35] </w:t>
      </w:r>
      <w:r>
        <w:tab/>
        <w:t xml:space="preserve">V. E. </w:t>
      </w:r>
      <w:proofErr w:type="spellStart"/>
      <w:r>
        <w:t>Kuz'min</w:t>
      </w:r>
      <w:proofErr w:type="spellEnd"/>
      <w:r>
        <w:t xml:space="preserve">, P. G. </w:t>
      </w:r>
      <w:proofErr w:type="spellStart"/>
      <w:r>
        <w:t>Polishchuk</w:t>
      </w:r>
      <w:proofErr w:type="spellEnd"/>
      <w:r>
        <w:t xml:space="preserve">, A. G. </w:t>
      </w:r>
      <w:proofErr w:type="spellStart"/>
      <w:r>
        <w:t>Artemenko</w:t>
      </w:r>
      <w:proofErr w:type="spellEnd"/>
      <w:r>
        <w:t xml:space="preserve"> and S. A. </w:t>
      </w:r>
      <w:proofErr w:type="spellStart"/>
      <w:r>
        <w:t>Andronati</w:t>
      </w:r>
      <w:proofErr w:type="spellEnd"/>
      <w:r>
        <w:t xml:space="preserve">, </w:t>
      </w:r>
      <w:r w:rsidRPr="00570D60">
        <w:rPr>
          <w:i/>
          <w:iCs/>
        </w:rPr>
        <w:t>Interpretation of QSAR Models Based on Random Forest Methods</w:t>
      </w:r>
      <w:r>
        <w:t>, Mol. Inform. 30</w:t>
      </w:r>
      <w:r w:rsidR="00570D60">
        <w:t xml:space="preserve"> (2011), </w:t>
      </w:r>
      <w:r>
        <w:t xml:space="preserve">pp. 593-603. </w:t>
      </w:r>
    </w:p>
    <w:p w14:paraId="125E0739" w14:textId="30B16847" w:rsidR="00C522DB" w:rsidRDefault="00C522DB" w:rsidP="002511F1">
      <w:pPr>
        <w:pStyle w:val="Tabletitle"/>
        <w:ind w:left="720" w:hanging="720"/>
      </w:pPr>
      <w:r>
        <w:t xml:space="preserve">[36] </w:t>
      </w:r>
      <w:r>
        <w:tab/>
        <w:t xml:space="preserve">V. </w:t>
      </w:r>
      <w:proofErr w:type="spellStart"/>
      <w:r>
        <w:t>Svetnik</w:t>
      </w:r>
      <w:proofErr w:type="spellEnd"/>
      <w:r>
        <w:t xml:space="preserve">, T. Wang, C. Tong and others, </w:t>
      </w:r>
      <w:r w:rsidRPr="00D64C42">
        <w:rPr>
          <w:i/>
          <w:iCs/>
        </w:rPr>
        <w:t xml:space="preserve">Boosting:  An Ensemble Learning Tool for Compound Classification and QSAR </w:t>
      </w:r>
      <w:proofErr w:type="spellStart"/>
      <w:r w:rsidRPr="00D64C42">
        <w:rPr>
          <w:i/>
          <w:iCs/>
        </w:rPr>
        <w:t>Modeling</w:t>
      </w:r>
      <w:proofErr w:type="spellEnd"/>
      <w:r>
        <w:t>, J. Chem. Inf. Model.</w:t>
      </w:r>
      <w:r w:rsidR="00D64C42">
        <w:t xml:space="preserve"> </w:t>
      </w:r>
      <w:r>
        <w:t>45</w:t>
      </w:r>
      <w:r w:rsidR="00D64C42">
        <w:t>-</w:t>
      </w:r>
      <w:r>
        <w:t>3</w:t>
      </w:r>
      <w:r w:rsidR="00D64C42">
        <w:t xml:space="preserve"> (2005)</w:t>
      </w:r>
      <w:r>
        <w:t xml:space="preserve">, pp. 786-799. </w:t>
      </w:r>
    </w:p>
    <w:p w14:paraId="3C47D579" w14:textId="1952ABB7" w:rsidR="00C522DB" w:rsidRDefault="00C522DB" w:rsidP="00D34FCA">
      <w:pPr>
        <w:pStyle w:val="Tabletitle"/>
        <w:ind w:left="720" w:hanging="720"/>
      </w:pPr>
      <w:r>
        <w:t xml:space="preserve">[37] </w:t>
      </w:r>
      <w:r>
        <w:tab/>
        <w:t xml:space="preserve">R. P. Sheridan, W. M. Wang, A. </w:t>
      </w:r>
      <w:proofErr w:type="spellStart"/>
      <w:r>
        <w:t>Liaw</w:t>
      </w:r>
      <w:proofErr w:type="spellEnd"/>
      <w:r>
        <w:t xml:space="preserve"> and others, </w:t>
      </w:r>
      <w:r w:rsidRPr="00D34FCA">
        <w:rPr>
          <w:i/>
          <w:iCs/>
        </w:rPr>
        <w:t>Extreme Gradient Boosting as a Method for Quantitative Structure–Activity Relationships</w:t>
      </w:r>
      <w:r>
        <w:t>, J. Chem. Inf. Model</w:t>
      </w:r>
      <w:r w:rsidR="00D34FCA">
        <w:t xml:space="preserve">. </w:t>
      </w:r>
      <w:r>
        <w:t>56</w:t>
      </w:r>
      <w:r w:rsidR="00D34FCA">
        <w:t>-</w:t>
      </w:r>
      <w:r>
        <w:t>12</w:t>
      </w:r>
      <w:r w:rsidR="00D34FCA">
        <w:t xml:space="preserve"> (2016)</w:t>
      </w:r>
      <w:r>
        <w:t xml:space="preserve">, pp. 2353-2360. </w:t>
      </w:r>
    </w:p>
    <w:p w14:paraId="2AD54C8A" w14:textId="5F1677AA" w:rsidR="00C522DB" w:rsidRDefault="00C522DB" w:rsidP="00930CE3">
      <w:pPr>
        <w:pStyle w:val="Tabletitle"/>
        <w:ind w:left="720" w:hanging="720"/>
      </w:pPr>
      <w:r>
        <w:t xml:space="preserve">[38] </w:t>
      </w:r>
      <w:r>
        <w:tab/>
        <w:t xml:space="preserve">Q.-S. Xu and Y.-Z. Liang, </w:t>
      </w:r>
      <w:r w:rsidRPr="00930CE3">
        <w:rPr>
          <w:i/>
          <w:iCs/>
        </w:rPr>
        <w:t>Monte Carlo cross validation</w:t>
      </w:r>
      <w:r>
        <w:t xml:space="preserve">, </w:t>
      </w:r>
      <w:proofErr w:type="spellStart"/>
      <w:r>
        <w:t>Chemom</w:t>
      </w:r>
      <w:proofErr w:type="spellEnd"/>
      <w:r>
        <w:t xml:space="preserve">. </w:t>
      </w:r>
      <w:proofErr w:type="spellStart"/>
      <w:r>
        <w:t>Intell</w:t>
      </w:r>
      <w:proofErr w:type="spellEnd"/>
      <w:r>
        <w:t>. Lab. Syst.</w:t>
      </w:r>
      <w:r w:rsidR="00930CE3">
        <w:t xml:space="preserve"> </w:t>
      </w:r>
      <w:r>
        <w:t>56</w:t>
      </w:r>
      <w:r w:rsidR="00930CE3">
        <w:t xml:space="preserve"> (2001)</w:t>
      </w:r>
      <w:r>
        <w:t xml:space="preserve">, pp. 1-11. </w:t>
      </w:r>
    </w:p>
    <w:p w14:paraId="53E60BD8" w14:textId="68E70688" w:rsidR="00C522DB" w:rsidRDefault="00C522DB" w:rsidP="002511F1">
      <w:pPr>
        <w:pStyle w:val="Tabletitle"/>
        <w:ind w:left="720" w:hanging="720"/>
      </w:pPr>
      <w:r>
        <w:t xml:space="preserve">[39] </w:t>
      </w:r>
      <w:r>
        <w:tab/>
        <w:t xml:space="preserve">Y. Zhang and Y. Yang, </w:t>
      </w:r>
      <w:r w:rsidRPr="00F6553E">
        <w:rPr>
          <w:i/>
          <w:iCs/>
        </w:rPr>
        <w:t>Cross-validation for selecting a model selection procedure</w:t>
      </w:r>
      <w:r>
        <w:t>, J. Econometrics 187</w:t>
      </w:r>
      <w:r w:rsidR="00F6553E">
        <w:t xml:space="preserve"> (2015)</w:t>
      </w:r>
      <w:r>
        <w:t xml:space="preserve">, pp. 95-112. </w:t>
      </w:r>
    </w:p>
    <w:p w14:paraId="3B6142C6" w14:textId="35F3B126" w:rsidR="00C522DB" w:rsidRDefault="00C522DB" w:rsidP="002511F1">
      <w:pPr>
        <w:pStyle w:val="Tabletitle"/>
        <w:ind w:left="720" w:hanging="720"/>
      </w:pPr>
      <w:r>
        <w:t xml:space="preserve">[40] </w:t>
      </w:r>
      <w:r>
        <w:tab/>
        <w:t xml:space="preserve">D. Hawkins, S. </w:t>
      </w:r>
      <w:proofErr w:type="spellStart"/>
      <w:r>
        <w:t>Basak</w:t>
      </w:r>
      <w:proofErr w:type="spellEnd"/>
      <w:r>
        <w:t xml:space="preserve"> and D. Mills, </w:t>
      </w:r>
      <w:r w:rsidRPr="002511F1">
        <w:rPr>
          <w:i/>
          <w:iCs/>
        </w:rPr>
        <w:t>QSARs for chemical mutagens from structure: ridge regression fitting and diagnostics</w:t>
      </w:r>
      <w:r>
        <w:t xml:space="preserve">, Environ. </w:t>
      </w:r>
      <w:proofErr w:type="spellStart"/>
      <w:r>
        <w:t>Toxicol</w:t>
      </w:r>
      <w:proofErr w:type="spellEnd"/>
      <w:r>
        <w:t xml:space="preserve">. </w:t>
      </w:r>
      <w:proofErr w:type="spellStart"/>
      <w:r>
        <w:t>Pharmacol</w:t>
      </w:r>
      <w:proofErr w:type="spellEnd"/>
      <w:r>
        <w:t>. 16</w:t>
      </w:r>
      <w:r w:rsidR="002511F1">
        <w:t xml:space="preserve"> (2004)</w:t>
      </w:r>
      <w:r>
        <w:t xml:space="preserve">, pp. 37-44. </w:t>
      </w:r>
    </w:p>
    <w:p w14:paraId="1D4B6F96" w14:textId="7303B084" w:rsidR="00C522DB" w:rsidRDefault="00C522DB" w:rsidP="001D2F06">
      <w:pPr>
        <w:pStyle w:val="Tabletitle"/>
        <w:ind w:left="720" w:hanging="720"/>
      </w:pPr>
      <w:r>
        <w:t xml:space="preserve">[41] </w:t>
      </w:r>
      <w:r>
        <w:tab/>
        <w:t xml:space="preserve">S. Majumdar, S. C. </w:t>
      </w:r>
      <w:proofErr w:type="spellStart"/>
      <w:r>
        <w:t>Basak</w:t>
      </w:r>
      <w:proofErr w:type="spellEnd"/>
      <w:r>
        <w:t xml:space="preserve"> and G. D. Grunwald, </w:t>
      </w:r>
      <w:r w:rsidRPr="001D2F06">
        <w:rPr>
          <w:i/>
          <w:iCs/>
        </w:rPr>
        <w:t xml:space="preserve">Adapting interrelated two-way clustering method for quantitative structure-activity relationship (QSAR) </w:t>
      </w:r>
      <w:proofErr w:type="spellStart"/>
      <w:r w:rsidRPr="001D2F06">
        <w:rPr>
          <w:i/>
          <w:iCs/>
        </w:rPr>
        <w:t>modeling</w:t>
      </w:r>
      <w:proofErr w:type="spellEnd"/>
      <w:r w:rsidRPr="001D2F06">
        <w:rPr>
          <w:i/>
          <w:iCs/>
        </w:rPr>
        <w:t xml:space="preserve"> of mutagenicity/non-mutagenicity of a diverse set of chemicals</w:t>
      </w:r>
      <w:r>
        <w:t xml:space="preserve">, </w:t>
      </w:r>
      <w:proofErr w:type="spellStart"/>
      <w:r>
        <w:t>Curr</w:t>
      </w:r>
      <w:proofErr w:type="spellEnd"/>
      <w:r>
        <w:t xml:space="preserve">. </w:t>
      </w:r>
      <w:proofErr w:type="spellStart"/>
      <w:r>
        <w:t>Comput</w:t>
      </w:r>
      <w:proofErr w:type="spellEnd"/>
      <w:r>
        <w:t>. Aided Drug Des. 9</w:t>
      </w:r>
      <w:r w:rsidR="00C9179D">
        <w:t>-4</w:t>
      </w:r>
      <w:r w:rsidR="001D2F06">
        <w:t xml:space="preserve"> (2013), </w:t>
      </w:r>
      <w:r>
        <w:t xml:space="preserve">pp. 463-471. </w:t>
      </w:r>
    </w:p>
    <w:p w14:paraId="7204962B" w14:textId="2B77DD28" w:rsidR="00C522DB" w:rsidRDefault="00C522DB" w:rsidP="000C003E">
      <w:pPr>
        <w:pStyle w:val="Tabletitle"/>
        <w:ind w:left="720" w:hanging="720"/>
      </w:pPr>
      <w:r>
        <w:t xml:space="preserve">[42] </w:t>
      </w:r>
      <w:r>
        <w:tab/>
        <w:t xml:space="preserve">S. C. </w:t>
      </w:r>
      <w:proofErr w:type="spellStart"/>
      <w:r>
        <w:t>Basak</w:t>
      </w:r>
      <w:proofErr w:type="spellEnd"/>
      <w:r>
        <w:t xml:space="preserve"> and S. Majumdar, </w:t>
      </w:r>
      <w:r w:rsidRPr="000C003E">
        <w:rPr>
          <w:i/>
          <w:iCs/>
        </w:rPr>
        <w:t>Prediction of Mutagenicity of Chemicals from Their Calculated Molecular Descriptors: A Case Study with Structurally Homogeneous versus Diverse Datasets</w:t>
      </w:r>
      <w:r>
        <w:t>,</w:t>
      </w:r>
      <w:r w:rsidR="000C003E">
        <w:t xml:space="preserve"> </w:t>
      </w:r>
      <w:proofErr w:type="spellStart"/>
      <w:r>
        <w:t>Curr</w:t>
      </w:r>
      <w:proofErr w:type="spellEnd"/>
      <w:r>
        <w:t xml:space="preserve">. </w:t>
      </w:r>
      <w:proofErr w:type="spellStart"/>
      <w:r>
        <w:t>Comput</w:t>
      </w:r>
      <w:proofErr w:type="spellEnd"/>
      <w:r>
        <w:t>. Aided Drug. Des. 11</w:t>
      </w:r>
      <w:r w:rsidR="00C9179D">
        <w:t>-2</w:t>
      </w:r>
      <w:r w:rsidR="000C003E">
        <w:t xml:space="preserve"> (2015)</w:t>
      </w:r>
      <w:r>
        <w:t xml:space="preserve">, pp. 117-123. </w:t>
      </w:r>
    </w:p>
    <w:p w14:paraId="3501F72B" w14:textId="77777777" w:rsidR="00C522DB" w:rsidRDefault="00C522DB" w:rsidP="00C60C66">
      <w:pPr>
        <w:pStyle w:val="Tabletitle"/>
        <w:ind w:left="720" w:hanging="720"/>
      </w:pPr>
      <w:r>
        <w:lastRenderedPageBreak/>
        <w:t xml:space="preserve">[43] </w:t>
      </w:r>
      <w:r>
        <w:tab/>
        <w:t xml:space="preserve">R Core Team, </w:t>
      </w:r>
      <w:r w:rsidRPr="009A1C24">
        <w:rPr>
          <w:i/>
          <w:iCs/>
        </w:rPr>
        <w:t>R: A Language and Environment for Statistical Computing version 3.3.2</w:t>
      </w:r>
      <w:r>
        <w:t xml:space="preserve">, 2015. </w:t>
      </w:r>
    </w:p>
    <w:p w14:paraId="2773F6BA" w14:textId="11160E3A" w:rsidR="00C522DB" w:rsidRDefault="00C522DB" w:rsidP="00412A5F">
      <w:pPr>
        <w:pStyle w:val="Tabletitle"/>
        <w:ind w:left="720" w:hanging="720"/>
      </w:pPr>
      <w:r>
        <w:t xml:space="preserve">[44] </w:t>
      </w:r>
      <w:r>
        <w:tab/>
        <w:t xml:space="preserve">E. Bair, T. Hastie, D. Paul and R. </w:t>
      </w:r>
      <w:proofErr w:type="spellStart"/>
      <w:r>
        <w:t>Tibshirani</w:t>
      </w:r>
      <w:proofErr w:type="spellEnd"/>
      <w:r>
        <w:t xml:space="preserve">, </w:t>
      </w:r>
      <w:r w:rsidRPr="00412A5F">
        <w:rPr>
          <w:i/>
          <w:iCs/>
        </w:rPr>
        <w:t>Prediction by Supervised Principal Components</w:t>
      </w:r>
      <w:r>
        <w:t>, J. Amer. Statist. Assoc. 101</w:t>
      </w:r>
      <w:r w:rsidR="00412A5F">
        <w:t>-</w:t>
      </w:r>
      <w:r>
        <w:t>473</w:t>
      </w:r>
      <w:r w:rsidR="00412A5F">
        <w:t xml:space="preserve"> (2006)</w:t>
      </w:r>
      <w:r>
        <w:t xml:space="preserve">, pp. 119-137. </w:t>
      </w:r>
    </w:p>
    <w:p w14:paraId="26CD09B3" w14:textId="03942420" w:rsidR="00C522DB" w:rsidRDefault="00C522DB" w:rsidP="00797BF1">
      <w:pPr>
        <w:pStyle w:val="Tabletitle"/>
        <w:ind w:left="720" w:hanging="720"/>
      </w:pPr>
      <w:r>
        <w:t xml:space="preserve">[45] </w:t>
      </w:r>
      <w:r>
        <w:tab/>
        <w:t xml:space="preserve">E. </w:t>
      </w:r>
      <w:proofErr w:type="spellStart"/>
      <w:r>
        <w:t>Barshan</w:t>
      </w:r>
      <w:proofErr w:type="spellEnd"/>
      <w:r>
        <w:t xml:space="preserve">, A. </w:t>
      </w:r>
      <w:proofErr w:type="spellStart"/>
      <w:r>
        <w:t>Ghodsi</w:t>
      </w:r>
      <w:proofErr w:type="spellEnd"/>
      <w:r>
        <w:t xml:space="preserve">, Z. </w:t>
      </w:r>
      <w:proofErr w:type="spellStart"/>
      <w:r>
        <w:t>Azimifar</w:t>
      </w:r>
      <w:proofErr w:type="spellEnd"/>
      <w:r>
        <w:t xml:space="preserve"> and M. Z. </w:t>
      </w:r>
      <w:proofErr w:type="spellStart"/>
      <w:r>
        <w:t>Jahromi</w:t>
      </w:r>
      <w:proofErr w:type="spellEnd"/>
      <w:r>
        <w:t xml:space="preserve">, </w:t>
      </w:r>
      <w:r w:rsidRPr="00797BF1">
        <w:rPr>
          <w:i/>
          <w:iCs/>
        </w:rPr>
        <w:t>Supervised principal component analysis: Visualization, classification and regression on subspaces and submanifolds</w:t>
      </w:r>
      <w:r>
        <w:t xml:space="preserve">, Pattern </w:t>
      </w:r>
      <w:proofErr w:type="spellStart"/>
      <w:r>
        <w:t>Recognit</w:t>
      </w:r>
      <w:proofErr w:type="spellEnd"/>
      <w:r>
        <w:t>. 44</w:t>
      </w:r>
      <w:r w:rsidR="00797BF1">
        <w:t>-</w:t>
      </w:r>
      <w:r>
        <w:t>7</w:t>
      </w:r>
      <w:r w:rsidR="00797BF1">
        <w:t xml:space="preserve"> (2011)</w:t>
      </w:r>
      <w:r>
        <w:t xml:space="preserve">, pp. 1357-1371. </w:t>
      </w:r>
    </w:p>
    <w:p w14:paraId="22F9E07C" w14:textId="02F206F4" w:rsidR="00C522DB" w:rsidRDefault="00C522DB" w:rsidP="00754456">
      <w:pPr>
        <w:pStyle w:val="Tabletitle"/>
        <w:ind w:left="720" w:hanging="720"/>
      </w:pPr>
      <w:r>
        <w:t xml:space="preserve">[46] </w:t>
      </w:r>
      <w:r>
        <w:tab/>
        <w:t xml:space="preserve">X. Chen, L. Wang, J. D. Smith and B. Zhang, </w:t>
      </w:r>
      <w:r w:rsidRPr="00754456">
        <w:rPr>
          <w:i/>
          <w:iCs/>
        </w:rPr>
        <w:t>Supervised principal component analysis for gene set enrichment of microarray data with continuous or survival outcomes</w:t>
      </w:r>
      <w:r>
        <w:t>, Bioinformatics</w:t>
      </w:r>
      <w:r w:rsidR="00754456">
        <w:t xml:space="preserve"> </w:t>
      </w:r>
      <w:r>
        <w:t>24</w:t>
      </w:r>
      <w:r w:rsidR="00754456">
        <w:t>-</w:t>
      </w:r>
      <w:r>
        <w:t>21</w:t>
      </w:r>
      <w:r w:rsidR="00754456">
        <w:t xml:space="preserve"> (2008)</w:t>
      </w:r>
      <w:r>
        <w:t xml:space="preserve">, pp. 2474-2481. </w:t>
      </w:r>
    </w:p>
    <w:p w14:paraId="6725C152" w14:textId="77777777" w:rsidR="00C522DB" w:rsidRDefault="00C522DB" w:rsidP="00C522DB">
      <w:pPr>
        <w:pStyle w:val="Tabletitle"/>
      </w:pPr>
    </w:p>
    <w:p w14:paraId="500AF68E" w14:textId="65C8AD91" w:rsidR="00A20438" w:rsidRDefault="00A20438">
      <w:pPr>
        <w:spacing w:line="240" w:lineRule="auto"/>
      </w:pPr>
      <w:r>
        <w:br w:type="page"/>
      </w:r>
    </w:p>
    <w:p w14:paraId="40C871E8" w14:textId="77777777" w:rsidR="00A20438" w:rsidRPr="00A3270F" w:rsidRDefault="00A20438" w:rsidP="00A20438">
      <w:pPr>
        <w:pStyle w:val="Tabletitle"/>
        <w:jc w:val="center"/>
      </w:pPr>
      <w:r w:rsidRPr="00A3270F">
        <w:lastRenderedPageBreak/>
        <w:t xml:space="preserve">Table 1: Chemical classes of samples in the </w:t>
      </w:r>
      <w:proofErr w:type="gramStart"/>
      <w:r w:rsidRPr="00A3270F">
        <w:t>508 compound</w:t>
      </w:r>
      <w:proofErr w:type="gramEnd"/>
      <w:r w:rsidRPr="00A3270F">
        <w:t xml:space="preserve"> diverse dataset</w:t>
      </w:r>
    </w:p>
    <w:tbl>
      <w:tblPr>
        <w:tblStyle w:val="TableGrid"/>
        <w:tblW w:w="0" w:type="auto"/>
        <w:tblInd w:w="1304" w:type="dxa"/>
        <w:tblLook w:val="0000" w:firstRow="0" w:lastRow="0" w:firstColumn="0" w:lastColumn="0" w:noHBand="0" w:noVBand="0"/>
      </w:tblPr>
      <w:tblGrid>
        <w:gridCol w:w="4410"/>
        <w:gridCol w:w="2340"/>
      </w:tblGrid>
      <w:tr w:rsidR="00A20438" w:rsidRPr="00A3270F" w14:paraId="2099ABD2" w14:textId="77777777" w:rsidTr="004C462F">
        <w:trPr>
          <w:trHeight w:val="1"/>
        </w:trPr>
        <w:tc>
          <w:tcPr>
            <w:tcW w:w="4410" w:type="dxa"/>
          </w:tcPr>
          <w:p w14:paraId="64C6A3DA"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Chemical class</w:t>
            </w:r>
          </w:p>
        </w:tc>
        <w:tc>
          <w:tcPr>
            <w:tcW w:w="2340" w:type="dxa"/>
          </w:tcPr>
          <w:p w14:paraId="3388C27B"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Number of compounds</w:t>
            </w:r>
          </w:p>
        </w:tc>
      </w:tr>
      <w:tr w:rsidR="00A20438" w:rsidRPr="00A3270F" w14:paraId="4E45CAC7" w14:textId="77777777" w:rsidTr="004C462F">
        <w:trPr>
          <w:trHeight w:val="1"/>
        </w:trPr>
        <w:tc>
          <w:tcPr>
            <w:tcW w:w="4410" w:type="dxa"/>
          </w:tcPr>
          <w:p w14:paraId="4261678A"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Aliphatic alkanes, alkenes, alkynes</w:t>
            </w:r>
          </w:p>
        </w:tc>
        <w:tc>
          <w:tcPr>
            <w:tcW w:w="2340" w:type="dxa"/>
          </w:tcPr>
          <w:p w14:paraId="2DCDE137"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124</w:t>
            </w:r>
          </w:p>
        </w:tc>
      </w:tr>
      <w:tr w:rsidR="00A20438" w:rsidRPr="00A3270F" w14:paraId="72F27887" w14:textId="77777777" w:rsidTr="004C462F">
        <w:trPr>
          <w:trHeight w:val="1"/>
        </w:trPr>
        <w:tc>
          <w:tcPr>
            <w:tcW w:w="4410" w:type="dxa"/>
          </w:tcPr>
          <w:p w14:paraId="66811F4A"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Monocyclic compounds</w:t>
            </w:r>
          </w:p>
        </w:tc>
        <w:tc>
          <w:tcPr>
            <w:tcW w:w="2340" w:type="dxa"/>
          </w:tcPr>
          <w:p w14:paraId="029A4269"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260</w:t>
            </w:r>
          </w:p>
        </w:tc>
      </w:tr>
      <w:tr w:rsidR="00A20438" w:rsidRPr="00A3270F" w14:paraId="0D3F545B" w14:textId="77777777" w:rsidTr="004C462F">
        <w:trPr>
          <w:trHeight w:val="1"/>
        </w:trPr>
        <w:tc>
          <w:tcPr>
            <w:tcW w:w="4410" w:type="dxa"/>
          </w:tcPr>
          <w:p w14:paraId="5B06D0B3"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 xml:space="preserve">        Monocyclic carbocycles</w:t>
            </w:r>
          </w:p>
        </w:tc>
        <w:tc>
          <w:tcPr>
            <w:tcW w:w="2340" w:type="dxa"/>
          </w:tcPr>
          <w:p w14:paraId="2F8144F6"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186</w:t>
            </w:r>
          </w:p>
        </w:tc>
      </w:tr>
      <w:tr w:rsidR="00A20438" w:rsidRPr="00A3270F" w14:paraId="0EEF2DCB" w14:textId="77777777" w:rsidTr="004C462F">
        <w:trPr>
          <w:trHeight w:val="1"/>
        </w:trPr>
        <w:tc>
          <w:tcPr>
            <w:tcW w:w="4410" w:type="dxa"/>
          </w:tcPr>
          <w:p w14:paraId="5193E95F"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 xml:space="preserve">        Monocyclic heterocycles</w:t>
            </w:r>
          </w:p>
        </w:tc>
        <w:tc>
          <w:tcPr>
            <w:tcW w:w="2340" w:type="dxa"/>
          </w:tcPr>
          <w:p w14:paraId="326CB1D6"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74</w:t>
            </w:r>
          </w:p>
        </w:tc>
      </w:tr>
      <w:tr w:rsidR="00A20438" w:rsidRPr="00A3270F" w14:paraId="48EFA150" w14:textId="77777777" w:rsidTr="004C462F">
        <w:trPr>
          <w:trHeight w:val="1"/>
        </w:trPr>
        <w:tc>
          <w:tcPr>
            <w:tcW w:w="4410" w:type="dxa"/>
          </w:tcPr>
          <w:p w14:paraId="08BC906D"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Polycyclic compounds</w:t>
            </w:r>
          </w:p>
        </w:tc>
        <w:tc>
          <w:tcPr>
            <w:tcW w:w="2340" w:type="dxa"/>
          </w:tcPr>
          <w:p w14:paraId="44FD6A9B"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192</w:t>
            </w:r>
          </w:p>
        </w:tc>
      </w:tr>
      <w:tr w:rsidR="00A20438" w:rsidRPr="00A3270F" w14:paraId="64E5888D" w14:textId="77777777" w:rsidTr="004C462F">
        <w:trPr>
          <w:trHeight w:val="1"/>
        </w:trPr>
        <w:tc>
          <w:tcPr>
            <w:tcW w:w="4410" w:type="dxa"/>
          </w:tcPr>
          <w:p w14:paraId="2C0C4E35"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 xml:space="preserve">        Polycyclic carbocycles</w:t>
            </w:r>
          </w:p>
        </w:tc>
        <w:tc>
          <w:tcPr>
            <w:tcW w:w="2340" w:type="dxa"/>
          </w:tcPr>
          <w:p w14:paraId="6F21206B"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119</w:t>
            </w:r>
          </w:p>
        </w:tc>
      </w:tr>
      <w:tr w:rsidR="00A20438" w:rsidRPr="00A3270F" w14:paraId="504FD2DC" w14:textId="77777777" w:rsidTr="004C462F">
        <w:trPr>
          <w:trHeight w:val="1"/>
        </w:trPr>
        <w:tc>
          <w:tcPr>
            <w:tcW w:w="4410" w:type="dxa"/>
          </w:tcPr>
          <w:p w14:paraId="54B487C7"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 xml:space="preserve">        Polycyclic heterocycles</w:t>
            </w:r>
          </w:p>
        </w:tc>
        <w:tc>
          <w:tcPr>
            <w:tcW w:w="2340" w:type="dxa"/>
          </w:tcPr>
          <w:p w14:paraId="2CC9AF1E"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73</w:t>
            </w:r>
          </w:p>
        </w:tc>
      </w:tr>
      <w:tr w:rsidR="00A20438" w:rsidRPr="00A3270F" w14:paraId="39B77AF9" w14:textId="77777777" w:rsidTr="004C462F">
        <w:trPr>
          <w:trHeight w:val="1"/>
        </w:trPr>
        <w:tc>
          <w:tcPr>
            <w:tcW w:w="4410" w:type="dxa"/>
          </w:tcPr>
          <w:p w14:paraId="21592E45"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Nitro compounds</w:t>
            </w:r>
          </w:p>
        </w:tc>
        <w:tc>
          <w:tcPr>
            <w:tcW w:w="2340" w:type="dxa"/>
          </w:tcPr>
          <w:p w14:paraId="7550D991"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47</w:t>
            </w:r>
          </w:p>
        </w:tc>
      </w:tr>
      <w:tr w:rsidR="00A20438" w:rsidRPr="00A3270F" w14:paraId="69726A6C" w14:textId="77777777" w:rsidTr="004C462F">
        <w:trPr>
          <w:trHeight w:val="1"/>
        </w:trPr>
        <w:tc>
          <w:tcPr>
            <w:tcW w:w="4410" w:type="dxa"/>
          </w:tcPr>
          <w:p w14:paraId="4EF5807E"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Nitroso compounds</w:t>
            </w:r>
          </w:p>
        </w:tc>
        <w:tc>
          <w:tcPr>
            <w:tcW w:w="2340" w:type="dxa"/>
          </w:tcPr>
          <w:p w14:paraId="3B4F3A0A"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30</w:t>
            </w:r>
          </w:p>
        </w:tc>
      </w:tr>
      <w:tr w:rsidR="00A20438" w:rsidRPr="00A3270F" w14:paraId="5BEE7A20" w14:textId="77777777" w:rsidTr="004C462F">
        <w:trPr>
          <w:trHeight w:val="1"/>
        </w:trPr>
        <w:tc>
          <w:tcPr>
            <w:tcW w:w="4410" w:type="dxa"/>
          </w:tcPr>
          <w:p w14:paraId="65699470"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Alkyl halides</w:t>
            </w:r>
          </w:p>
        </w:tc>
        <w:tc>
          <w:tcPr>
            <w:tcW w:w="2340" w:type="dxa"/>
          </w:tcPr>
          <w:p w14:paraId="1E707969"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55</w:t>
            </w:r>
          </w:p>
        </w:tc>
      </w:tr>
      <w:tr w:rsidR="00A20438" w:rsidRPr="00A3270F" w14:paraId="760C54E6" w14:textId="77777777" w:rsidTr="004C462F">
        <w:trPr>
          <w:trHeight w:val="1"/>
        </w:trPr>
        <w:tc>
          <w:tcPr>
            <w:tcW w:w="4410" w:type="dxa"/>
          </w:tcPr>
          <w:p w14:paraId="66CFF451"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Alcohols, thiols</w:t>
            </w:r>
          </w:p>
        </w:tc>
        <w:tc>
          <w:tcPr>
            <w:tcW w:w="2340" w:type="dxa"/>
          </w:tcPr>
          <w:p w14:paraId="52DCA755"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93</w:t>
            </w:r>
          </w:p>
        </w:tc>
      </w:tr>
      <w:tr w:rsidR="00A20438" w:rsidRPr="00A3270F" w14:paraId="4EC037D8" w14:textId="77777777" w:rsidTr="004C462F">
        <w:trPr>
          <w:trHeight w:val="1"/>
        </w:trPr>
        <w:tc>
          <w:tcPr>
            <w:tcW w:w="4410" w:type="dxa"/>
          </w:tcPr>
          <w:p w14:paraId="5221E068"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Ethers, sulfides</w:t>
            </w:r>
          </w:p>
        </w:tc>
        <w:tc>
          <w:tcPr>
            <w:tcW w:w="2340" w:type="dxa"/>
          </w:tcPr>
          <w:p w14:paraId="78AAE280"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38</w:t>
            </w:r>
          </w:p>
        </w:tc>
      </w:tr>
      <w:tr w:rsidR="00A20438" w:rsidRPr="00A3270F" w14:paraId="6B919D46" w14:textId="77777777" w:rsidTr="004C462F">
        <w:trPr>
          <w:trHeight w:val="1"/>
        </w:trPr>
        <w:tc>
          <w:tcPr>
            <w:tcW w:w="4410" w:type="dxa"/>
          </w:tcPr>
          <w:p w14:paraId="3F2B3050"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Ketones, ketenes, imines, quinones</w:t>
            </w:r>
          </w:p>
        </w:tc>
        <w:tc>
          <w:tcPr>
            <w:tcW w:w="2340" w:type="dxa"/>
          </w:tcPr>
          <w:p w14:paraId="76E9348B"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39</w:t>
            </w:r>
          </w:p>
        </w:tc>
      </w:tr>
      <w:tr w:rsidR="00A20438" w:rsidRPr="00A3270F" w14:paraId="1F094EA6" w14:textId="77777777" w:rsidTr="004C462F">
        <w:trPr>
          <w:trHeight w:val="1"/>
        </w:trPr>
        <w:tc>
          <w:tcPr>
            <w:tcW w:w="4410" w:type="dxa"/>
          </w:tcPr>
          <w:p w14:paraId="4C4B6C1B"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 xml:space="preserve">Carboxylic acids, </w:t>
            </w:r>
            <w:proofErr w:type="spellStart"/>
            <w:r w:rsidRPr="00A3270F">
              <w:rPr>
                <w:rFonts w:ascii="Times New Roman" w:eastAsia="Times New Roman" w:hAnsi="Times New Roman" w:cs="Times New Roman"/>
              </w:rPr>
              <w:t>peroxy</w:t>
            </w:r>
            <w:proofErr w:type="spellEnd"/>
            <w:r w:rsidRPr="00A3270F">
              <w:rPr>
                <w:rFonts w:ascii="Times New Roman" w:eastAsia="Times New Roman" w:hAnsi="Times New Roman" w:cs="Times New Roman"/>
              </w:rPr>
              <w:t xml:space="preserve"> acids</w:t>
            </w:r>
          </w:p>
        </w:tc>
        <w:tc>
          <w:tcPr>
            <w:tcW w:w="2340" w:type="dxa"/>
          </w:tcPr>
          <w:p w14:paraId="047F3462"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34</w:t>
            </w:r>
          </w:p>
        </w:tc>
      </w:tr>
      <w:tr w:rsidR="00A20438" w:rsidRPr="00A3270F" w14:paraId="037AE379" w14:textId="77777777" w:rsidTr="004C462F">
        <w:trPr>
          <w:trHeight w:val="1"/>
        </w:trPr>
        <w:tc>
          <w:tcPr>
            <w:tcW w:w="4410" w:type="dxa"/>
          </w:tcPr>
          <w:p w14:paraId="431AEEE0"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Esters, lactones</w:t>
            </w:r>
          </w:p>
        </w:tc>
        <w:tc>
          <w:tcPr>
            <w:tcW w:w="2340" w:type="dxa"/>
          </w:tcPr>
          <w:p w14:paraId="7B4AE688"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34</w:t>
            </w:r>
          </w:p>
        </w:tc>
      </w:tr>
      <w:tr w:rsidR="00A20438" w:rsidRPr="00A3270F" w14:paraId="185572B1" w14:textId="77777777" w:rsidTr="004C462F">
        <w:trPr>
          <w:trHeight w:val="1"/>
        </w:trPr>
        <w:tc>
          <w:tcPr>
            <w:tcW w:w="4410" w:type="dxa"/>
          </w:tcPr>
          <w:p w14:paraId="1C755A5F"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Amides, imides, lactams</w:t>
            </w:r>
          </w:p>
        </w:tc>
        <w:tc>
          <w:tcPr>
            <w:tcW w:w="2340" w:type="dxa"/>
          </w:tcPr>
          <w:p w14:paraId="5D18B7F1"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36</w:t>
            </w:r>
          </w:p>
        </w:tc>
      </w:tr>
      <w:tr w:rsidR="00A20438" w:rsidRPr="00A3270F" w14:paraId="16D3D85E" w14:textId="77777777" w:rsidTr="004C462F">
        <w:trPr>
          <w:trHeight w:val="1"/>
        </w:trPr>
        <w:tc>
          <w:tcPr>
            <w:tcW w:w="4410" w:type="dxa"/>
          </w:tcPr>
          <w:p w14:paraId="211DB77C"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 xml:space="preserve">Carbamates, </w:t>
            </w:r>
            <w:proofErr w:type="spellStart"/>
            <w:r w:rsidRPr="00A3270F">
              <w:rPr>
                <w:rFonts w:ascii="Times New Roman" w:eastAsia="Times New Roman" w:hAnsi="Times New Roman" w:cs="Times New Roman"/>
              </w:rPr>
              <w:t>ureas</w:t>
            </w:r>
            <w:proofErr w:type="spellEnd"/>
            <w:r w:rsidRPr="00A3270F">
              <w:rPr>
                <w:rFonts w:ascii="Times New Roman" w:eastAsia="Times New Roman" w:hAnsi="Times New Roman" w:cs="Times New Roman"/>
              </w:rPr>
              <w:t xml:space="preserve">, thioureas, </w:t>
            </w:r>
            <w:proofErr w:type="spellStart"/>
            <w:r w:rsidRPr="00A3270F">
              <w:rPr>
                <w:rFonts w:ascii="Times New Roman" w:eastAsia="Times New Roman" w:hAnsi="Times New Roman" w:cs="Times New Roman"/>
              </w:rPr>
              <w:t>guanidines</w:t>
            </w:r>
            <w:proofErr w:type="spellEnd"/>
          </w:p>
        </w:tc>
        <w:tc>
          <w:tcPr>
            <w:tcW w:w="2340" w:type="dxa"/>
          </w:tcPr>
          <w:p w14:paraId="0C14D8F5"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41</w:t>
            </w:r>
          </w:p>
        </w:tc>
      </w:tr>
      <w:tr w:rsidR="00A20438" w:rsidRPr="00A3270F" w14:paraId="036374A2" w14:textId="77777777" w:rsidTr="004C462F">
        <w:trPr>
          <w:trHeight w:val="1"/>
        </w:trPr>
        <w:tc>
          <w:tcPr>
            <w:tcW w:w="4410" w:type="dxa"/>
          </w:tcPr>
          <w:p w14:paraId="58204BD0"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 xml:space="preserve">Amines, </w:t>
            </w:r>
            <w:proofErr w:type="spellStart"/>
            <w:r w:rsidRPr="00A3270F">
              <w:rPr>
                <w:rFonts w:ascii="Times New Roman" w:eastAsia="Times New Roman" w:hAnsi="Times New Roman" w:cs="Times New Roman"/>
              </w:rPr>
              <w:t>hydroxylamines</w:t>
            </w:r>
            <w:proofErr w:type="spellEnd"/>
          </w:p>
        </w:tc>
        <w:tc>
          <w:tcPr>
            <w:tcW w:w="2340" w:type="dxa"/>
          </w:tcPr>
          <w:p w14:paraId="6A095735"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143</w:t>
            </w:r>
          </w:p>
        </w:tc>
      </w:tr>
      <w:tr w:rsidR="00A20438" w:rsidRPr="00A3270F" w14:paraId="547DC168" w14:textId="77777777" w:rsidTr="004C462F">
        <w:trPr>
          <w:trHeight w:val="1"/>
        </w:trPr>
        <w:tc>
          <w:tcPr>
            <w:tcW w:w="4410" w:type="dxa"/>
          </w:tcPr>
          <w:p w14:paraId="197E1F4E" w14:textId="77777777" w:rsidR="00A20438" w:rsidRPr="00A3270F" w:rsidRDefault="00A20438" w:rsidP="004C462F">
            <w:pPr>
              <w:spacing w:line="276" w:lineRule="auto"/>
              <w:rPr>
                <w:rFonts w:ascii="Times New Roman" w:hAnsi="Times New Roman" w:cs="Times New Roman"/>
              </w:rPr>
            </w:pPr>
            <w:proofErr w:type="spellStart"/>
            <w:r w:rsidRPr="00A3270F">
              <w:rPr>
                <w:rFonts w:ascii="Times New Roman" w:eastAsia="Times New Roman" w:hAnsi="Times New Roman" w:cs="Times New Roman"/>
              </w:rPr>
              <w:t>Hydrazines</w:t>
            </w:r>
            <w:proofErr w:type="spellEnd"/>
            <w:r w:rsidRPr="00A3270F">
              <w:rPr>
                <w:rFonts w:ascii="Times New Roman" w:eastAsia="Times New Roman" w:hAnsi="Times New Roman" w:cs="Times New Roman"/>
              </w:rPr>
              <w:t xml:space="preserve">, hydrazides, </w:t>
            </w:r>
            <w:proofErr w:type="spellStart"/>
            <w:r w:rsidRPr="00A3270F">
              <w:rPr>
                <w:rFonts w:ascii="Times New Roman" w:eastAsia="Times New Roman" w:hAnsi="Times New Roman" w:cs="Times New Roman"/>
              </w:rPr>
              <w:t>hydrazones</w:t>
            </w:r>
            <w:proofErr w:type="spellEnd"/>
            <w:r w:rsidRPr="00A3270F">
              <w:rPr>
                <w:rFonts w:ascii="Times New Roman" w:eastAsia="Times New Roman" w:hAnsi="Times New Roman" w:cs="Times New Roman"/>
              </w:rPr>
              <w:t xml:space="preserve">, </w:t>
            </w:r>
            <w:proofErr w:type="spellStart"/>
            <w:r w:rsidRPr="00A3270F">
              <w:rPr>
                <w:rFonts w:ascii="Times New Roman" w:eastAsia="Times New Roman" w:hAnsi="Times New Roman" w:cs="Times New Roman"/>
              </w:rPr>
              <w:t>traizines</w:t>
            </w:r>
            <w:proofErr w:type="spellEnd"/>
          </w:p>
        </w:tc>
        <w:tc>
          <w:tcPr>
            <w:tcW w:w="2340" w:type="dxa"/>
          </w:tcPr>
          <w:p w14:paraId="1683AC82"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55</w:t>
            </w:r>
          </w:p>
        </w:tc>
      </w:tr>
      <w:tr w:rsidR="00A20438" w:rsidRPr="00A3270F" w14:paraId="33AD1E8E" w14:textId="77777777" w:rsidTr="004C462F">
        <w:trPr>
          <w:trHeight w:val="1"/>
        </w:trPr>
        <w:tc>
          <w:tcPr>
            <w:tcW w:w="4410" w:type="dxa"/>
          </w:tcPr>
          <w:p w14:paraId="777185E0"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Oxygenated sulfur and phosphorus</w:t>
            </w:r>
          </w:p>
        </w:tc>
        <w:tc>
          <w:tcPr>
            <w:tcW w:w="2340" w:type="dxa"/>
          </w:tcPr>
          <w:p w14:paraId="5929CD12"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53</w:t>
            </w:r>
          </w:p>
        </w:tc>
      </w:tr>
      <w:tr w:rsidR="00A20438" w:rsidRPr="00A3270F" w14:paraId="53DE62A0" w14:textId="77777777" w:rsidTr="004C462F">
        <w:trPr>
          <w:trHeight w:val="1"/>
        </w:trPr>
        <w:tc>
          <w:tcPr>
            <w:tcW w:w="4410" w:type="dxa"/>
          </w:tcPr>
          <w:p w14:paraId="137A0076"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Epoxides, peroxides, aziridines</w:t>
            </w:r>
          </w:p>
        </w:tc>
        <w:tc>
          <w:tcPr>
            <w:tcW w:w="2340" w:type="dxa"/>
          </w:tcPr>
          <w:p w14:paraId="4A705E4C"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25</w:t>
            </w:r>
          </w:p>
        </w:tc>
      </w:tr>
    </w:tbl>
    <w:p w14:paraId="27C8916A" w14:textId="5E3C3A72" w:rsidR="00A20438" w:rsidRPr="00CC3F52" w:rsidRDefault="004C462F" w:rsidP="004C462F">
      <w:pPr>
        <w:pStyle w:val="Tabletitle"/>
        <w:rPr>
          <w:rFonts w:asciiTheme="majorBidi" w:hAnsiTheme="majorBidi" w:cstheme="majorBidi"/>
          <w:highlight w:val="yellow"/>
        </w:rPr>
      </w:pPr>
      <w:r w:rsidRPr="00CC3F52">
        <w:rPr>
          <w:rFonts w:asciiTheme="majorBidi" w:hAnsiTheme="majorBidi" w:cstheme="majorBidi"/>
          <w:highlight w:val="yellow"/>
        </w:rPr>
        <w:t>Table 2: Tuning parameters for GBM models</w:t>
      </w:r>
    </w:p>
    <w:tbl>
      <w:tblPr>
        <w:tblStyle w:val="TableGrid"/>
        <w:tblW w:w="0" w:type="auto"/>
        <w:tblLook w:val="04A0" w:firstRow="1" w:lastRow="0" w:firstColumn="1" w:lastColumn="0" w:noHBand="0" w:noVBand="1"/>
      </w:tblPr>
      <w:tblGrid>
        <w:gridCol w:w="2122"/>
        <w:gridCol w:w="2122"/>
        <w:gridCol w:w="2122"/>
        <w:gridCol w:w="2123"/>
      </w:tblGrid>
      <w:tr w:rsidR="004C462F" w:rsidRPr="00CC3F52" w14:paraId="7C3AFAE3" w14:textId="77777777" w:rsidTr="004C462F">
        <w:trPr>
          <w:trHeight w:val="165"/>
        </w:trPr>
        <w:tc>
          <w:tcPr>
            <w:tcW w:w="2122" w:type="dxa"/>
            <w:vMerge w:val="restart"/>
          </w:tcPr>
          <w:p w14:paraId="4C300933" w14:textId="460C0762" w:rsidR="004C462F" w:rsidRPr="00CC3F52" w:rsidRDefault="004C462F" w:rsidP="004C462F">
            <w:pPr>
              <w:spacing w:line="276" w:lineRule="auto"/>
              <w:rPr>
                <w:rFonts w:asciiTheme="majorBidi" w:hAnsiTheme="majorBidi" w:cstheme="majorBidi"/>
                <w:highlight w:val="yellow"/>
              </w:rPr>
            </w:pPr>
            <w:r w:rsidRPr="00CC3F52">
              <w:rPr>
                <w:rFonts w:asciiTheme="majorBidi" w:hAnsiTheme="majorBidi" w:cstheme="majorBidi"/>
                <w:highlight w:val="yellow"/>
              </w:rPr>
              <w:t>Parameter</w:t>
            </w:r>
          </w:p>
        </w:tc>
        <w:tc>
          <w:tcPr>
            <w:tcW w:w="6367" w:type="dxa"/>
            <w:gridSpan w:val="3"/>
          </w:tcPr>
          <w:p w14:paraId="551E088D" w14:textId="5BEF85AE" w:rsidR="004C462F" w:rsidRPr="00CC3F52" w:rsidRDefault="004C462F" w:rsidP="004C462F">
            <w:pPr>
              <w:spacing w:line="276" w:lineRule="auto"/>
              <w:rPr>
                <w:rFonts w:asciiTheme="majorBidi" w:hAnsiTheme="majorBidi" w:cstheme="majorBidi"/>
                <w:b/>
                <w:bCs/>
                <w:highlight w:val="yellow"/>
              </w:rPr>
            </w:pPr>
            <w:r w:rsidRPr="00CC3F52">
              <w:rPr>
                <w:rFonts w:asciiTheme="majorBidi" w:hAnsiTheme="majorBidi" w:cstheme="majorBidi"/>
                <w:b/>
                <w:bCs/>
                <w:highlight w:val="yellow"/>
              </w:rPr>
              <w:t>95 amines data</w:t>
            </w:r>
          </w:p>
        </w:tc>
      </w:tr>
      <w:tr w:rsidR="004C462F" w:rsidRPr="00CC3F52" w14:paraId="60CD70F4" w14:textId="77777777" w:rsidTr="004C462F">
        <w:tc>
          <w:tcPr>
            <w:tcW w:w="2122" w:type="dxa"/>
            <w:vMerge/>
          </w:tcPr>
          <w:p w14:paraId="7DB7C55B" w14:textId="77777777" w:rsidR="004C462F" w:rsidRPr="00CC3F52" w:rsidRDefault="004C462F" w:rsidP="004C462F">
            <w:pPr>
              <w:spacing w:line="276" w:lineRule="auto"/>
              <w:rPr>
                <w:rFonts w:asciiTheme="majorBidi" w:hAnsiTheme="majorBidi" w:cstheme="majorBidi"/>
                <w:highlight w:val="yellow"/>
              </w:rPr>
            </w:pPr>
          </w:p>
        </w:tc>
        <w:tc>
          <w:tcPr>
            <w:tcW w:w="2122" w:type="dxa"/>
          </w:tcPr>
          <w:p w14:paraId="0E1B2DAC" w14:textId="64D769E1" w:rsidR="004C462F" w:rsidRPr="00CC3F52" w:rsidRDefault="004C462F" w:rsidP="004C462F">
            <w:pPr>
              <w:spacing w:line="276" w:lineRule="auto"/>
              <w:rPr>
                <w:rFonts w:asciiTheme="majorBidi" w:hAnsiTheme="majorBidi" w:cstheme="majorBidi"/>
                <w:highlight w:val="yellow"/>
              </w:rPr>
            </w:pPr>
            <w:r w:rsidRPr="00CC3F52">
              <w:rPr>
                <w:rFonts w:asciiTheme="majorBidi" w:hAnsiTheme="majorBidi" w:cstheme="majorBidi"/>
                <w:b/>
                <w:highlight w:val="yellow"/>
              </w:rPr>
              <w:t>Combined</w:t>
            </w:r>
          </w:p>
        </w:tc>
        <w:tc>
          <w:tcPr>
            <w:tcW w:w="2122" w:type="dxa"/>
          </w:tcPr>
          <w:p w14:paraId="43B3CB78" w14:textId="3705D5F9" w:rsidR="004C462F" w:rsidRPr="00CC3F52" w:rsidRDefault="004C462F" w:rsidP="004C462F">
            <w:pPr>
              <w:spacing w:line="276" w:lineRule="auto"/>
              <w:rPr>
                <w:rFonts w:asciiTheme="majorBidi" w:hAnsiTheme="majorBidi" w:cstheme="majorBidi"/>
                <w:highlight w:val="yellow"/>
              </w:rPr>
            </w:pPr>
            <w:proofErr w:type="spellStart"/>
            <w:r w:rsidRPr="00CC3F52">
              <w:rPr>
                <w:rFonts w:asciiTheme="majorBidi" w:hAnsiTheme="majorBidi" w:cstheme="majorBidi"/>
                <w:b/>
                <w:highlight w:val="yellow"/>
              </w:rPr>
              <w:t>Basak</w:t>
            </w:r>
            <w:proofErr w:type="spellEnd"/>
            <w:r w:rsidRPr="00CC3F52">
              <w:rPr>
                <w:rFonts w:asciiTheme="majorBidi" w:hAnsiTheme="majorBidi" w:cstheme="majorBidi"/>
                <w:b/>
                <w:highlight w:val="yellow"/>
              </w:rPr>
              <w:t xml:space="preserve"> lab</w:t>
            </w:r>
          </w:p>
        </w:tc>
        <w:tc>
          <w:tcPr>
            <w:tcW w:w="2123" w:type="dxa"/>
          </w:tcPr>
          <w:p w14:paraId="639185F8" w14:textId="75EE873F" w:rsidR="004C462F" w:rsidRPr="00CC3F52" w:rsidRDefault="004C462F" w:rsidP="004C462F">
            <w:pPr>
              <w:spacing w:line="276" w:lineRule="auto"/>
              <w:rPr>
                <w:rFonts w:asciiTheme="majorBidi" w:hAnsiTheme="majorBidi" w:cstheme="majorBidi"/>
                <w:highlight w:val="yellow"/>
              </w:rPr>
            </w:pPr>
            <w:proofErr w:type="spellStart"/>
            <w:r w:rsidRPr="00CC3F52">
              <w:rPr>
                <w:rFonts w:asciiTheme="majorBidi" w:hAnsiTheme="majorBidi" w:cstheme="majorBidi"/>
                <w:b/>
                <w:highlight w:val="yellow"/>
              </w:rPr>
              <w:t>Diudea</w:t>
            </w:r>
            <w:proofErr w:type="spellEnd"/>
            <w:r w:rsidRPr="00CC3F52">
              <w:rPr>
                <w:rFonts w:asciiTheme="majorBidi" w:hAnsiTheme="majorBidi" w:cstheme="majorBidi"/>
                <w:b/>
                <w:highlight w:val="yellow"/>
              </w:rPr>
              <w:t xml:space="preserve"> lab</w:t>
            </w:r>
          </w:p>
        </w:tc>
      </w:tr>
      <w:tr w:rsidR="009E4383" w:rsidRPr="00CC3F52" w14:paraId="74AAD946" w14:textId="77777777" w:rsidTr="004C462F">
        <w:tc>
          <w:tcPr>
            <w:tcW w:w="2122" w:type="dxa"/>
          </w:tcPr>
          <w:p w14:paraId="44733621" w14:textId="3843E376"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No. of trees</w:t>
            </w:r>
          </w:p>
        </w:tc>
        <w:tc>
          <w:tcPr>
            <w:tcW w:w="2122" w:type="dxa"/>
          </w:tcPr>
          <w:p w14:paraId="12F062A3" w14:textId="621F6C9A"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1000</w:t>
            </w:r>
          </w:p>
        </w:tc>
        <w:tc>
          <w:tcPr>
            <w:tcW w:w="2122" w:type="dxa"/>
          </w:tcPr>
          <w:p w14:paraId="2B04C81B" w14:textId="6A963C84"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1000</w:t>
            </w:r>
          </w:p>
        </w:tc>
        <w:tc>
          <w:tcPr>
            <w:tcW w:w="2123" w:type="dxa"/>
          </w:tcPr>
          <w:p w14:paraId="717D72D2" w14:textId="209C755D"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100</w:t>
            </w:r>
          </w:p>
        </w:tc>
      </w:tr>
      <w:tr w:rsidR="009E4383" w:rsidRPr="00CC3F52" w14:paraId="07B2565E" w14:textId="77777777" w:rsidTr="004C462F">
        <w:tc>
          <w:tcPr>
            <w:tcW w:w="2122" w:type="dxa"/>
          </w:tcPr>
          <w:p w14:paraId="595E3D5A" w14:textId="44172FE5"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Interaction depth</w:t>
            </w:r>
          </w:p>
        </w:tc>
        <w:tc>
          <w:tcPr>
            <w:tcW w:w="2122" w:type="dxa"/>
          </w:tcPr>
          <w:p w14:paraId="0F648755" w14:textId="2D4F295C"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2</w:t>
            </w:r>
          </w:p>
        </w:tc>
        <w:tc>
          <w:tcPr>
            <w:tcW w:w="2122" w:type="dxa"/>
          </w:tcPr>
          <w:p w14:paraId="1EA86EFE" w14:textId="50F26738"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2</w:t>
            </w:r>
          </w:p>
        </w:tc>
        <w:tc>
          <w:tcPr>
            <w:tcW w:w="2123" w:type="dxa"/>
          </w:tcPr>
          <w:p w14:paraId="3EB6D912" w14:textId="7E6E9D0A"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2</w:t>
            </w:r>
          </w:p>
        </w:tc>
      </w:tr>
      <w:tr w:rsidR="009E4383" w:rsidRPr="00CC3F52" w14:paraId="3B38EC8F" w14:textId="77777777" w:rsidTr="004C462F">
        <w:tc>
          <w:tcPr>
            <w:tcW w:w="2122" w:type="dxa"/>
          </w:tcPr>
          <w:p w14:paraId="5FA80AEB" w14:textId="4662DF0D"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Shrinkage</w:t>
            </w:r>
          </w:p>
        </w:tc>
        <w:tc>
          <w:tcPr>
            <w:tcW w:w="2122" w:type="dxa"/>
          </w:tcPr>
          <w:p w14:paraId="4CB7D11B" w14:textId="354CDD75"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0.01</w:t>
            </w:r>
          </w:p>
        </w:tc>
        <w:tc>
          <w:tcPr>
            <w:tcW w:w="2122" w:type="dxa"/>
          </w:tcPr>
          <w:p w14:paraId="42DDDCB0" w14:textId="5258ED29"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0.01</w:t>
            </w:r>
          </w:p>
        </w:tc>
        <w:tc>
          <w:tcPr>
            <w:tcW w:w="2123" w:type="dxa"/>
          </w:tcPr>
          <w:p w14:paraId="54682AA5" w14:textId="07DD33C4"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0.001</w:t>
            </w:r>
          </w:p>
        </w:tc>
      </w:tr>
      <w:tr w:rsidR="009E4383" w:rsidRPr="00CC3F52" w14:paraId="7D5832B7" w14:textId="77777777" w:rsidTr="004C462F">
        <w:tc>
          <w:tcPr>
            <w:tcW w:w="2122" w:type="dxa"/>
          </w:tcPr>
          <w:p w14:paraId="11D80404" w14:textId="7DC00175"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Min. node size</w:t>
            </w:r>
          </w:p>
        </w:tc>
        <w:tc>
          <w:tcPr>
            <w:tcW w:w="2122" w:type="dxa"/>
          </w:tcPr>
          <w:p w14:paraId="271ECDAB" w14:textId="60D897A3"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1</w:t>
            </w:r>
          </w:p>
        </w:tc>
        <w:tc>
          <w:tcPr>
            <w:tcW w:w="2122" w:type="dxa"/>
          </w:tcPr>
          <w:p w14:paraId="63C4E625" w14:textId="703E22A7"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2</w:t>
            </w:r>
          </w:p>
        </w:tc>
        <w:tc>
          <w:tcPr>
            <w:tcW w:w="2123" w:type="dxa"/>
          </w:tcPr>
          <w:p w14:paraId="13BE0F28" w14:textId="1AC443BA"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5</w:t>
            </w:r>
          </w:p>
        </w:tc>
      </w:tr>
      <w:tr w:rsidR="009E4383" w:rsidRPr="00CC3F52" w14:paraId="318F1699" w14:textId="77777777" w:rsidTr="004C462F">
        <w:trPr>
          <w:trHeight w:val="165"/>
        </w:trPr>
        <w:tc>
          <w:tcPr>
            <w:tcW w:w="2122" w:type="dxa"/>
            <w:vMerge w:val="restart"/>
          </w:tcPr>
          <w:p w14:paraId="36F99CB3" w14:textId="77777777"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Parameter</w:t>
            </w:r>
          </w:p>
        </w:tc>
        <w:tc>
          <w:tcPr>
            <w:tcW w:w="6367" w:type="dxa"/>
            <w:gridSpan w:val="3"/>
          </w:tcPr>
          <w:p w14:paraId="20FD5413" w14:textId="24B15523" w:rsidR="009E4383" w:rsidRPr="00CC3F52" w:rsidRDefault="009E4383" w:rsidP="009E4383">
            <w:pPr>
              <w:spacing w:line="276" w:lineRule="auto"/>
              <w:rPr>
                <w:rFonts w:asciiTheme="majorBidi" w:hAnsiTheme="majorBidi" w:cstheme="majorBidi"/>
                <w:b/>
                <w:bCs/>
                <w:highlight w:val="yellow"/>
              </w:rPr>
            </w:pPr>
            <w:r w:rsidRPr="00CC3F52">
              <w:rPr>
                <w:rFonts w:asciiTheme="majorBidi" w:hAnsiTheme="majorBidi" w:cstheme="majorBidi"/>
                <w:b/>
                <w:bCs/>
                <w:highlight w:val="yellow"/>
              </w:rPr>
              <w:t>508 compounds data</w:t>
            </w:r>
          </w:p>
        </w:tc>
      </w:tr>
      <w:tr w:rsidR="009E4383" w:rsidRPr="00CC3F52" w14:paraId="0AEB0C0B" w14:textId="77777777" w:rsidTr="004C462F">
        <w:tc>
          <w:tcPr>
            <w:tcW w:w="2122" w:type="dxa"/>
            <w:vMerge/>
          </w:tcPr>
          <w:p w14:paraId="5962C02D" w14:textId="77777777" w:rsidR="009E4383" w:rsidRPr="00CC3F52" w:rsidRDefault="009E4383" w:rsidP="009E4383">
            <w:pPr>
              <w:spacing w:line="276" w:lineRule="auto"/>
              <w:rPr>
                <w:rFonts w:asciiTheme="majorBidi" w:hAnsiTheme="majorBidi" w:cstheme="majorBidi"/>
                <w:highlight w:val="yellow"/>
              </w:rPr>
            </w:pPr>
          </w:p>
        </w:tc>
        <w:tc>
          <w:tcPr>
            <w:tcW w:w="2122" w:type="dxa"/>
          </w:tcPr>
          <w:p w14:paraId="3C735AF6" w14:textId="77777777"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b/>
                <w:highlight w:val="yellow"/>
              </w:rPr>
              <w:t>Combined</w:t>
            </w:r>
          </w:p>
        </w:tc>
        <w:tc>
          <w:tcPr>
            <w:tcW w:w="2122" w:type="dxa"/>
          </w:tcPr>
          <w:p w14:paraId="30755653" w14:textId="77777777" w:rsidR="009E4383" w:rsidRPr="00CC3F52" w:rsidRDefault="009E4383" w:rsidP="009E4383">
            <w:pPr>
              <w:spacing w:line="276" w:lineRule="auto"/>
              <w:rPr>
                <w:rFonts w:asciiTheme="majorBidi" w:hAnsiTheme="majorBidi" w:cstheme="majorBidi"/>
                <w:highlight w:val="yellow"/>
              </w:rPr>
            </w:pPr>
            <w:proofErr w:type="spellStart"/>
            <w:r w:rsidRPr="00CC3F52">
              <w:rPr>
                <w:rFonts w:asciiTheme="majorBidi" w:hAnsiTheme="majorBidi" w:cstheme="majorBidi"/>
                <w:b/>
                <w:highlight w:val="yellow"/>
              </w:rPr>
              <w:t>Basak</w:t>
            </w:r>
            <w:proofErr w:type="spellEnd"/>
            <w:r w:rsidRPr="00CC3F52">
              <w:rPr>
                <w:rFonts w:asciiTheme="majorBidi" w:hAnsiTheme="majorBidi" w:cstheme="majorBidi"/>
                <w:b/>
                <w:highlight w:val="yellow"/>
              </w:rPr>
              <w:t xml:space="preserve"> lab</w:t>
            </w:r>
          </w:p>
        </w:tc>
        <w:tc>
          <w:tcPr>
            <w:tcW w:w="2123" w:type="dxa"/>
          </w:tcPr>
          <w:p w14:paraId="207D8885" w14:textId="77777777" w:rsidR="009E4383" w:rsidRPr="00CC3F52" w:rsidRDefault="009E4383" w:rsidP="009E4383">
            <w:pPr>
              <w:spacing w:line="276" w:lineRule="auto"/>
              <w:rPr>
                <w:rFonts w:asciiTheme="majorBidi" w:hAnsiTheme="majorBidi" w:cstheme="majorBidi"/>
                <w:highlight w:val="yellow"/>
              </w:rPr>
            </w:pPr>
            <w:proofErr w:type="spellStart"/>
            <w:r w:rsidRPr="00CC3F52">
              <w:rPr>
                <w:rFonts w:asciiTheme="majorBidi" w:hAnsiTheme="majorBidi" w:cstheme="majorBidi"/>
                <w:b/>
                <w:highlight w:val="yellow"/>
              </w:rPr>
              <w:t>Diudea</w:t>
            </w:r>
            <w:proofErr w:type="spellEnd"/>
            <w:r w:rsidRPr="00CC3F52">
              <w:rPr>
                <w:rFonts w:asciiTheme="majorBidi" w:hAnsiTheme="majorBidi" w:cstheme="majorBidi"/>
                <w:b/>
                <w:highlight w:val="yellow"/>
              </w:rPr>
              <w:t xml:space="preserve"> lab</w:t>
            </w:r>
          </w:p>
        </w:tc>
      </w:tr>
      <w:tr w:rsidR="009E4383" w:rsidRPr="00CC3F52" w14:paraId="31615B06" w14:textId="77777777" w:rsidTr="004C462F">
        <w:tc>
          <w:tcPr>
            <w:tcW w:w="2122" w:type="dxa"/>
          </w:tcPr>
          <w:p w14:paraId="7639BE89" w14:textId="77777777"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No. of trees</w:t>
            </w:r>
          </w:p>
        </w:tc>
        <w:tc>
          <w:tcPr>
            <w:tcW w:w="2122" w:type="dxa"/>
          </w:tcPr>
          <w:p w14:paraId="204F84FC" w14:textId="47B45E60"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1000</w:t>
            </w:r>
          </w:p>
        </w:tc>
        <w:tc>
          <w:tcPr>
            <w:tcW w:w="2122" w:type="dxa"/>
          </w:tcPr>
          <w:p w14:paraId="25AD6ABA" w14:textId="66389007"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1000</w:t>
            </w:r>
          </w:p>
        </w:tc>
        <w:tc>
          <w:tcPr>
            <w:tcW w:w="2123" w:type="dxa"/>
          </w:tcPr>
          <w:p w14:paraId="08E4175F" w14:textId="5022C617"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100</w:t>
            </w:r>
          </w:p>
        </w:tc>
      </w:tr>
      <w:tr w:rsidR="009E4383" w:rsidRPr="00CC3F52" w14:paraId="30389C1A" w14:textId="77777777" w:rsidTr="004C462F">
        <w:tc>
          <w:tcPr>
            <w:tcW w:w="2122" w:type="dxa"/>
          </w:tcPr>
          <w:p w14:paraId="7EEDC1E7" w14:textId="77777777"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Interaction depth</w:t>
            </w:r>
          </w:p>
        </w:tc>
        <w:tc>
          <w:tcPr>
            <w:tcW w:w="2122" w:type="dxa"/>
          </w:tcPr>
          <w:p w14:paraId="0234BB20" w14:textId="6D956256"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2</w:t>
            </w:r>
          </w:p>
        </w:tc>
        <w:tc>
          <w:tcPr>
            <w:tcW w:w="2122" w:type="dxa"/>
          </w:tcPr>
          <w:p w14:paraId="3BFB6602" w14:textId="2C4AA745"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2</w:t>
            </w:r>
          </w:p>
        </w:tc>
        <w:tc>
          <w:tcPr>
            <w:tcW w:w="2123" w:type="dxa"/>
          </w:tcPr>
          <w:p w14:paraId="36853B16" w14:textId="7A4D4BF6"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2</w:t>
            </w:r>
          </w:p>
        </w:tc>
      </w:tr>
      <w:tr w:rsidR="009E4383" w:rsidRPr="00CC3F52" w14:paraId="3B9263FE" w14:textId="77777777" w:rsidTr="004C462F">
        <w:tc>
          <w:tcPr>
            <w:tcW w:w="2122" w:type="dxa"/>
          </w:tcPr>
          <w:p w14:paraId="06C95483" w14:textId="77777777"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Shrinkage</w:t>
            </w:r>
          </w:p>
        </w:tc>
        <w:tc>
          <w:tcPr>
            <w:tcW w:w="2122" w:type="dxa"/>
          </w:tcPr>
          <w:p w14:paraId="74BBC881" w14:textId="16EA78CD"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0.01</w:t>
            </w:r>
          </w:p>
        </w:tc>
        <w:tc>
          <w:tcPr>
            <w:tcW w:w="2122" w:type="dxa"/>
          </w:tcPr>
          <w:p w14:paraId="6307EF6D" w14:textId="5DC4460F"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0.01</w:t>
            </w:r>
          </w:p>
        </w:tc>
        <w:tc>
          <w:tcPr>
            <w:tcW w:w="2123" w:type="dxa"/>
          </w:tcPr>
          <w:p w14:paraId="42791E76" w14:textId="46FFC8B9"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0.0</w:t>
            </w:r>
            <w:r>
              <w:rPr>
                <w:rFonts w:asciiTheme="majorBidi" w:hAnsiTheme="majorBidi" w:cstheme="majorBidi"/>
                <w:highlight w:val="yellow"/>
              </w:rPr>
              <w:t>0</w:t>
            </w:r>
            <w:r w:rsidRPr="00CC3F52">
              <w:rPr>
                <w:rFonts w:asciiTheme="majorBidi" w:hAnsiTheme="majorBidi" w:cstheme="majorBidi"/>
                <w:highlight w:val="yellow"/>
              </w:rPr>
              <w:t>1</w:t>
            </w:r>
          </w:p>
        </w:tc>
      </w:tr>
      <w:tr w:rsidR="009E4383" w:rsidRPr="004C462F" w14:paraId="2CACD2BC" w14:textId="77777777" w:rsidTr="004C462F">
        <w:tc>
          <w:tcPr>
            <w:tcW w:w="2122" w:type="dxa"/>
          </w:tcPr>
          <w:p w14:paraId="7A12D9EB" w14:textId="77777777"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Min. node size</w:t>
            </w:r>
          </w:p>
        </w:tc>
        <w:tc>
          <w:tcPr>
            <w:tcW w:w="2122" w:type="dxa"/>
          </w:tcPr>
          <w:p w14:paraId="403EF39F" w14:textId="3C29182E"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5</w:t>
            </w:r>
          </w:p>
        </w:tc>
        <w:tc>
          <w:tcPr>
            <w:tcW w:w="2122" w:type="dxa"/>
          </w:tcPr>
          <w:p w14:paraId="4A15004A" w14:textId="70E19338"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1</w:t>
            </w:r>
          </w:p>
        </w:tc>
        <w:tc>
          <w:tcPr>
            <w:tcW w:w="2123" w:type="dxa"/>
          </w:tcPr>
          <w:p w14:paraId="22B8F572" w14:textId="772602CF" w:rsidR="009E4383" w:rsidRPr="004C462F" w:rsidRDefault="009E4383" w:rsidP="009E4383">
            <w:pPr>
              <w:spacing w:line="276" w:lineRule="auto"/>
              <w:rPr>
                <w:rFonts w:asciiTheme="majorBidi" w:hAnsiTheme="majorBidi" w:cstheme="majorBidi"/>
              </w:rPr>
            </w:pPr>
            <w:r>
              <w:rPr>
                <w:rFonts w:asciiTheme="majorBidi" w:hAnsiTheme="majorBidi" w:cstheme="majorBidi"/>
                <w:highlight w:val="yellow"/>
              </w:rPr>
              <w:t>2</w:t>
            </w:r>
          </w:p>
        </w:tc>
      </w:tr>
    </w:tbl>
    <w:p w14:paraId="5894C19E" w14:textId="77777777" w:rsidR="004C462F" w:rsidRPr="004C462F" w:rsidRDefault="004C462F" w:rsidP="004C462F"/>
    <w:p w14:paraId="53F41084" w14:textId="5FBC2A38" w:rsidR="00A20438" w:rsidRPr="00A3270F" w:rsidRDefault="00A20438" w:rsidP="00A20438">
      <w:pPr>
        <w:pStyle w:val="Tabletitle"/>
      </w:pPr>
      <w:r w:rsidRPr="00A3270F">
        <w:lastRenderedPageBreak/>
        <w:t xml:space="preserve">Table </w:t>
      </w:r>
      <w:r w:rsidR="00B14911">
        <w:t>3</w:t>
      </w:r>
      <w:r w:rsidRPr="00A3270F">
        <w:t xml:space="preserve">: Average and </w:t>
      </w:r>
      <w:r w:rsidRPr="00FE70A0">
        <w:rPr>
          <w:highlight w:val="yellow"/>
        </w:rPr>
        <w:t>standard deviations (in brackets)</w:t>
      </w:r>
      <w:r w:rsidRPr="00A3270F">
        <w:t xml:space="preserve"> of Area Under Curve (AUC) </w:t>
      </w:r>
      <w:r>
        <w:t xml:space="preserve">over 100 random splits </w:t>
      </w:r>
      <w:r w:rsidRPr="00A3270F">
        <w:t>for different methods applied on the 508 compounds heterogeneous dataset</w:t>
      </w:r>
      <w:r>
        <w:t>. See supplementary table 3 for individual split results.</w:t>
      </w:r>
    </w:p>
    <w:tbl>
      <w:tblPr>
        <w:tblW w:w="0" w:type="auto"/>
        <w:tblInd w:w="108" w:type="dxa"/>
        <w:tblCellMar>
          <w:left w:w="10" w:type="dxa"/>
          <w:right w:w="10" w:type="dxa"/>
        </w:tblCellMar>
        <w:tblLook w:val="0000" w:firstRow="0" w:lastRow="0" w:firstColumn="0" w:lastColumn="0" w:noHBand="0" w:noVBand="0"/>
      </w:tblPr>
      <w:tblGrid>
        <w:gridCol w:w="2090"/>
        <w:gridCol w:w="2140"/>
        <w:gridCol w:w="2072"/>
        <w:gridCol w:w="2079"/>
      </w:tblGrid>
      <w:tr w:rsidR="00A20438" w:rsidRPr="00A3270F" w14:paraId="201DDA4A" w14:textId="77777777" w:rsidTr="00A20438">
        <w:trPr>
          <w:trHeight w:val="1"/>
        </w:trPr>
        <w:tc>
          <w:tcPr>
            <w:tcW w:w="209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A8A71" w14:textId="77777777" w:rsidR="00A20438" w:rsidRPr="00A3270F" w:rsidRDefault="00A20438" w:rsidP="004C462F">
            <w:pPr>
              <w:spacing w:line="276" w:lineRule="auto"/>
            </w:pPr>
            <w:r w:rsidRPr="00A3270F">
              <w:rPr>
                <w:b/>
              </w:rPr>
              <w:t>Method</w:t>
            </w:r>
          </w:p>
        </w:tc>
        <w:tc>
          <w:tcPr>
            <w:tcW w:w="629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DFFDE" w14:textId="77777777" w:rsidR="00A20438" w:rsidRPr="00A3270F" w:rsidRDefault="00A20438" w:rsidP="004C462F">
            <w:pPr>
              <w:spacing w:line="276" w:lineRule="auto"/>
            </w:pPr>
            <w:r w:rsidRPr="00A3270F">
              <w:rPr>
                <w:b/>
              </w:rPr>
              <w:t>Descriptor set used</w:t>
            </w:r>
          </w:p>
        </w:tc>
      </w:tr>
      <w:tr w:rsidR="00A20438" w:rsidRPr="00A3270F" w14:paraId="4F2E63C2" w14:textId="77777777" w:rsidTr="00A20438">
        <w:trPr>
          <w:trHeight w:val="1"/>
        </w:trPr>
        <w:tc>
          <w:tcPr>
            <w:tcW w:w="209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4C1F47" w14:textId="77777777" w:rsidR="00A20438" w:rsidRPr="00A3270F" w:rsidRDefault="00A20438" w:rsidP="004C462F">
            <w:pPr>
              <w:spacing w:after="200" w:line="276" w:lineRule="auto"/>
              <w:rPr>
                <w:rFonts w:eastAsia="Calibri"/>
              </w:rPr>
            </w:pP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58AAD3" w14:textId="77777777" w:rsidR="00A20438" w:rsidRPr="00A3270F" w:rsidRDefault="00A20438" w:rsidP="004C462F">
            <w:pPr>
              <w:spacing w:line="276" w:lineRule="auto"/>
            </w:pPr>
            <w:r w:rsidRPr="00A3270F">
              <w:rPr>
                <w:b/>
              </w:rPr>
              <w:t>Combined</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9E5E28" w14:textId="77777777" w:rsidR="00A20438" w:rsidRPr="00A3270F" w:rsidRDefault="00A20438" w:rsidP="004C462F">
            <w:pPr>
              <w:spacing w:line="276" w:lineRule="auto"/>
            </w:pPr>
            <w:proofErr w:type="spellStart"/>
            <w:r w:rsidRPr="00A3270F">
              <w:rPr>
                <w:b/>
              </w:rPr>
              <w:t>Basak</w:t>
            </w:r>
            <w:proofErr w:type="spellEnd"/>
            <w:r w:rsidRPr="00A3270F">
              <w:rPr>
                <w:b/>
              </w:rPr>
              <w:t xml:space="preserve"> lab</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F07E4" w14:textId="77777777" w:rsidR="00A20438" w:rsidRPr="00A3270F" w:rsidRDefault="00A20438" w:rsidP="004C462F">
            <w:pPr>
              <w:spacing w:line="276" w:lineRule="auto"/>
            </w:pPr>
            <w:proofErr w:type="spellStart"/>
            <w:r w:rsidRPr="00A3270F">
              <w:rPr>
                <w:b/>
              </w:rPr>
              <w:t>Diudea</w:t>
            </w:r>
            <w:proofErr w:type="spellEnd"/>
            <w:r w:rsidRPr="00A3270F">
              <w:rPr>
                <w:b/>
              </w:rPr>
              <w:t xml:space="preserve"> lab</w:t>
            </w:r>
          </w:p>
        </w:tc>
      </w:tr>
      <w:tr w:rsidR="00A20438" w:rsidRPr="00A3270F" w14:paraId="342322E2"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5F094" w14:textId="77777777" w:rsidR="00A20438" w:rsidRPr="00A3270F" w:rsidRDefault="00A20438" w:rsidP="004C462F">
            <w:pPr>
              <w:spacing w:line="276" w:lineRule="auto"/>
            </w:pPr>
            <w:r w:rsidRPr="00A3270F">
              <w:rPr>
                <w:b/>
              </w:rPr>
              <w:t>PCR</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B3534" w14:textId="77777777" w:rsidR="00A20438" w:rsidRPr="00A3270F" w:rsidRDefault="00A20438" w:rsidP="004C462F">
            <w:pPr>
              <w:spacing w:line="276" w:lineRule="auto"/>
            </w:pPr>
            <w:r w:rsidRPr="00A3270F">
              <w:t>0.59 (0.055)</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50B1F"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0.78 (0.038)</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D86839"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0.58 (0.057)</w:t>
            </w:r>
          </w:p>
        </w:tc>
      </w:tr>
      <w:tr w:rsidR="00A20438" w:rsidRPr="00A3270F" w14:paraId="4E434BD5"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FDF937" w14:textId="77777777" w:rsidR="00A20438" w:rsidRPr="00A3270F" w:rsidRDefault="00A20438" w:rsidP="004C462F">
            <w:pPr>
              <w:spacing w:line="276" w:lineRule="auto"/>
            </w:pPr>
            <w:r w:rsidRPr="00A3270F">
              <w:rPr>
                <w:b/>
              </w:rPr>
              <w:t>PLS</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4E86E7"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0.86 (0.035)</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A102D"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0.85 (0.033)</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B7A64"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0.79 (0.038)</w:t>
            </w:r>
          </w:p>
        </w:tc>
      </w:tr>
      <w:tr w:rsidR="00A20438" w:rsidRPr="00A3270F" w14:paraId="0006F7A7"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C10DD0" w14:textId="77777777" w:rsidR="00A20438" w:rsidRPr="00A3270F" w:rsidRDefault="00A20438" w:rsidP="004C462F">
            <w:pPr>
              <w:spacing w:line="276" w:lineRule="auto"/>
            </w:pPr>
            <w:r w:rsidRPr="00A3270F">
              <w:rPr>
                <w:b/>
              </w:rPr>
              <w:t>Lasso</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B9976"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0.72 (0.048)</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7B26DA"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0.75 (0.045)</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8E2AA7" w14:textId="77777777" w:rsidR="00A20438" w:rsidRPr="00A3270F" w:rsidRDefault="00A20438" w:rsidP="004C462F">
            <w:pPr>
              <w:spacing w:line="276" w:lineRule="auto"/>
            </w:pPr>
            <w:r w:rsidRPr="00A3270F">
              <w:t>0.63 (0.06)</w:t>
            </w:r>
          </w:p>
        </w:tc>
      </w:tr>
      <w:tr w:rsidR="00A20438" w:rsidRPr="00A3270F" w14:paraId="393C28F9"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5770E0" w14:textId="77777777" w:rsidR="00A20438" w:rsidRPr="00A3270F" w:rsidRDefault="00A20438" w:rsidP="004C462F">
            <w:pPr>
              <w:spacing w:line="276" w:lineRule="auto"/>
            </w:pPr>
            <w:r w:rsidRPr="00A3270F">
              <w:rPr>
                <w:b/>
              </w:rPr>
              <w:t>SCAD</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92057D"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0.57 (0.061)</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E951CC" w14:textId="77777777" w:rsidR="00A20438" w:rsidRPr="00A3270F" w:rsidRDefault="00A20438" w:rsidP="004C462F">
            <w:pPr>
              <w:spacing w:line="276" w:lineRule="auto"/>
            </w:pPr>
            <w:r w:rsidRPr="00A3270F">
              <w:t>0.58 (0.059)</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3BA3A" w14:textId="77777777" w:rsidR="00A20438" w:rsidRPr="00A3270F" w:rsidRDefault="00A20438" w:rsidP="004C462F">
            <w:pPr>
              <w:spacing w:line="276" w:lineRule="auto"/>
            </w:pPr>
            <w:r w:rsidRPr="00A3270F">
              <w:rPr>
                <w:b/>
              </w:rPr>
              <w:t>0.62 (0.063)</w:t>
            </w:r>
          </w:p>
        </w:tc>
      </w:tr>
      <w:tr w:rsidR="00A20438" w:rsidRPr="00A3270F" w14:paraId="56EBE8A6"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CB37E" w14:textId="77777777" w:rsidR="00A20438" w:rsidRPr="00A3270F" w:rsidRDefault="00A20438" w:rsidP="004C462F">
            <w:pPr>
              <w:spacing w:line="276" w:lineRule="auto"/>
            </w:pPr>
            <w:r w:rsidRPr="00A3270F">
              <w:rPr>
                <w:b/>
              </w:rPr>
              <w:t>RF</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7EDD37"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0.81 (0.036)</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F944CC" w14:textId="77777777" w:rsidR="00A20438" w:rsidRPr="00A3270F" w:rsidRDefault="00A20438" w:rsidP="004C462F">
            <w:pPr>
              <w:spacing w:line="276" w:lineRule="auto"/>
            </w:pPr>
            <w:r w:rsidRPr="00A3270F">
              <w:t>0.80 (0.042)</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11A55" w14:textId="77777777" w:rsidR="00A20438" w:rsidRPr="00A3270F" w:rsidRDefault="00A20438" w:rsidP="004C462F">
            <w:pPr>
              <w:spacing w:line="276" w:lineRule="auto"/>
            </w:pPr>
            <w:r w:rsidRPr="00A3270F">
              <w:t>0.79 (0.040)</w:t>
            </w:r>
          </w:p>
        </w:tc>
      </w:tr>
      <w:tr w:rsidR="00A20438" w:rsidRPr="00A3270F" w14:paraId="465F4B64"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4903DE" w14:textId="77777777" w:rsidR="00A20438" w:rsidRPr="00A3270F" w:rsidRDefault="00A20438" w:rsidP="004C462F">
            <w:pPr>
              <w:spacing w:line="276" w:lineRule="auto"/>
            </w:pPr>
            <w:r w:rsidRPr="00A3270F">
              <w:rPr>
                <w:b/>
              </w:rPr>
              <w:t>GBM</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63424"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0.80 (0.04)</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AB1069" w14:textId="77777777" w:rsidR="00A20438" w:rsidRPr="00A3270F" w:rsidRDefault="00A20438" w:rsidP="004C462F">
            <w:pPr>
              <w:spacing w:line="276" w:lineRule="auto"/>
            </w:pPr>
            <w:r w:rsidRPr="00A3270F">
              <w:rPr>
                <w:b/>
              </w:rPr>
              <w:t>0.82 (0.04)</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162FD" w14:textId="77777777" w:rsidR="00A20438" w:rsidRPr="00A3270F" w:rsidRDefault="00A20438" w:rsidP="004C462F">
            <w:pPr>
              <w:spacing w:line="276" w:lineRule="auto"/>
            </w:pPr>
            <w:r w:rsidRPr="00A3270F">
              <w:t>0.75 (0.042)</w:t>
            </w:r>
          </w:p>
        </w:tc>
      </w:tr>
    </w:tbl>
    <w:p w14:paraId="4DA71CAE" w14:textId="059E92AA" w:rsidR="00A20438" w:rsidRPr="00A3270F" w:rsidRDefault="00A20438" w:rsidP="00A20438">
      <w:pPr>
        <w:pStyle w:val="Tabletitle"/>
      </w:pPr>
      <w:r w:rsidRPr="00A3270F">
        <w:t xml:space="preserve">Table </w:t>
      </w:r>
      <w:r w:rsidR="00B14911">
        <w:t>4</w:t>
      </w:r>
      <w:r w:rsidRPr="00A3270F">
        <w:t xml:space="preserve">: Median and </w:t>
      </w:r>
      <w:r w:rsidRPr="001A169C">
        <w:rPr>
          <w:highlight w:val="yellow"/>
        </w:rPr>
        <w:t>mean absolute deviations (in brackets)</w:t>
      </w:r>
      <w:r w:rsidRPr="00A3270F">
        <w:t xml:space="preserve"> of Mean Square Prediction Error (MSPE) </w:t>
      </w:r>
      <w:r>
        <w:t xml:space="preserve">over 100 random splits </w:t>
      </w:r>
      <w:r w:rsidRPr="00A3270F">
        <w:t>for different methods applied on the 95 amines dataset</w:t>
      </w:r>
      <w:r>
        <w:t>. See supplementary table 3 for individual split results.</w:t>
      </w:r>
    </w:p>
    <w:tbl>
      <w:tblPr>
        <w:tblW w:w="0" w:type="auto"/>
        <w:tblInd w:w="108" w:type="dxa"/>
        <w:tblCellMar>
          <w:left w:w="10" w:type="dxa"/>
          <w:right w:w="10" w:type="dxa"/>
        </w:tblCellMar>
        <w:tblLook w:val="0000" w:firstRow="0" w:lastRow="0" w:firstColumn="0" w:lastColumn="0" w:noHBand="0" w:noVBand="0"/>
      </w:tblPr>
      <w:tblGrid>
        <w:gridCol w:w="2079"/>
        <w:gridCol w:w="2132"/>
        <w:gridCol w:w="2085"/>
        <w:gridCol w:w="2085"/>
      </w:tblGrid>
      <w:tr w:rsidR="00A20438" w:rsidRPr="00A3270F" w14:paraId="58E21CA3" w14:textId="77777777" w:rsidTr="00A20438">
        <w:trPr>
          <w:trHeight w:val="1"/>
        </w:trPr>
        <w:tc>
          <w:tcPr>
            <w:tcW w:w="207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0430A8" w14:textId="77777777" w:rsidR="00A20438" w:rsidRPr="00A3270F" w:rsidRDefault="00A20438" w:rsidP="004C462F">
            <w:pPr>
              <w:spacing w:line="276" w:lineRule="auto"/>
            </w:pPr>
            <w:r w:rsidRPr="00A3270F">
              <w:rPr>
                <w:b/>
              </w:rPr>
              <w:t>Method</w:t>
            </w:r>
          </w:p>
        </w:tc>
        <w:tc>
          <w:tcPr>
            <w:tcW w:w="630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CB50A7" w14:textId="77777777" w:rsidR="00A20438" w:rsidRPr="00A3270F" w:rsidRDefault="00A20438" w:rsidP="004C462F">
            <w:pPr>
              <w:spacing w:line="276" w:lineRule="auto"/>
            </w:pPr>
            <w:r w:rsidRPr="00A3270F">
              <w:rPr>
                <w:b/>
              </w:rPr>
              <w:t>Descriptor set used</w:t>
            </w:r>
          </w:p>
        </w:tc>
      </w:tr>
      <w:tr w:rsidR="00A20438" w:rsidRPr="00A3270F" w14:paraId="7D57D907" w14:textId="77777777" w:rsidTr="00A20438">
        <w:trPr>
          <w:trHeight w:val="1"/>
        </w:trPr>
        <w:tc>
          <w:tcPr>
            <w:tcW w:w="207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190B9" w14:textId="77777777" w:rsidR="00A20438" w:rsidRPr="00A3270F" w:rsidRDefault="00A20438" w:rsidP="004C462F">
            <w:pPr>
              <w:spacing w:after="200" w:line="276" w:lineRule="auto"/>
              <w:rPr>
                <w:rFonts w:eastAsia="Calibri"/>
              </w:rPr>
            </w:pP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C9FE8C" w14:textId="77777777" w:rsidR="00A20438" w:rsidRPr="00A3270F" w:rsidRDefault="00A20438" w:rsidP="004C462F">
            <w:pPr>
              <w:spacing w:line="276" w:lineRule="auto"/>
            </w:pPr>
            <w:r w:rsidRPr="00A3270F">
              <w:rPr>
                <w:b/>
              </w:rPr>
              <w:t>Combined</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3705B9" w14:textId="77777777" w:rsidR="00A20438" w:rsidRPr="00A3270F" w:rsidRDefault="00A20438" w:rsidP="004C462F">
            <w:pPr>
              <w:spacing w:line="276" w:lineRule="auto"/>
            </w:pPr>
            <w:proofErr w:type="spellStart"/>
            <w:r w:rsidRPr="00A3270F">
              <w:rPr>
                <w:b/>
              </w:rPr>
              <w:t>Basak</w:t>
            </w:r>
            <w:proofErr w:type="spellEnd"/>
            <w:r w:rsidRPr="00A3270F">
              <w:rPr>
                <w:b/>
              </w:rPr>
              <w:t xml:space="preserve"> lab</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E33AE9" w14:textId="77777777" w:rsidR="00A20438" w:rsidRPr="00A3270F" w:rsidRDefault="00A20438" w:rsidP="004C462F">
            <w:pPr>
              <w:spacing w:line="276" w:lineRule="auto"/>
            </w:pPr>
            <w:proofErr w:type="spellStart"/>
            <w:r w:rsidRPr="00A3270F">
              <w:rPr>
                <w:b/>
              </w:rPr>
              <w:t>Diudea</w:t>
            </w:r>
            <w:proofErr w:type="spellEnd"/>
            <w:r w:rsidRPr="00A3270F">
              <w:rPr>
                <w:b/>
              </w:rPr>
              <w:t xml:space="preserve"> lab</w:t>
            </w:r>
          </w:p>
        </w:tc>
      </w:tr>
      <w:tr w:rsidR="00A20438" w:rsidRPr="00A3270F" w14:paraId="43AEFF78"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2DEEB6" w14:textId="77777777" w:rsidR="00A20438" w:rsidRPr="00A3270F" w:rsidRDefault="00A20438" w:rsidP="004C462F">
            <w:pPr>
              <w:spacing w:line="276" w:lineRule="auto"/>
            </w:pPr>
            <w:r w:rsidRPr="00A3270F">
              <w:rPr>
                <w:b/>
              </w:rPr>
              <w:t>PCR</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2B77B0"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29.11 (13.79)</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9B5DED"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57.08 (93.829)</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F0F69"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76.02 (24.72)</w:t>
            </w:r>
          </w:p>
        </w:tc>
      </w:tr>
      <w:tr w:rsidR="00A20438" w:rsidRPr="00A3270F" w14:paraId="3D8D252F"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B6DA5" w14:textId="77777777" w:rsidR="00A20438" w:rsidRPr="00A3270F" w:rsidRDefault="00A20438" w:rsidP="004C462F">
            <w:pPr>
              <w:spacing w:line="276" w:lineRule="auto"/>
            </w:pPr>
            <w:r w:rsidRPr="00A3270F">
              <w:rPr>
                <w:b/>
              </w:rPr>
              <w:t>PLS</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FA1E9F"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18.86 (6.03)</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757EC4"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19.86 (7.464)</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8D3092"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75.70 (24.689)</w:t>
            </w:r>
          </w:p>
        </w:tc>
      </w:tr>
      <w:tr w:rsidR="00A20438" w:rsidRPr="00A3270F" w14:paraId="3A62704F"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D8553D" w14:textId="77777777" w:rsidR="00A20438" w:rsidRPr="00A3270F" w:rsidRDefault="00A20438" w:rsidP="004C462F">
            <w:pPr>
              <w:spacing w:line="276" w:lineRule="auto"/>
            </w:pPr>
            <w:r w:rsidRPr="00A3270F">
              <w:rPr>
                <w:b/>
              </w:rPr>
              <w:t>Lasso</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4AE4D9"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26.85 (9.049)</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3A0AA9"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28.72 (8.825)</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B7C738" w14:textId="77777777" w:rsidR="00A20438" w:rsidRPr="00A3270F" w:rsidRDefault="00A20438" w:rsidP="004C462F">
            <w:pPr>
              <w:spacing w:line="276" w:lineRule="auto"/>
            </w:pPr>
            <w:r w:rsidRPr="00A3270F">
              <w:t>72.75 (17.998)</w:t>
            </w:r>
          </w:p>
        </w:tc>
      </w:tr>
      <w:tr w:rsidR="00A20438" w:rsidRPr="00A3270F" w14:paraId="7DED1E77"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7B4CAE" w14:textId="77777777" w:rsidR="00A20438" w:rsidRPr="00A3270F" w:rsidRDefault="00A20438" w:rsidP="004C462F">
            <w:pPr>
              <w:spacing w:line="276" w:lineRule="auto"/>
            </w:pPr>
            <w:r w:rsidRPr="00A3270F">
              <w:rPr>
                <w:b/>
              </w:rPr>
              <w:t>SCAD</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9A214"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25.81 (8.962)</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0B9E46" w14:textId="77777777" w:rsidR="00A20438" w:rsidRPr="00A3270F" w:rsidRDefault="00A20438" w:rsidP="004C462F">
            <w:pPr>
              <w:spacing w:line="276" w:lineRule="auto"/>
            </w:pPr>
            <w:r w:rsidRPr="00A3270F">
              <w:t>31.77 (21.442)</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3C86E" w14:textId="77777777" w:rsidR="00A20438" w:rsidRPr="00A3270F" w:rsidRDefault="00A20438" w:rsidP="004C462F">
            <w:pPr>
              <w:spacing w:line="276" w:lineRule="auto"/>
            </w:pPr>
            <w:r w:rsidRPr="00A3270F">
              <w:t>74.94 (18.322)</w:t>
            </w:r>
          </w:p>
        </w:tc>
      </w:tr>
      <w:tr w:rsidR="00A20438" w:rsidRPr="00A3270F" w14:paraId="62929291"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B6BAD6" w14:textId="77777777" w:rsidR="00A20438" w:rsidRPr="00A3270F" w:rsidRDefault="00A20438" w:rsidP="004C462F">
            <w:pPr>
              <w:spacing w:line="276" w:lineRule="auto"/>
            </w:pPr>
            <w:r w:rsidRPr="00A3270F">
              <w:rPr>
                <w:b/>
              </w:rPr>
              <w:t>RF</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A641B"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17.25 (6.498)</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4F3AC5" w14:textId="77777777" w:rsidR="00A20438" w:rsidRPr="00A3270F" w:rsidRDefault="00A20438" w:rsidP="004C462F">
            <w:pPr>
              <w:spacing w:line="276" w:lineRule="auto"/>
            </w:pPr>
            <w:r w:rsidRPr="00A3270F">
              <w:t>18.98 (6.587)</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8E8509" w14:textId="77777777" w:rsidR="00A20438" w:rsidRPr="00A3270F" w:rsidRDefault="00A20438" w:rsidP="004C462F">
            <w:pPr>
              <w:spacing w:line="276" w:lineRule="auto"/>
            </w:pPr>
            <w:r w:rsidRPr="00A3270F">
              <w:t>84.59 (21.735)</w:t>
            </w:r>
          </w:p>
        </w:tc>
      </w:tr>
      <w:tr w:rsidR="00A20438" w:rsidRPr="00A3270F" w14:paraId="342543DF"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0DBEE3" w14:textId="77777777" w:rsidR="00A20438" w:rsidRPr="00A3270F" w:rsidRDefault="00A20438" w:rsidP="004C462F">
            <w:pPr>
              <w:spacing w:line="276" w:lineRule="auto"/>
            </w:pPr>
            <w:r w:rsidRPr="00A3270F">
              <w:rPr>
                <w:b/>
              </w:rPr>
              <w:t>GBM</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0C7C2"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14.79 (5.836)</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DC2747" w14:textId="77777777" w:rsidR="00A20438" w:rsidRPr="00A3270F" w:rsidRDefault="00A20438" w:rsidP="004C462F">
            <w:pPr>
              <w:spacing w:line="276" w:lineRule="auto"/>
            </w:pPr>
            <w:r w:rsidRPr="00A3270F">
              <w:t>18.03 (6.296)</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BCBC6" w14:textId="77777777" w:rsidR="00A20438" w:rsidRPr="00A3270F" w:rsidRDefault="00A20438" w:rsidP="004C462F">
            <w:pPr>
              <w:spacing w:line="276" w:lineRule="auto"/>
            </w:pPr>
            <w:r w:rsidRPr="00A3270F">
              <w:t>74.78 (17.426)</w:t>
            </w:r>
          </w:p>
        </w:tc>
      </w:tr>
    </w:tbl>
    <w:p w14:paraId="28E31F79" w14:textId="09ADE456" w:rsidR="00A20438" w:rsidRPr="00A3270F" w:rsidRDefault="00A20438" w:rsidP="00A20438">
      <w:pPr>
        <w:pStyle w:val="Tabletitle"/>
      </w:pPr>
      <w:r w:rsidRPr="005B49CA">
        <w:rPr>
          <w:highlight w:val="yellow"/>
        </w:rPr>
        <w:t xml:space="preserve">Table </w:t>
      </w:r>
      <w:r w:rsidR="00B14911">
        <w:rPr>
          <w:highlight w:val="yellow"/>
        </w:rPr>
        <w:t>5</w:t>
      </w:r>
      <w:r w:rsidRPr="005B49CA">
        <w:rPr>
          <w:highlight w:val="yellow"/>
        </w:rPr>
        <w:t>: Top PC</w:t>
      </w:r>
      <w:r w:rsidR="005B49CA" w:rsidRPr="005B49CA">
        <w:rPr>
          <w:highlight w:val="yellow"/>
        </w:rPr>
        <w:t xml:space="preserve">s and their </w:t>
      </w:r>
      <w:r w:rsidRPr="005B49CA">
        <w:rPr>
          <w:highlight w:val="yellow"/>
        </w:rPr>
        <w:t xml:space="preserve">loadings </w:t>
      </w:r>
      <w:r w:rsidR="005B49CA" w:rsidRPr="005B49CA">
        <w:rPr>
          <w:highlight w:val="yellow"/>
        </w:rPr>
        <w:t xml:space="preserve">(in brackets) </w:t>
      </w:r>
      <w:r w:rsidRPr="005B49CA">
        <w:rPr>
          <w:highlight w:val="yellow"/>
        </w:rPr>
        <w:t>of the 95 amines data</w:t>
      </w:r>
      <w:r w:rsidR="005B49CA" w:rsidRPr="005B49CA">
        <w:rPr>
          <w:highlight w:val="yellow"/>
        </w:rPr>
        <w:t>. Brackets in headings indicate percentage of variance explained by each PC.</w:t>
      </w:r>
    </w:p>
    <w:tbl>
      <w:tblPr>
        <w:tblW w:w="0" w:type="auto"/>
        <w:tblInd w:w="108" w:type="dxa"/>
        <w:tblCellMar>
          <w:left w:w="10" w:type="dxa"/>
          <w:right w:w="10" w:type="dxa"/>
        </w:tblCellMar>
        <w:tblLook w:val="0000" w:firstRow="0" w:lastRow="0" w:firstColumn="0" w:lastColumn="0" w:noHBand="0" w:noVBand="0"/>
      </w:tblPr>
      <w:tblGrid>
        <w:gridCol w:w="2087"/>
        <w:gridCol w:w="2086"/>
        <w:gridCol w:w="2096"/>
        <w:gridCol w:w="2112"/>
      </w:tblGrid>
      <w:tr w:rsidR="00A20438" w:rsidRPr="00015867" w14:paraId="371ECB2D"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B2B51" w14:textId="77777777" w:rsidR="00A20438" w:rsidRPr="00015867" w:rsidRDefault="00A20438" w:rsidP="004C462F">
            <w:pPr>
              <w:tabs>
                <w:tab w:val="left" w:pos="1935"/>
              </w:tabs>
              <w:spacing w:line="276" w:lineRule="auto"/>
              <w:rPr>
                <w:sz w:val="20"/>
                <w:szCs w:val="20"/>
              </w:rPr>
            </w:pPr>
            <w:r w:rsidRPr="00015867">
              <w:rPr>
                <w:b/>
                <w:sz w:val="20"/>
                <w:szCs w:val="20"/>
              </w:rPr>
              <w:t>PC1 (12.5%)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F98B67" w14:textId="77777777" w:rsidR="00A20438" w:rsidRPr="00015867" w:rsidRDefault="00A20438" w:rsidP="004C462F">
            <w:pPr>
              <w:tabs>
                <w:tab w:val="left" w:pos="1935"/>
              </w:tabs>
              <w:spacing w:line="276" w:lineRule="auto"/>
              <w:rPr>
                <w:sz w:val="20"/>
                <w:szCs w:val="20"/>
              </w:rPr>
            </w:pPr>
            <w:r w:rsidRPr="00015867">
              <w:rPr>
                <w:b/>
                <w:sz w:val="20"/>
                <w:szCs w:val="20"/>
              </w:rPr>
              <w:t>PC2 (10.3%)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5EB7A" w14:textId="77777777" w:rsidR="00A20438" w:rsidRPr="00015867" w:rsidRDefault="00A20438" w:rsidP="004C462F">
            <w:pPr>
              <w:tabs>
                <w:tab w:val="left" w:pos="1935"/>
              </w:tabs>
              <w:spacing w:line="276" w:lineRule="auto"/>
              <w:rPr>
                <w:sz w:val="20"/>
                <w:szCs w:val="20"/>
              </w:rPr>
            </w:pPr>
            <w:r w:rsidRPr="00015867">
              <w:rPr>
                <w:b/>
                <w:sz w:val="20"/>
                <w:szCs w:val="20"/>
              </w:rPr>
              <w:t>PC3 (7.1%)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760F0" w14:textId="77777777" w:rsidR="00A20438" w:rsidRPr="00015867" w:rsidRDefault="00A20438" w:rsidP="004C462F">
            <w:pPr>
              <w:tabs>
                <w:tab w:val="left" w:pos="1935"/>
              </w:tabs>
              <w:spacing w:line="276" w:lineRule="auto"/>
              <w:rPr>
                <w:sz w:val="20"/>
                <w:szCs w:val="20"/>
              </w:rPr>
            </w:pPr>
            <w:r w:rsidRPr="00015867">
              <w:rPr>
                <w:b/>
                <w:sz w:val="20"/>
                <w:szCs w:val="20"/>
              </w:rPr>
              <w:t>PC4 (6.9%)</w:t>
            </w:r>
          </w:p>
        </w:tc>
      </w:tr>
      <w:tr w:rsidR="00A20438" w:rsidRPr="00015867" w14:paraId="3BF232D5"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655E15"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E_ele</w:t>
            </w:r>
            <w:proofErr w:type="spellEnd"/>
            <w:r w:rsidRPr="00015867">
              <w:rPr>
                <w:sz w:val="20"/>
                <w:szCs w:val="20"/>
                <w:shd w:val="clear" w:color="auto" w:fill="FFFFFF"/>
              </w:rPr>
              <w:t xml:space="preserve"> (0.69)</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D71236"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E_ele</w:t>
            </w:r>
            <w:proofErr w:type="spellEnd"/>
            <w:r w:rsidRPr="00015867">
              <w:rPr>
                <w:sz w:val="20"/>
                <w:szCs w:val="20"/>
                <w:shd w:val="clear" w:color="auto" w:fill="FFFFFF"/>
              </w:rPr>
              <w:t xml:space="preserve"> (-0.42)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27F81"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E_ele</w:t>
            </w:r>
            <w:proofErr w:type="spellEnd"/>
            <w:r w:rsidRPr="00015867">
              <w:rPr>
                <w:sz w:val="20"/>
                <w:szCs w:val="20"/>
                <w:shd w:val="clear" w:color="auto" w:fill="FFFFFF"/>
              </w:rPr>
              <w:t xml:space="preserve"> (-0.35)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424231"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E_vdw</w:t>
            </w:r>
            <w:proofErr w:type="spellEnd"/>
            <w:r w:rsidRPr="00015867">
              <w:rPr>
                <w:sz w:val="20"/>
                <w:szCs w:val="20"/>
                <w:shd w:val="clear" w:color="auto" w:fill="FFFFFF"/>
              </w:rPr>
              <w:t xml:space="preserve"> (-0.73)</w:t>
            </w:r>
          </w:p>
        </w:tc>
      </w:tr>
      <w:tr w:rsidR="00A20438" w:rsidRPr="00015867" w14:paraId="286BE2DA"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94F7D5"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vsurf_EWmin1 (-0.43)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F49A24"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vsurf_EWmin1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CA4946" w14:textId="77777777" w:rsidR="00A20438" w:rsidRPr="00015867" w:rsidRDefault="00A20438" w:rsidP="004C462F">
            <w:pPr>
              <w:tabs>
                <w:tab w:val="left" w:pos="1935"/>
              </w:tabs>
              <w:spacing w:line="276" w:lineRule="auto"/>
              <w:rPr>
                <w:sz w:val="20"/>
                <w:szCs w:val="20"/>
              </w:rPr>
            </w:pPr>
            <w:r w:rsidRPr="00015867">
              <w:rPr>
                <w:sz w:val="20"/>
                <w:szCs w:val="20"/>
              </w:rPr>
              <w:t>vsurf_EWmin1 (-0.33)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9AF04" w14:textId="77777777" w:rsidR="00A20438" w:rsidRPr="00015867" w:rsidRDefault="00A20438" w:rsidP="004C462F">
            <w:pPr>
              <w:tabs>
                <w:tab w:val="left" w:pos="1935"/>
              </w:tabs>
              <w:spacing w:line="276" w:lineRule="auto"/>
              <w:rPr>
                <w:sz w:val="20"/>
                <w:szCs w:val="20"/>
              </w:rPr>
            </w:pPr>
            <w:proofErr w:type="spellStart"/>
            <w:r w:rsidRPr="00015867">
              <w:rPr>
                <w:sz w:val="20"/>
                <w:szCs w:val="20"/>
              </w:rPr>
              <w:t>E_nb</w:t>
            </w:r>
            <w:proofErr w:type="spellEnd"/>
            <w:r w:rsidRPr="00015867">
              <w:rPr>
                <w:sz w:val="20"/>
                <w:szCs w:val="20"/>
              </w:rPr>
              <w:t xml:space="preserve"> (-0.48)</w:t>
            </w:r>
          </w:p>
        </w:tc>
      </w:tr>
      <w:tr w:rsidR="00A20438" w:rsidRPr="00015867" w14:paraId="2B053DB2"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A9A17"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vsurf_EWmin2 (-0.4)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6367A"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vsurf_EWmin2 (-0.25)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4C329" w14:textId="77777777" w:rsidR="00A20438" w:rsidRPr="00015867" w:rsidRDefault="00A20438" w:rsidP="004C462F">
            <w:pPr>
              <w:tabs>
                <w:tab w:val="left" w:pos="1935"/>
              </w:tabs>
              <w:spacing w:line="276" w:lineRule="auto"/>
              <w:rPr>
                <w:sz w:val="20"/>
                <w:szCs w:val="20"/>
              </w:rPr>
            </w:pPr>
            <w:proofErr w:type="spellStart"/>
            <w:r w:rsidRPr="00015867">
              <w:rPr>
                <w:sz w:val="20"/>
                <w:szCs w:val="20"/>
              </w:rPr>
              <w:t>E_vdw</w:t>
            </w:r>
            <w:proofErr w:type="spellEnd"/>
            <w:r w:rsidRPr="00015867">
              <w:rPr>
                <w:sz w:val="20"/>
                <w:szCs w:val="20"/>
              </w:rPr>
              <w:t xml:space="preserve">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BFB165" w14:textId="77777777" w:rsidR="00A20438" w:rsidRPr="00015867" w:rsidRDefault="00A20438" w:rsidP="004C462F">
            <w:pPr>
              <w:tabs>
                <w:tab w:val="left" w:pos="1935"/>
              </w:tabs>
              <w:spacing w:line="276" w:lineRule="auto"/>
              <w:rPr>
                <w:sz w:val="20"/>
                <w:szCs w:val="20"/>
              </w:rPr>
            </w:pPr>
            <w:proofErr w:type="spellStart"/>
            <w:r w:rsidRPr="00015867">
              <w:rPr>
                <w:sz w:val="20"/>
                <w:szCs w:val="20"/>
              </w:rPr>
              <w:t>E_ele</w:t>
            </w:r>
            <w:proofErr w:type="spellEnd"/>
            <w:r w:rsidRPr="00015867">
              <w:rPr>
                <w:sz w:val="20"/>
                <w:szCs w:val="20"/>
              </w:rPr>
              <w:t xml:space="preserve"> (0.34)</w:t>
            </w:r>
          </w:p>
        </w:tc>
      </w:tr>
      <w:tr w:rsidR="00A20438" w:rsidRPr="00015867" w14:paraId="6A08F4DC"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1C8C84" w14:textId="77777777" w:rsidR="00A20438" w:rsidRPr="00015867" w:rsidRDefault="00A20438" w:rsidP="004C462F">
            <w:pPr>
              <w:tabs>
                <w:tab w:val="left" w:pos="1935"/>
              </w:tabs>
              <w:spacing w:line="276" w:lineRule="auto"/>
              <w:rPr>
                <w:sz w:val="20"/>
                <w:szCs w:val="20"/>
              </w:rPr>
            </w:pPr>
            <w:r w:rsidRPr="00015867">
              <w:rPr>
                <w:sz w:val="20"/>
                <w:szCs w:val="20"/>
              </w:rPr>
              <w:t>vsurf_EWmin3 (-0.3)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755ED" w14:textId="77777777" w:rsidR="00A20438" w:rsidRPr="00015867" w:rsidRDefault="00A20438" w:rsidP="004C462F">
            <w:pPr>
              <w:tabs>
                <w:tab w:val="left" w:pos="1935"/>
              </w:tabs>
              <w:spacing w:line="276" w:lineRule="auto"/>
              <w:rPr>
                <w:sz w:val="20"/>
                <w:szCs w:val="20"/>
              </w:rPr>
            </w:pPr>
            <w:r w:rsidRPr="00015867">
              <w:rPr>
                <w:sz w:val="20"/>
                <w:szCs w:val="20"/>
              </w:rPr>
              <w:t>vsurf_DW13 (-0.21)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86B39" w14:textId="77777777" w:rsidR="00A20438" w:rsidRPr="00015867" w:rsidRDefault="00A20438" w:rsidP="004C462F">
            <w:pPr>
              <w:tabs>
                <w:tab w:val="left" w:pos="1935"/>
              </w:tabs>
              <w:spacing w:line="276" w:lineRule="auto"/>
              <w:rPr>
                <w:sz w:val="20"/>
                <w:szCs w:val="20"/>
              </w:rPr>
            </w:pPr>
            <w:r w:rsidRPr="00015867">
              <w:rPr>
                <w:sz w:val="20"/>
                <w:szCs w:val="20"/>
              </w:rPr>
              <w:t>vsurf_EWmin2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63981" w14:textId="77777777" w:rsidR="00A20438" w:rsidRPr="00015867" w:rsidRDefault="00A20438" w:rsidP="004C462F">
            <w:pPr>
              <w:tabs>
                <w:tab w:val="left" w:pos="1935"/>
              </w:tabs>
              <w:spacing w:line="276" w:lineRule="auto"/>
              <w:rPr>
                <w:sz w:val="20"/>
                <w:szCs w:val="20"/>
              </w:rPr>
            </w:pPr>
            <w:r w:rsidRPr="00015867">
              <w:rPr>
                <w:sz w:val="20"/>
                <w:szCs w:val="20"/>
              </w:rPr>
              <w:t>vsurf_EWmin1 (0.19)</w:t>
            </w:r>
          </w:p>
        </w:tc>
      </w:tr>
      <w:tr w:rsidR="00A20438" w:rsidRPr="00015867" w14:paraId="272DA027"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68472"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vsurf_DW13 (-0.17)</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F22A"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vsurf_EWmin3 (-0.18)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DE0CB2" w14:textId="77777777" w:rsidR="00A20438" w:rsidRPr="00015867" w:rsidRDefault="00A20438" w:rsidP="004C462F">
            <w:pPr>
              <w:tabs>
                <w:tab w:val="left" w:pos="1935"/>
              </w:tabs>
              <w:spacing w:line="276" w:lineRule="auto"/>
              <w:rPr>
                <w:sz w:val="20"/>
                <w:szCs w:val="20"/>
              </w:rPr>
            </w:pPr>
            <w:proofErr w:type="spellStart"/>
            <w:r w:rsidRPr="00015867">
              <w:rPr>
                <w:sz w:val="20"/>
                <w:szCs w:val="20"/>
              </w:rPr>
              <w:t>E_nb</w:t>
            </w:r>
            <w:proofErr w:type="spellEnd"/>
            <w:r w:rsidRPr="00015867">
              <w:rPr>
                <w:sz w:val="20"/>
                <w:szCs w:val="20"/>
              </w:rPr>
              <w:t xml:space="preserve">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A07E4" w14:textId="77777777" w:rsidR="00A20438" w:rsidRPr="00015867" w:rsidRDefault="00A20438" w:rsidP="004C462F">
            <w:pPr>
              <w:tabs>
                <w:tab w:val="left" w:pos="1935"/>
              </w:tabs>
              <w:spacing w:line="276" w:lineRule="auto"/>
              <w:rPr>
                <w:sz w:val="20"/>
                <w:szCs w:val="20"/>
              </w:rPr>
            </w:pPr>
            <w:r w:rsidRPr="00015867">
              <w:rPr>
                <w:sz w:val="20"/>
                <w:szCs w:val="20"/>
              </w:rPr>
              <w:t>vsurf_EWmin2 (0.18)</w:t>
            </w:r>
          </w:p>
        </w:tc>
      </w:tr>
      <w:tr w:rsidR="00A20438" w:rsidRPr="00015867" w14:paraId="612709CE"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5C858"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E_nb</w:t>
            </w:r>
            <w:proofErr w:type="spellEnd"/>
            <w:r w:rsidRPr="00015867">
              <w:rPr>
                <w:sz w:val="20"/>
                <w:szCs w:val="20"/>
                <w:shd w:val="clear" w:color="auto" w:fill="FFFFFF"/>
              </w:rPr>
              <w:t xml:space="preserve"> (0.11)</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C39916"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E_nb</w:t>
            </w:r>
            <w:proofErr w:type="spellEnd"/>
            <w:r w:rsidRPr="00015867">
              <w:rPr>
                <w:sz w:val="20"/>
                <w:szCs w:val="20"/>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48E8C" w14:textId="77777777" w:rsidR="00A20438" w:rsidRPr="00015867" w:rsidRDefault="00A20438" w:rsidP="004C462F">
            <w:pPr>
              <w:tabs>
                <w:tab w:val="left" w:pos="1935"/>
              </w:tabs>
              <w:spacing w:line="276" w:lineRule="auto"/>
              <w:rPr>
                <w:sz w:val="20"/>
                <w:szCs w:val="20"/>
              </w:rPr>
            </w:pPr>
            <w:r w:rsidRPr="00015867">
              <w:rPr>
                <w:sz w:val="20"/>
                <w:szCs w:val="20"/>
              </w:rPr>
              <w:t>vsurf_EWmin3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D7B7B" w14:textId="77777777" w:rsidR="00A20438" w:rsidRPr="00015867" w:rsidRDefault="00A20438" w:rsidP="004C462F">
            <w:pPr>
              <w:tabs>
                <w:tab w:val="left" w:pos="1935"/>
              </w:tabs>
              <w:spacing w:line="276" w:lineRule="auto"/>
              <w:rPr>
                <w:sz w:val="20"/>
                <w:szCs w:val="20"/>
              </w:rPr>
            </w:pPr>
            <w:r w:rsidRPr="00015867">
              <w:rPr>
                <w:sz w:val="20"/>
                <w:szCs w:val="20"/>
              </w:rPr>
              <w:t>vsurf_DW13 (-0.14)</w:t>
            </w:r>
          </w:p>
        </w:tc>
      </w:tr>
      <w:tr w:rsidR="00A20438" w:rsidRPr="00015867" w14:paraId="3762209A"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B001DF"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vsurf_HB6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4A047"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E_vdw</w:t>
            </w:r>
            <w:proofErr w:type="spellEnd"/>
            <w:r w:rsidRPr="00015867">
              <w:rPr>
                <w:sz w:val="20"/>
                <w:szCs w:val="20"/>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59C96" w14:textId="77777777" w:rsidR="00A20438" w:rsidRPr="00015867" w:rsidRDefault="00A20438" w:rsidP="004C462F">
            <w:pPr>
              <w:tabs>
                <w:tab w:val="left" w:pos="1935"/>
              </w:tabs>
              <w:spacing w:line="276" w:lineRule="auto"/>
              <w:rPr>
                <w:sz w:val="20"/>
                <w:szCs w:val="20"/>
              </w:rPr>
            </w:pPr>
            <w:r w:rsidRPr="00015867">
              <w:rPr>
                <w:sz w:val="20"/>
                <w:szCs w:val="20"/>
              </w:rPr>
              <w:t>vsurf_DW</w:t>
            </w:r>
            <w:proofErr w:type="gramStart"/>
            <w:r w:rsidRPr="00015867">
              <w:rPr>
                <w:sz w:val="20"/>
                <w:szCs w:val="20"/>
              </w:rPr>
              <w:t>13  (</w:t>
            </w:r>
            <w:proofErr w:type="gramEnd"/>
            <w:r w:rsidRPr="00015867">
              <w:rPr>
                <w:sz w:val="20"/>
                <w:szCs w:val="20"/>
              </w:rPr>
              <w:t>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14E356" w14:textId="77777777" w:rsidR="00A20438" w:rsidRPr="00015867" w:rsidRDefault="00A20438" w:rsidP="004C462F">
            <w:pPr>
              <w:tabs>
                <w:tab w:val="left" w:pos="1935"/>
              </w:tabs>
              <w:spacing w:line="276" w:lineRule="auto"/>
              <w:rPr>
                <w:sz w:val="20"/>
                <w:szCs w:val="20"/>
              </w:rPr>
            </w:pPr>
            <w:r w:rsidRPr="00015867">
              <w:rPr>
                <w:sz w:val="20"/>
                <w:szCs w:val="20"/>
              </w:rPr>
              <w:t>vsurf_EWmin3 (0.13)</w:t>
            </w:r>
          </w:p>
        </w:tc>
      </w:tr>
      <w:tr w:rsidR="00A20438" w:rsidRPr="00015867" w14:paraId="74EFA4C5"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897CED"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vsurf_W6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A66CB"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96334B" w14:textId="77777777" w:rsidR="00A20438" w:rsidRPr="00015867" w:rsidRDefault="00A20438" w:rsidP="004C462F">
            <w:pPr>
              <w:tabs>
                <w:tab w:val="left" w:pos="1935"/>
              </w:tabs>
              <w:spacing w:line="276" w:lineRule="auto"/>
              <w:rPr>
                <w:sz w:val="20"/>
                <w:szCs w:val="20"/>
              </w:rPr>
            </w:pPr>
            <w:r w:rsidRPr="00015867">
              <w:rPr>
                <w:b/>
                <w:sz w:val="20"/>
                <w:szCs w:val="20"/>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3A8AE8" w14:textId="77777777" w:rsidR="00A20438" w:rsidRPr="00015867" w:rsidRDefault="00A20438" w:rsidP="004C462F">
            <w:pPr>
              <w:tabs>
                <w:tab w:val="left" w:pos="1935"/>
              </w:tabs>
              <w:spacing w:line="276" w:lineRule="auto"/>
              <w:rPr>
                <w:sz w:val="20"/>
                <w:szCs w:val="20"/>
              </w:rPr>
            </w:pPr>
            <w:r w:rsidRPr="00015867">
              <w:rPr>
                <w:sz w:val="20"/>
                <w:szCs w:val="20"/>
              </w:rPr>
              <w:t>GCUT_SlogP_0 (0.06)</w:t>
            </w:r>
          </w:p>
        </w:tc>
      </w:tr>
      <w:tr w:rsidR="00A20438" w:rsidRPr="00015867" w14:paraId="6DF8810E"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910624" w14:textId="77777777" w:rsidR="00A20438" w:rsidRPr="00015867" w:rsidRDefault="00A20438" w:rsidP="004C462F">
            <w:pPr>
              <w:tabs>
                <w:tab w:val="left" w:pos="1935"/>
              </w:tabs>
              <w:spacing w:line="276" w:lineRule="auto"/>
              <w:rPr>
                <w:sz w:val="20"/>
                <w:szCs w:val="20"/>
              </w:rPr>
            </w:pPr>
            <w:r w:rsidRPr="00015867">
              <w:rPr>
                <w:sz w:val="20"/>
                <w:szCs w:val="20"/>
              </w:rPr>
              <w:t>vsurf_HL2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A54E32"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SlogP_VSA9 (0.13)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B5BA12" w14:textId="77777777" w:rsidR="00A20438" w:rsidRPr="00015867" w:rsidRDefault="00A20438" w:rsidP="004C462F">
            <w:pPr>
              <w:tabs>
                <w:tab w:val="left" w:pos="1935"/>
              </w:tabs>
              <w:spacing w:line="276" w:lineRule="auto"/>
              <w:rPr>
                <w:sz w:val="20"/>
                <w:szCs w:val="20"/>
              </w:rPr>
            </w:pPr>
            <w:r w:rsidRPr="00015867">
              <w:rPr>
                <w:sz w:val="20"/>
                <w:szCs w:val="20"/>
              </w:rPr>
              <w:t>GCUT_SMR_0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FF938" w14:textId="77777777" w:rsidR="00A20438" w:rsidRPr="00015867" w:rsidRDefault="00A20438" w:rsidP="004C462F">
            <w:pPr>
              <w:tabs>
                <w:tab w:val="left" w:pos="1935"/>
              </w:tabs>
              <w:spacing w:line="276" w:lineRule="auto"/>
              <w:rPr>
                <w:sz w:val="20"/>
                <w:szCs w:val="20"/>
              </w:rPr>
            </w:pPr>
            <w:r w:rsidRPr="00015867">
              <w:rPr>
                <w:sz w:val="20"/>
                <w:szCs w:val="20"/>
              </w:rPr>
              <w:t>GCUT_SMR_0 (0.06)</w:t>
            </w:r>
          </w:p>
        </w:tc>
      </w:tr>
      <w:tr w:rsidR="00A20438" w:rsidRPr="00015867" w14:paraId="47783D33"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BDA43"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vsurf_CW6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713700" w14:textId="77777777" w:rsidR="00A20438" w:rsidRPr="00015867" w:rsidRDefault="00A20438" w:rsidP="004C462F">
            <w:pPr>
              <w:tabs>
                <w:tab w:val="left" w:pos="1935"/>
              </w:tabs>
              <w:spacing w:line="276" w:lineRule="auto"/>
              <w:rPr>
                <w:sz w:val="20"/>
                <w:szCs w:val="20"/>
              </w:rPr>
            </w:pPr>
            <w:r w:rsidRPr="00015867">
              <w:rPr>
                <w:b/>
                <w:sz w:val="20"/>
                <w:szCs w:val="20"/>
              </w:rPr>
              <w:t>ASZ2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7BBD1" w14:textId="77777777" w:rsidR="00A20438" w:rsidRPr="00015867" w:rsidRDefault="00A20438" w:rsidP="004C462F">
            <w:pPr>
              <w:tabs>
                <w:tab w:val="left" w:pos="1935"/>
              </w:tabs>
              <w:spacing w:line="276" w:lineRule="auto"/>
              <w:rPr>
                <w:sz w:val="20"/>
                <w:szCs w:val="20"/>
              </w:rPr>
            </w:pPr>
            <w:r w:rsidRPr="00015867">
              <w:rPr>
                <w:b/>
                <w:sz w:val="20"/>
                <w:szCs w:val="20"/>
              </w:rPr>
              <w:t>ASZ</w:t>
            </w:r>
            <w:proofErr w:type="gramStart"/>
            <w:r w:rsidRPr="00015867">
              <w:rPr>
                <w:b/>
                <w:sz w:val="20"/>
                <w:szCs w:val="20"/>
              </w:rPr>
              <w:t>2  (</w:t>
            </w:r>
            <w:proofErr w:type="gramEnd"/>
            <w:r w:rsidRPr="00015867">
              <w:rPr>
                <w:b/>
                <w:sz w:val="20"/>
                <w:szCs w:val="20"/>
              </w:rPr>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CF8F8"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b/>
                <w:sz w:val="20"/>
                <w:szCs w:val="20"/>
                <w:shd w:val="clear" w:color="auto" w:fill="FFFFFF"/>
              </w:rPr>
              <w:t>DN2Z2 (0.04)</w:t>
            </w:r>
          </w:p>
        </w:tc>
      </w:tr>
    </w:tbl>
    <w:p w14:paraId="6AD0B826" w14:textId="77777777" w:rsidR="00A20438" w:rsidRPr="00A3270F" w:rsidRDefault="00A20438" w:rsidP="00A20438">
      <w:pPr>
        <w:tabs>
          <w:tab w:val="left" w:pos="1935"/>
        </w:tabs>
      </w:pPr>
      <w:r w:rsidRPr="00A3270F">
        <w:rPr>
          <w:b/>
          <w:bCs/>
        </w:rPr>
        <w:t>Bold</w:t>
      </w:r>
      <w:r w:rsidRPr="00A3270F">
        <w:t xml:space="preserve"> = </w:t>
      </w:r>
      <w:r w:rsidRPr="00A3270F">
        <w:rPr>
          <w:bCs/>
        </w:rPr>
        <w:t xml:space="preserve">Triplet </w:t>
      </w:r>
      <w:r w:rsidRPr="00A3270F">
        <w:t>descriptors</w:t>
      </w:r>
      <w:r>
        <w:t xml:space="preserve"> calculated by </w:t>
      </w:r>
      <w:proofErr w:type="spellStart"/>
      <w:r>
        <w:t>Basak</w:t>
      </w:r>
      <w:proofErr w:type="spellEnd"/>
      <w:r>
        <w:t xml:space="preserve"> group</w:t>
      </w:r>
    </w:p>
    <w:p w14:paraId="79F538F3" w14:textId="594B8738" w:rsidR="005B49CA" w:rsidRPr="00A3270F" w:rsidRDefault="00A20438" w:rsidP="005B49CA">
      <w:pPr>
        <w:pStyle w:val="Tabletitle"/>
      </w:pPr>
      <w:r w:rsidRPr="005B49CA">
        <w:rPr>
          <w:highlight w:val="yellow"/>
        </w:rPr>
        <w:t xml:space="preserve">Table </w:t>
      </w:r>
      <w:r w:rsidR="00B14911">
        <w:rPr>
          <w:highlight w:val="yellow"/>
        </w:rPr>
        <w:t>6</w:t>
      </w:r>
      <w:r w:rsidRPr="005B49CA">
        <w:rPr>
          <w:highlight w:val="yellow"/>
        </w:rPr>
        <w:t xml:space="preserve">: </w:t>
      </w:r>
      <w:r w:rsidR="005B49CA" w:rsidRPr="005B49CA">
        <w:rPr>
          <w:highlight w:val="yellow"/>
        </w:rPr>
        <w:t xml:space="preserve">Top PCs and their loadings (in brackets) </w:t>
      </w:r>
      <w:r w:rsidRPr="005B49CA">
        <w:rPr>
          <w:highlight w:val="yellow"/>
        </w:rPr>
        <w:t>of the 508 compounds data</w:t>
      </w:r>
      <w:r w:rsidR="005B49CA" w:rsidRPr="005B49CA">
        <w:rPr>
          <w:highlight w:val="yellow"/>
        </w:rPr>
        <w:t>. Brackets in headings indicate percentage of variance explained by each PC.</w:t>
      </w:r>
    </w:p>
    <w:tbl>
      <w:tblPr>
        <w:tblW w:w="0" w:type="auto"/>
        <w:tblInd w:w="108" w:type="dxa"/>
        <w:tblCellMar>
          <w:left w:w="10" w:type="dxa"/>
          <w:right w:w="10" w:type="dxa"/>
        </w:tblCellMar>
        <w:tblLook w:val="0000" w:firstRow="0" w:lastRow="0" w:firstColumn="0" w:lastColumn="0" w:noHBand="0" w:noVBand="0"/>
      </w:tblPr>
      <w:tblGrid>
        <w:gridCol w:w="2094"/>
        <w:gridCol w:w="2095"/>
        <w:gridCol w:w="2096"/>
        <w:gridCol w:w="2096"/>
      </w:tblGrid>
      <w:tr w:rsidR="00A20438" w:rsidRPr="00015867" w14:paraId="7AA04ADA"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B4DA6" w14:textId="77777777" w:rsidR="00A20438" w:rsidRPr="00015867" w:rsidRDefault="00A20438" w:rsidP="004C462F">
            <w:pPr>
              <w:tabs>
                <w:tab w:val="left" w:pos="1935"/>
              </w:tabs>
              <w:spacing w:line="276" w:lineRule="auto"/>
              <w:rPr>
                <w:sz w:val="20"/>
                <w:szCs w:val="20"/>
              </w:rPr>
            </w:pPr>
            <w:r w:rsidRPr="00015867">
              <w:rPr>
                <w:b/>
                <w:sz w:val="20"/>
                <w:szCs w:val="20"/>
              </w:rPr>
              <w:lastRenderedPageBreak/>
              <w:t>PC1 (15%)</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EC9ED" w14:textId="77777777" w:rsidR="00A20438" w:rsidRPr="00015867" w:rsidRDefault="00A20438" w:rsidP="004C462F">
            <w:pPr>
              <w:tabs>
                <w:tab w:val="left" w:pos="1935"/>
              </w:tabs>
              <w:spacing w:line="276" w:lineRule="auto"/>
              <w:rPr>
                <w:sz w:val="20"/>
                <w:szCs w:val="20"/>
              </w:rPr>
            </w:pPr>
            <w:r w:rsidRPr="00015867">
              <w:rPr>
                <w:b/>
                <w:sz w:val="20"/>
                <w:szCs w:val="20"/>
              </w:rPr>
              <w:t>PC2 (14.1%)</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53CE0" w14:textId="77777777" w:rsidR="00A20438" w:rsidRPr="00015867" w:rsidRDefault="00A20438" w:rsidP="004C462F">
            <w:pPr>
              <w:tabs>
                <w:tab w:val="left" w:pos="1935"/>
              </w:tabs>
              <w:spacing w:line="276" w:lineRule="auto"/>
              <w:rPr>
                <w:sz w:val="20"/>
                <w:szCs w:val="20"/>
              </w:rPr>
            </w:pPr>
            <w:r w:rsidRPr="00015867">
              <w:rPr>
                <w:b/>
                <w:sz w:val="20"/>
                <w:szCs w:val="20"/>
              </w:rPr>
              <w:t>PC3 (12%)</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D248E" w14:textId="77777777" w:rsidR="00A20438" w:rsidRPr="00015867" w:rsidRDefault="00A20438" w:rsidP="004C462F">
            <w:pPr>
              <w:tabs>
                <w:tab w:val="left" w:pos="1935"/>
              </w:tabs>
              <w:spacing w:line="276" w:lineRule="auto"/>
              <w:rPr>
                <w:sz w:val="20"/>
                <w:szCs w:val="20"/>
              </w:rPr>
            </w:pPr>
            <w:r w:rsidRPr="00015867">
              <w:rPr>
                <w:b/>
                <w:sz w:val="20"/>
                <w:szCs w:val="20"/>
              </w:rPr>
              <w:t>PC4 (9.3%)</w:t>
            </w:r>
          </w:p>
        </w:tc>
      </w:tr>
      <w:tr w:rsidR="00A20438" w:rsidRPr="00015867" w14:paraId="5884A00C"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48348"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E_tor</w:t>
            </w:r>
            <w:proofErr w:type="spellEnd"/>
            <w:r w:rsidRPr="00015867">
              <w:rPr>
                <w:sz w:val="20"/>
                <w:szCs w:val="20"/>
                <w:shd w:val="clear" w:color="auto" w:fill="FFFFFF"/>
              </w:rPr>
              <w:t xml:space="preserve"> (0.96)</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D4530"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vsurf_DW23 (0.95)</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408CC"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density (-0.93)</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24317"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GCUT_SlogP_0 (0.96)</w:t>
            </w:r>
          </w:p>
        </w:tc>
      </w:tr>
      <w:tr w:rsidR="00A20438" w:rsidRPr="00015867" w14:paraId="637B3243"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CCC44"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vsurf_DW23 (-0.25)</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539B9"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E_tor</w:t>
            </w:r>
            <w:proofErr w:type="spellEnd"/>
            <w:r w:rsidRPr="00015867">
              <w:rPr>
                <w:sz w:val="20"/>
                <w:szCs w:val="20"/>
                <w:shd w:val="clear" w:color="auto" w:fill="FFFFFF"/>
              </w:rPr>
              <w:t xml:space="preserve"> (0.23)</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45322" w14:textId="77777777" w:rsidR="00A20438" w:rsidRPr="00015867" w:rsidRDefault="00A20438" w:rsidP="004C462F">
            <w:pPr>
              <w:tabs>
                <w:tab w:val="left" w:pos="1935"/>
              </w:tabs>
              <w:spacing w:line="276" w:lineRule="auto"/>
              <w:rPr>
                <w:sz w:val="20"/>
                <w:szCs w:val="20"/>
              </w:rPr>
            </w:pPr>
            <w:r w:rsidRPr="00015867">
              <w:rPr>
                <w:sz w:val="20"/>
                <w:szCs w:val="20"/>
              </w:rPr>
              <w:t>GCUT_SlogP_0 (-0.19)</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632E4" w14:textId="77777777" w:rsidR="00A20438" w:rsidRPr="00015867" w:rsidRDefault="00A20438" w:rsidP="004C462F">
            <w:pPr>
              <w:tabs>
                <w:tab w:val="left" w:pos="1935"/>
              </w:tabs>
              <w:spacing w:line="276" w:lineRule="auto"/>
              <w:rPr>
                <w:sz w:val="20"/>
                <w:szCs w:val="20"/>
              </w:rPr>
            </w:pPr>
            <w:r w:rsidRPr="00015867">
              <w:rPr>
                <w:sz w:val="20"/>
                <w:szCs w:val="20"/>
              </w:rPr>
              <w:t>density (-0.19)</w:t>
            </w:r>
          </w:p>
        </w:tc>
      </w:tr>
      <w:tr w:rsidR="00A20438" w:rsidRPr="00015867" w14:paraId="231248D3"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442197"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GCUT_SlogP_0 (0.06)</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C94AE3"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GCUT_SlogP_0 (0.15)</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AC6AD" w14:textId="77777777" w:rsidR="00A20438" w:rsidRPr="00015867" w:rsidRDefault="00A20438" w:rsidP="004C462F">
            <w:pPr>
              <w:tabs>
                <w:tab w:val="left" w:pos="1935"/>
              </w:tabs>
              <w:spacing w:line="276" w:lineRule="auto"/>
              <w:rPr>
                <w:sz w:val="20"/>
                <w:szCs w:val="20"/>
              </w:rPr>
            </w:pPr>
            <w:r w:rsidRPr="00015867">
              <w:rPr>
                <w:sz w:val="20"/>
                <w:szCs w:val="20"/>
              </w:rPr>
              <w:t>vsurf_ID2 (0.12)</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49704" w14:textId="77777777" w:rsidR="00A20438" w:rsidRPr="00015867" w:rsidRDefault="00A20438" w:rsidP="004C462F">
            <w:pPr>
              <w:tabs>
                <w:tab w:val="left" w:pos="1935"/>
              </w:tabs>
              <w:spacing w:line="276" w:lineRule="auto"/>
              <w:rPr>
                <w:sz w:val="20"/>
                <w:szCs w:val="20"/>
              </w:rPr>
            </w:pPr>
            <w:r w:rsidRPr="00015867">
              <w:rPr>
                <w:sz w:val="20"/>
                <w:szCs w:val="20"/>
              </w:rPr>
              <w:t>vsurf_DW23 (-0.14)</w:t>
            </w:r>
          </w:p>
        </w:tc>
      </w:tr>
      <w:tr w:rsidR="00A20438" w:rsidRPr="00015867" w14:paraId="639E706B"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808E5D" w14:textId="77777777" w:rsidR="00A20438" w:rsidRPr="00015867" w:rsidRDefault="00A20438" w:rsidP="004C462F">
            <w:pPr>
              <w:tabs>
                <w:tab w:val="left" w:pos="1935"/>
              </w:tabs>
              <w:spacing w:line="276" w:lineRule="auto"/>
              <w:rPr>
                <w:sz w:val="20"/>
                <w:szCs w:val="20"/>
              </w:rPr>
            </w:pPr>
            <w:r w:rsidRPr="00015867">
              <w:rPr>
                <w:sz w:val="20"/>
                <w:szCs w:val="20"/>
              </w:rPr>
              <w:t>vsurf_ID3 (-0.04)</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E232BE" w14:textId="77777777" w:rsidR="00A20438" w:rsidRPr="00015867" w:rsidRDefault="00A20438" w:rsidP="004C462F">
            <w:pPr>
              <w:tabs>
                <w:tab w:val="left" w:pos="1935"/>
              </w:tabs>
              <w:spacing w:line="276" w:lineRule="auto"/>
              <w:rPr>
                <w:sz w:val="20"/>
                <w:szCs w:val="20"/>
              </w:rPr>
            </w:pPr>
            <w:r w:rsidRPr="00015867">
              <w:rPr>
                <w:sz w:val="20"/>
                <w:szCs w:val="20"/>
              </w:rPr>
              <w:t>density (-0.07)</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17C43" w14:textId="77777777" w:rsidR="00A20438" w:rsidRPr="00015867" w:rsidRDefault="00A20438" w:rsidP="004C462F">
            <w:pPr>
              <w:tabs>
                <w:tab w:val="left" w:pos="1935"/>
              </w:tabs>
              <w:spacing w:line="276" w:lineRule="auto"/>
              <w:rPr>
                <w:sz w:val="20"/>
                <w:szCs w:val="20"/>
              </w:rPr>
            </w:pPr>
            <w:r w:rsidRPr="00015867">
              <w:rPr>
                <w:sz w:val="20"/>
                <w:szCs w:val="20"/>
              </w:rPr>
              <w:t>vsurf_ID3 (0.12)</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C8FCFE" w14:textId="77777777" w:rsidR="00A20438" w:rsidRPr="00015867" w:rsidRDefault="00A20438" w:rsidP="004C462F">
            <w:pPr>
              <w:tabs>
                <w:tab w:val="left" w:pos="1935"/>
              </w:tabs>
              <w:spacing w:line="276" w:lineRule="auto"/>
              <w:rPr>
                <w:sz w:val="20"/>
                <w:szCs w:val="20"/>
              </w:rPr>
            </w:pPr>
            <w:proofErr w:type="spellStart"/>
            <w:r w:rsidRPr="00015867">
              <w:rPr>
                <w:sz w:val="20"/>
                <w:szCs w:val="20"/>
              </w:rPr>
              <w:t>E_tor</w:t>
            </w:r>
            <w:proofErr w:type="spellEnd"/>
            <w:r w:rsidRPr="00015867">
              <w:rPr>
                <w:sz w:val="20"/>
                <w:szCs w:val="20"/>
              </w:rPr>
              <w:t xml:space="preserve"> (-0.09)</w:t>
            </w:r>
          </w:p>
        </w:tc>
      </w:tr>
      <w:tr w:rsidR="00A20438" w:rsidRPr="00015867" w14:paraId="1C26BCF7"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B9209"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vsurf_ID4 (-0.04)</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2E42F3"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vsurf_ID2 (-0.06)</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B62C1" w14:textId="77777777" w:rsidR="00A20438" w:rsidRPr="00015867" w:rsidRDefault="00A20438" w:rsidP="004C462F">
            <w:pPr>
              <w:tabs>
                <w:tab w:val="left" w:pos="1935"/>
              </w:tabs>
              <w:spacing w:line="276" w:lineRule="auto"/>
              <w:rPr>
                <w:sz w:val="20"/>
                <w:szCs w:val="20"/>
              </w:rPr>
            </w:pPr>
            <w:r w:rsidRPr="00015867">
              <w:rPr>
                <w:sz w:val="20"/>
                <w:szCs w:val="20"/>
              </w:rPr>
              <w:t>vsurf_ID4 (0.11)</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987754" w14:textId="77777777" w:rsidR="00A20438" w:rsidRPr="00015867" w:rsidRDefault="00A20438" w:rsidP="004C462F">
            <w:pPr>
              <w:tabs>
                <w:tab w:val="left" w:pos="1935"/>
              </w:tabs>
              <w:spacing w:line="276" w:lineRule="auto"/>
              <w:rPr>
                <w:sz w:val="20"/>
                <w:szCs w:val="20"/>
              </w:rPr>
            </w:pPr>
            <w:proofErr w:type="spellStart"/>
            <w:r w:rsidRPr="00015867">
              <w:rPr>
                <w:sz w:val="20"/>
                <w:szCs w:val="20"/>
              </w:rPr>
              <w:t>vsurf_CP</w:t>
            </w:r>
            <w:proofErr w:type="spellEnd"/>
            <w:r w:rsidRPr="00015867">
              <w:rPr>
                <w:sz w:val="20"/>
                <w:szCs w:val="20"/>
              </w:rPr>
              <w:t xml:space="preserve"> (0.05)</w:t>
            </w:r>
          </w:p>
        </w:tc>
      </w:tr>
      <w:tr w:rsidR="00A20438" w:rsidRPr="00015867" w14:paraId="5BB8D743"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2C1557"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vsurf_ID2 (-0.04)</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B7AA1"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vsurf_ID1 (-0.05)</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C4C08" w14:textId="77777777" w:rsidR="00A20438" w:rsidRPr="00015867" w:rsidRDefault="00A20438" w:rsidP="004C462F">
            <w:pPr>
              <w:tabs>
                <w:tab w:val="left" w:pos="1935"/>
              </w:tabs>
              <w:spacing w:line="276" w:lineRule="auto"/>
              <w:rPr>
                <w:sz w:val="20"/>
                <w:szCs w:val="20"/>
              </w:rPr>
            </w:pPr>
            <w:r w:rsidRPr="00015867">
              <w:rPr>
                <w:sz w:val="20"/>
                <w:szCs w:val="20"/>
              </w:rPr>
              <w:t>vsurf_ID1 (0.1)</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D84B4" w14:textId="77777777" w:rsidR="00A20438" w:rsidRPr="00015867" w:rsidRDefault="00A20438" w:rsidP="004C462F">
            <w:pPr>
              <w:tabs>
                <w:tab w:val="left" w:pos="1935"/>
              </w:tabs>
              <w:spacing w:line="276" w:lineRule="auto"/>
              <w:rPr>
                <w:sz w:val="20"/>
                <w:szCs w:val="20"/>
              </w:rPr>
            </w:pPr>
            <w:r w:rsidRPr="00015867">
              <w:rPr>
                <w:sz w:val="20"/>
                <w:szCs w:val="20"/>
              </w:rPr>
              <w:t>vsurf_ID2 (0.04)</w:t>
            </w:r>
          </w:p>
        </w:tc>
      </w:tr>
      <w:tr w:rsidR="00A20438" w:rsidRPr="00015867" w14:paraId="6451A89A"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27186E"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vsurf_ID6 (-0.03)</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10DCD"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vsurf_ID3 (-0.05)</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B4325" w14:textId="77777777" w:rsidR="00A20438" w:rsidRPr="00015867" w:rsidRDefault="00A20438" w:rsidP="004C462F">
            <w:pPr>
              <w:tabs>
                <w:tab w:val="left" w:pos="1935"/>
              </w:tabs>
              <w:spacing w:line="276" w:lineRule="auto"/>
              <w:rPr>
                <w:sz w:val="20"/>
                <w:szCs w:val="20"/>
              </w:rPr>
            </w:pPr>
            <w:r w:rsidRPr="00015867">
              <w:rPr>
                <w:sz w:val="20"/>
                <w:szCs w:val="20"/>
              </w:rPr>
              <w:t>vsurf_IW1 (0.1)</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ABBBD4" w14:textId="77777777" w:rsidR="00A20438" w:rsidRPr="00015867" w:rsidRDefault="00A20438" w:rsidP="004C462F">
            <w:pPr>
              <w:tabs>
                <w:tab w:val="left" w:pos="1935"/>
              </w:tabs>
              <w:spacing w:line="276" w:lineRule="auto"/>
              <w:rPr>
                <w:sz w:val="20"/>
                <w:szCs w:val="20"/>
              </w:rPr>
            </w:pPr>
            <w:r w:rsidRPr="00015867">
              <w:rPr>
                <w:sz w:val="20"/>
                <w:szCs w:val="20"/>
              </w:rPr>
              <w:t>vsurf_ID4 (0.02)</w:t>
            </w:r>
          </w:p>
        </w:tc>
      </w:tr>
      <w:tr w:rsidR="00A20438" w:rsidRPr="00015867" w14:paraId="1D7E6A5A"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BE0E10"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vsurf_ID1 (-0.03)</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E47CA"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vsurf_ID4 (-0.04)</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84F144" w14:textId="77777777" w:rsidR="00A20438" w:rsidRPr="00015867" w:rsidRDefault="00A20438" w:rsidP="004C462F">
            <w:pPr>
              <w:tabs>
                <w:tab w:val="left" w:pos="1935"/>
              </w:tabs>
              <w:spacing w:line="276" w:lineRule="auto"/>
              <w:rPr>
                <w:sz w:val="20"/>
                <w:szCs w:val="20"/>
              </w:rPr>
            </w:pPr>
            <w:r w:rsidRPr="00015867">
              <w:rPr>
                <w:sz w:val="20"/>
                <w:szCs w:val="20"/>
              </w:rPr>
              <w:t>vsurf_ID5 (0.09)</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89239" w14:textId="77777777" w:rsidR="00A20438" w:rsidRPr="00015867" w:rsidRDefault="00A20438" w:rsidP="004C462F">
            <w:pPr>
              <w:tabs>
                <w:tab w:val="left" w:pos="1935"/>
              </w:tabs>
              <w:spacing w:line="276" w:lineRule="auto"/>
              <w:rPr>
                <w:sz w:val="20"/>
                <w:szCs w:val="20"/>
              </w:rPr>
            </w:pPr>
            <w:r w:rsidRPr="00015867">
              <w:rPr>
                <w:sz w:val="20"/>
                <w:szCs w:val="20"/>
              </w:rPr>
              <w:t>vsurf_ID3 (0.02)</w:t>
            </w:r>
          </w:p>
        </w:tc>
      </w:tr>
      <w:tr w:rsidR="00A20438" w:rsidRPr="00015867" w14:paraId="5D6079DA"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C2C9C7"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vsurf_ID5 (-0.03)</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C38AEB"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vsurf_CW4 (-0.04)</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B538FB" w14:textId="77777777" w:rsidR="00A20438" w:rsidRPr="00015867" w:rsidRDefault="00A20438" w:rsidP="004C462F">
            <w:pPr>
              <w:tabs>
                <w:tab w:val="left" w:pos="1935"/>
              </w:tabs>
              <w:spacing w:line="276" w:lineRule="auto"/>
              <w:rPr>
                <w:sz w:val="20"/>
                <w:szCs w:val="20"/>
              </w:rPr>
            </w:pPr>
            <w:r w:rsidRPr="00015867">
              <w:rPr>
                <w:sz w:val="20"/>
                <w:szCs w:val="20"/>
              </w:rPr>
              <w:t>BCUT_SMR_2 (-0.09)</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7C654" w14:textId="77777777" w:rsidR="00A20438" w:rsidRPr="00015867" w:rsidRDefault="00A20438" w:rsidP="004C462F">
            <w:pPr>
              <w:tabs>
                <w:tab w:val="left" w:pos="1935"/>
              </w:tabs>
              <w:spacing w:line="276" w:lineRule="auto"/>
              <w:rPr>
                <w:sz w:val="20"/>
                <w:szCs w:val="20"/>
              </w:rPr>
            </w:pPr>
            <w:r w:rsidRPr="00015867">
              <w:rPr>
                <w:sz w:val="20"/>
                <w:szCs w:val="20"/>
              </w:rPr>
              <w:t>vsurf_ID1 (0.02)</w:t>
            </w:r>
          </w:p>
        </w:tc>
      </w:tr>
      <w:tr w:rsidR="00A20438" w:rsidRPr="00015867" w14:paraId="1C520DEB"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F8B44"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vsurf_ID7 (-0.03)</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E9F33" w14:textId="77777777" w:rsidR="00A20438" w:rsidRPr="00015867" w:rsidRDefault="00A20438" w:rsidP="004C462F">
            <w:pPr>
              <w:tabs>
                <w:tab w:val="left" w:pos="1935"/>
              </w:tabs>
              <w:spacing w:line="276" w:lineRule="auto"/>
              <w:rPr>
                <w:sz w:val="20"/>
                <w:szCs w:val="20"/>
              </w:rPr>
            </w:pPr>
            <w:r w:rsidRPr="00015867">
              <w:rPr>
                <w:sz w:val="20"/>
                <w:szCs w:val="20"/>
              </w:rPr>
              <w:t>vsurf_ID6 (-0.03)</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E25CB" w14:textId="77777777" w:rsidR="00A20438" w:rsidRPr="00015867" w:rsidRDefault="00A20438" w:rsidP="004C462F">
            <w:pPr>
              <w:tabs>
                <w:tab w:val="left" w:pos="1935"/>
              </w:tabs>
              <w:spacing w:line="276" w:lineRule="auto"/>
              <w:rPr>
                <w:sz w:val="20"/>
                <w:szCs w:val="20"/>
              </w:rPr>
            </w:pPr>
            <w:r w:rsidRPr="00015867">
              <w:rPr>
                <w:sz w:val="20"/>
                <w:szCs w:val="20"/>
              </w:rPr>
              <w:t>vsurf_ID6 (0.07)</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CB46A"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vsurf_ID7 (0.02)</w:t>
            </w:r>
          </w:p>
        </w:tc>
      </w:tr>
    </w:tbl>
    <w:p w14:paraId="5EB78078" w14:textId="77777777" w:rsidR="00FE4713" w:rsidRDefault="00FE4713" w:rsidP="0010771A">
      <w:pPr>
        <w:pStyle w:val="Tabletitle"/>
      </w:pPr>
    </w:p>
    <w:sectPr w:rsidR="00FE4713" w:rsidSect="00074B81">
      <w:headerReference w:type="even" r:id="rId9"/>
      <w:headerReference w:type="default" r:id="rId10"/>
      <w:footerReference w:type="even" r:id="rId11"/>
      <w:footerReference w:type="default" r:id="rId12"/>
      <w:headerReference w:type="first" r:id="rId13"/>
      <w:footerReference w:type="first" r:id="rId14"/>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087D1" w14:textId="77777777" w:rsidR="00CA7A39" w:rsidRDefault="00CA7A39" w:rsidP="00AF2C92">
      <w:r>
        <w:separator/>
      </w:r>
    </w:p>
  </w:endnote>
  <w:endnote w:type="continuationSeparator" w:id="0">
    <w:p w14:paraId="4D6978C7" w14:textId="77777777" w:rsidR="00CA7A39" w:rsidRDefault="00CA7A39"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D1097" w14:textId="77777777" w:rsidR="004C462F" w:rsidRDefault="004C4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2533" w14:textId="77777777" w:rsidR="004C462F" w:rsidRDefault="004C46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9579B" w14:textId="77777777" w:rsidR="004C462F" w:rsidRDefault="004C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D0634" w14:textId="77777777" w:rsidR="00CA7A39" w:rsidRDefault="00CA7A39" w:rsidP="00AF2C92">
      <w:r>
        <w:separator/>
      </w:r>
    </w:p>
  </w:footnote>
  <w:footnote w:type="continuationSeparator" w:id="0">
    <w:p w14:paraId="614164DA" w14:textId="77777777" w:rsidR="00CA7A39" w:rsidRDefault="00CA7A39"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F9AC8" w14:textId="77777777" w:rsidR="004C462F" w:rsidRDefault="004C46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B1F75" w14:textId="77777777" w:rsidR="004C462F" w:rsidRDefault="004C46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47749" w14:textId="77777777" w:rsidR="004C462F" w:rsidRDefault="004C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7C37A7"/>
    <w:multiLevelType w:val="hybridMultilevel"/>
    <w:tmpl w:val="761A6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17F669D"/>
    <w:multiLevelType w:val="hybridMultilevel"/>
    <w:tmpl w:val="29BA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BF1E3F"/>
    <w:multiLevelType w:val="hybridMultilevel"/>
    <w:tmpl w:val="04F6B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1"/>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8"/>
  </w:num>
  <w:num w:numId="14">
    <w:abstractNumId w:val="22"/>
  </w:num>
  <w:num w:numId="15">
    <w:abstractNumId w:val="14"/>
  </w:num>
  <w:num w:numId="16">
    <w:abstractNumId w:val="17"/>
  </w:num>
  <w:num w:numId="17">
    <w:abstractNumId w:val="11"/>
  </w:num>
  <w:num w:numId="18">
    <w:abstractNumId w:val="0"/>
  </w:num>
  <w:num w:numId="19">
    <w:abstractNumId w:val="12"/>
  </w:num>
  <w:num w:numId="20">
    <w:abstractNumId w:val="22"/>
  </w:num>
  <w:num w:numId="21">
    <w:abstractNumId w:val="22"/>
  </w:num>
  <w:num w:numId="22">
    <w:abstractNumId w:val="22"/>
  </w:num>
  <w:num w:numId="23">
    <w:abstractNumId w:val="22"/>
  </w:num>
  <w:num w:numId="24">
    <w:abstractNumId w:val="18"/>
  </w:num>
  <w:num w:numId="25">
    <w:abstractNumId w:val="19"/>
  </w:num>
  <w:num w:numId="26">
    <w:abstractNumId w:val="23"/>
  </w:num>
  <w:num w:numId="27">
    <w:abstractNumId w:val="24"/>
  </w:num>
  <w:num w:numId="28">
    <w:abstractNumId w:val="22"/>
  </w:num>
  <w:num w:numId="29">
    <w:abstractNumId w:val="13"/>
  </w:num>
  <w:num w:numId="30">
    <w:abstractNumId w:val="26"/>
  </w:num>
  <w:num w:numId="31">
    <w:abstractNumId w:val="25"/>
  </w:num>
  <w:num w:numId="32">
    <w:abstractNumId w:val="2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4A"/>
    <w:rsid w:val="00001899"/>
    <w:rsid w:val="000049AD"/>
    <w:rsid w:val="0000681B"/>
    <w:rsid w:val="000078DA"/>
    <w:rsid w:val="00010327"/>
    <w:rsid w:val="000133C0"/>
    <w:rsid w:val="00014C4E"/>
    <w:rsid w:val="00015867"/>
    <w:rsid w:val="00017107"/>
    <w:rsid w:val="000202E2"/>
    <w:rsid w:val="00022441"/>
    <w:rsid w:val="0002261E"/>
    <w:rsid w:val="00024839"/>
    <w:rsid w:val="00026871"/>
    <w:rsid w:val="00037A98"/>
    <w:rsid w:val="000427FB"/>
    <w:rsid w:val="0004455E"/>
    <w:rsid w:val="0004599F"/>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6845"/>
    <w:rsid w:val="000970AC"/>
    <w:rsid w:val="000A1167"/>
    <w:rsid w:val="000A4428"/>
    <w:rsid w:val="000A6D40"/>
    <w:rsid w:val="000A7BC3"/>
    <w:rsid w:val="000B1661"/>
    <w:rsid w:val="000B1F0B"/>
    <w:rsid w:val="000B2E88"/>
    <w:rsid w:val="000B4603"/>
    <w:rsid w:val="000B624E"/>
    <w:rsid w:val="000B6CEC"/>
    <w:rsid w:val="000C003E"/>
    <w:rsid w:val="000C09BE"/>
    <w:rsid w:val="000C1380"/>
    <w:rsid w:val="000C1CD5"/>
    <w:rsid w:val="000C554F"/>
    <w:rsid w:val="000D0DC5"/>
    <w:rsid w:val="000D15FF"/>
    <w:rsid w:val="000D28DF"/>
    <w:rsid w:val="000D488B"/>
    <w:rsid w:val="000D68DF"/>
    <w:rsid w:val="000E138D"/>
    <w:rsid w:val="000E187A"/>
    <w:rsid w:val="000E2D61"/>
    <w:rsid w:val="000E450E"/>
    <w:rsid w:val="000E5047"/>
    <w:rsid w:val="000E6259"/>
    <w:rsid w:val="000F4677"/>
    <w:rsid w:val="000F5BE0"/>
    <w:rsid w:val="00100032"/>
    <w:rsid w:val="00100587"/>
    <w:rsid w:val="0010284E"/>
    <w:rsid w:val="00103122"/>
    <w:rsid w:val="0010336A"/>
    <w:rsid w:val="001050F1"/>
    <w:rsid w:val="00105AEA"/>
    <w:rsid w:val="00106DAF"/>
    <w:rsid w:val="0010771A"/>
    <w:rsid w:val="0011376E"/>
    <w:rsid w:val="00114ABE"/>
    <w:rsid w:val="00116023"/>
    <w:rsid w:val="00134A51"/>
    <w:rsid w:val="00140727"/>
    <w:rsid w:val="00160628"/>
    <w:rsid w:val="00161344"/>
    <w:rsid w:val="00162195"/>
    <w:rsid w:val="0016322A"/>
    <w:rsid w:val="00165A21"/>
    <w:rsid w:val="001705CE"/>
    <w:rsid w:val="00175371"/>
    <w:rsid w:val="0017714B"/>
    <w:rsid w:val="001804DF"/>
    <w:rsid w:val="00181BDC"/>
    <w:rsid w:val="00181DB0"/>
    <w:rsid w:val="001829E3"/>
    <w:rsid w:val="001924C0"/>
    <w:rsid w:val="0019731E"/>
    <w:rsid w:val="001A09FE"/>
    <w:rsid w:val="001A169C"/>
    <w:rsid w:val="001A67C9"/>
    <w:rsid w:val="001A69DE"/>
    <w:rsid w:val="001A713C"/>
    <w:rsid w:val="001B1C7C"/>
    <w:rsid w:val="001B398F"/>
    <w:rsid w:val="001B46C6"/>
    <w:rsid w:val="001B4B48"/>
    <w:rsid w:val="001B4D1F"/>
    <w:rsid w:val="001B6B26"/>
    <w:rsid w:val="001B7681"/>
    <w:rsid w:val="001B7CAE"/>
    <w:rsid w:val="001C0772"/>
    <w:rsid w:val="001C0D4F"/>
    <w:rsid w:val="001C1BA3"/>
    <w:rsid w:val="001C1DEC"/>
    <w:rsid w:val="001C52A1"/>
    <w:rsid w:val="001C5736"/>
    <w:rsid w:val="001D2F06"/>
    <w:rsid w:val="001D45DA"/>
    <w:rsid w:val="001D647F"/>
    <w:rsid w:val="001D6857"/>
    <w:rsid w:val="001E04B3"/>
    <w:rsid w:val="001E0572"/>
    <w:rsid w:val="001E0A67"/>
    <w:rsid w:val="001E1028"/>
    <w:rsid w:val="001E14E2"/>
    <w:rsid w:val="001E6302"/>
    <w:rsid w:val="001E7DCB"/>
    <w:rsid w:val="001F3411"/>
    <w:rsid w:val="001F4287"/>
    <w:rsid w:val="001F4537"/>
    <w:rsid w:val="001F4DBA"/>
    <w:rsid w:val="001F6075"/>
    <w:rsid w:val="0020415E"/>
    <w:rsid w:val="00204FF4"/>
    <w:rsid w:val="0021056E"/>
    <w:rsid w:val="0021075D"/>
    <w:rsid w:val="0021165A"/>
    <w:rsid w:val="00211BC9"/>
    <w:rsid w:val="0021620C"/>
    <w:rsid w:val="00216CCE"/>
    <w:rsid w:val="00216E78"/>
    <w:rsid w:val="00217275"/>
    <w:rsid w:val="002211DD"/>
    <w:rsid w:val="00231985"/>
    <w:rsid w:val="00236F4B"/>
    <w:rsid w:val="00242B0D"/>
    <w:rsid w:val="002467C6"/>
    <w:rsid w:val="0024692A"/>
    <w:rsid w:val="002511F1"/>
    <w:rsid w:val="00252BBA"/>
    <w:rsid w:val="00253123"/>
    <w:rsid w:val="0025727C"/>
    <w:rsid w:val="00264001"/>
    <w:rsid w:val="00266354"/>
    <w:rsid w:val="00267A18"/>
    <w:rsid w:val="00273462"/>
    <w:rsid w:val="0027395B"/>
    <w:rsid w:val="00275854"/>
    <w:rsid w:val="00283B41"/>
    <w:rsid w:val="00285F28"/>
    <w:rsid w:val="00286398"/>
    <w:rsid w:val="002A3C42"/>
    <w:rsid w:val="002A5896"/>
    <w:rsid w:val="002A5D75"/>
    <w:rsid w:val="002A6CCC"/>
    <w:rsid w:val="002B13B8"/>
    <w:rsid w:val="002B1786"/>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0B7A"/>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2AD2"/>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A5F"/>
    <w:rsid w:val="00412C8E"/>
    <w:rsid w:val="0041518D"/>
    <w:rsid w:val="00417437"/>
    <w:rsid w:val="0042221D"/>
    <w:rsid w:val="00424DD3"/>
    <w:rsid w:val="004269C5"/>
    <w:rsid w:val="00432C70"/>
    <w:rsid w:val="00435939"/>
    <w:rsid w:val="00437CC7"/>
    <w:rsid w:val="00442B9C"/>
    <w:rsid w:val="00445B30"/>
    <w:rsid w:val="00445EFA"/>
    <w:rsid w:val="0044738A"/>
    <w:rsid w:val="004473D3"/>
    <w:rsid w:val="00452231"/>
    <w:rsid w:val="00460C13"/>
    <w:rsid w:val="00463228"/>
    <w:rsid w:val="00463782"/>
    <w:rsid w:val="00464A75"/>
    <w:rsid w:val="004667E0"/>
    <w:rsid w:val="0046760E"/>
    <w:rsid w:val="00470E10"/>
    <w:rsid w:val="004750FB"/>
    <w:rsid w:val="00477A97"/>
    <w:rsid w:val="00477CBB"/>
    <w:rsid w:val="00481343"/>
    <w:rsid w:val="0048549E"/>
    <w:rsid w:val="00487DEC"/>
    <w:rsid w:val="004930C6"/>
    <w:rsid w:val="00493347"/>
    <w:rsid w:val="004945E5"/>
    <w:rsid w:val="00496092"/>
    <w:rsid w:val="004A08DB"/>
    <w:rsid w:val="004A25D0"/>
    <w:rsid w:val="004A37E8"/>
    <w:rsid w:val="004A43E3"/>
    <w:rsid w:val="004A7549"/>
    <w:rsid w:val="004B09D4"/>
    <w:rsid w:val="004B309D"/>
    <w:rsid w:val="004B330A"/>
    <w:rsid w:val="004B7C8E"/>
    <w:rsid w:val="004C32E7"/>
    <w:rsid w:val="004C3D3C"/>
    <w:rsid w:val="004C462F"/>
    <w:rsid w:val="004C5516"/>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27E0"/>
    <w:rsid w:val="00523F57"/>
    <w:rsid w:val="00525E06"/>
    <w:rsid w:val="00526454"/>
    <w:rsid w:val="0053080C"/>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0D60"/>
    <w:rsid w:val="005741E9"/>
    <w:rsid w:val="005748CF"/>
    <w:rsid w:val="00584270"/>
    <w:rsid w:val="00584738"/>
    <w:rsid w:val="005920B0"/>
    <w:rsid w:val="0059380D"/>
    <w:rsid w:val="00595195"/>
    <w:rsid w:val="00595A8F"/>
    <w:rsid w:val="005977C2"/>
    <w:rsid w:val="005978F3"/>
    <w:rsid w:val="00597BF2"/>
    <w:rsid w:val="005A1F54"/>
    <w:rsid w:val="005A3020"/>
    <w:rsid w:val="005A4CE9"/>
    <w:rsid w:val="005B134E"/>
    <w:rsid w:val="005B2039"/>
    <w:rsid w:val="005B344F"/>
    <w:rsid w:val="005B3FBA"/>
    <w:rsid w:val="005B49CA"/>
    <w:rsid w:val="005B4A1D"/>
    <w:rsid w:val="005B674D"/>
    <w:rsid w:val="005C056D"/>
    <w:rsid w:val="005C0CBE"/>
    <w:rsid w:val="005C1FCF"/>
    <w:rsid w:val="005C3F41"/>
    <w:rsid w:val="005C3FD7"/>
    <w:rsid w:val="005D1885"/>
    <w:rsid w:val="005D4A38"/>
    <w:rsid w:val="005E1E6C"/>
    <w:rsid w:val="005E2EEA"/>
    <w:rsid w:val="005E3708"/>
    <w:rsid w:val="005E3CCD"/>
    <w:rsid w:val="005E3D6B"/>
    <w:rsid w:val="005E5B55"/>
    <w:rsid w:val="005E5E4A"/>
    <w:rsid w:val="005E693D"/>
    <w:rsid w:val="005E75BF"/>
    <w:rsid w:val="005F57BA"/>
    <w:rsid w:val="005F61E6"/>
    <w:rsid w:val="005F6C45"/>
    <w:rsid w:val="00605A69"/>
    <w:rsid w:val="00606C54"/>
    <w:rsid w:val="00613479"/>
    <w:rsid w:val="00614375"/>
    <w:rsid w:val="00615B0A"/>
    <w:rsid w:val="006168CF"/>
    <w:rsid w:val="00617F6A"/>
    <w:rsid w:val="0062011B"/>
    <w:rsid w:val="00626DE0"/>
    <w:rsid w:val="00630901"/>
    <w:rsid w:val="00631F8E"/>
    <w:rsid w:val="00636EE9"/>
    <w:rsid w:val="00640950"/>
    <w:rsid w:val="00641AE7"/>
    <w:rsid w:val="00642629"/>
    <w:rsid w:val="0064782B"/>
    <w:rsid w:val="0065293D"/>
    <w:rsid w:val="00653EFC"/>
    <w:rsid w:val="00654021"/>
    <w:rsid w:val="00661045"/>
    <w:rsid w:val="006619E8"/>
    <w:rsid w:val="00664622"/>
    <w:rsid w:val="00666DA8"/>
    <w:rsid w:val="00671057"/>
    <w:rsid w:val="006721F5"/>
    <w:rsid w:val="00675AAF"/>
    <w:rsid w:val="0068031A"/>
    <w:rsid w:val="00681B2F"/>
    <w:rsid w:val="0068335F"/>
    <w:rsid w:val="00687217"/>
    <w:rsid w:val="00693302"/>
    <w:rsid w:val="0069640B"/>
    <w:rsid w:val="006A1B83"/>
    <w:rsid w:val="006A21CD"/>
    <w:rsid w:val="006A3B3D"/>
    <w:rsid w:val="006A53E3"/>
    <w:rsid w:val="006A5918"/>
    <w:rsid w:val="006B21B2"/>
    <w:rsid w:val="006B4A4A"/>
    <w:rsid w:val="006C19B2"/>
    <w:rsid w:val="006C29B6"/>
    <w:rsid w:val="006C4409"/>
    <w:rsid w:val="006C5BB8"/>
    <w:rsid w:val="006C6936"/>
    <w:rsid w:val="006C7B01"/>
    <w:rsid w:val="006D0FE8"/>
    <w:rsid w:val="006D4B2B"/>
    <w:rsid w:val="006D4F3C"/>
    <w:rsid w:val="006D5C66"/>
    <w:rsid w:val="006D7002"/>
    <w:rsid w:val="006E1B3C"/>
    <w:rsid w:val="006E23FB"/>
    <w:rsid w:val="006E253F"/>
    <w:rsid w:val="006E325A"/>
    <w:rsid w:val="006E33EC"/>
    <w:rsid w:val="006E3802"/>
    <w:rsid w:val="006E6C02"/>
    <w:rsid w:val="006E6FA6"/>
    <w:rsid w:val="006F231A"/>
    <w:rsid w:val="006F3DB1"/>
    <w:rsid w:val="006F4DD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456"/>
    <w:rsid w:val="00754B80"/>
    <w:rsid w:val="00755163"/>
    <w:rsid w:val="00761918"/>
    <w:rsid w:val="00762F03"/>
    <w:rsid w:val="0076413B"/>
    <w:rsid w:val="007648AE"/>
    <w:rsid w:val="00764BF8"/>
    <w:rsid w:val="0076514D"/>
    <w:rsid w:val="00773D59"/>
    <w:rsid w:val="00774FC9"/>
    <w:rsid w:val="00781003"/>
    <w:rsid w:val="007911FD"/>
    <w:rsid w:val="007936F0"/>
    <w:rsid w:val="00793930"/>
    <w:rsid w:val="00793DD1"/>
    <w:rsid w:val="00794FEC"/>
    <w:rsid w:val="00797BF1"/>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095"/>
    <w:rsid w:val="008929D2"/>
    <w:rsid w:val="00893636"/>
    <w:rsid w:val="00893B94"/>
    <w:rsid w:val="00896E9D"/>
    <w:rsid w:val="00896F11"/>
    <w:rsid w:val="008A1049"/>
    <w:rsid w:val="008A1C98"/>
    <w:rsid w:val="008A322D"/>
    <w:rsid w:val="008A4D72"/>
    <w:rsid w:val="008A6285"/>
    <w:rsid w:val="008A63B2"/>
    <w:rsid w:val="008B345D"/>
    <w:rsid w:val="008B66D3"/>
    <w:rsid w:val="008C1FC2"/>
    <w:rsid w:val="008C2980"/>
    <w:rsid w:val="008C4DD6"/>
    <w:rsid w:val="008C5AFB"/>
    <w:rsid w:val="008C723D"/>
    <w:rsid w:val="008D07FB"/>
    <w:rsid w:val="008D0C02"/>
    <w:rsid w:val="008D357D"/>
    <w:rsid w:val="008D435A"/>
    <w:rsid w:val="008E387B"/>
    <w:rsid w:val="008E6087"/>
    <w:rsid w:val="008E758D"/>
    <w:rsid w:val="008E7ABD"/>
    <w:rsid w:val="008F10A7"/>
    <w:rsid w:val="008F755D"/>
    <w:rsid w:val="008F7A39"/>
    <w:rsid w:val="009021E8"/>
    <w:rsid w:val="00903943"/>
    <w:rsid w:val="00904677"/>
    <w:rsid w:val="00905EE2"/>
    <w:rsid w:val="00911440"/>
    <w:rsid w:val="00911712"/>
    <w:rsid w:val="00911B27"/>
    <w:rsid w:val="009170BE"/>
    <w:rsid w:val="009206B8"/>
    <w:rsid w:val="00920B55"/>
    <w:rsid w:val="00923A4C"/>
    <w:rsid w:val="009262C9"/>
    <w:rsid w:val="00930CE3"/>
    <w:rsid w:val="00930EB9"/>
    <w:rsid w:val="00933090"/>
    <w:rsid w:val="00933DC7"/>
    <w:rsid w:val="00936CC1"/>
    <w:rsid w:val="009418F4"/>
    <w:rsid w:val="00941C8D"/>
    <w:rsid w:val="00942BBC"/>
    <w:rsid w:val="00944180"/>
    <w:rsid w:val="00944AA0"/>
    <w:rsid w:val="00945BA0"/>
    <w:rsid w:val="00947DA2"/>
    <w:rsid w:val="00951177"/>
    <w:rsid w:val="009673E8"/>
    <w:rsid w:val="00974DB8"/>
    <w:rsid w:val="009750B8"/>
    <w:rsid w:val="00980661"/>
    <w:rsid w:val="0098093B"/>
    <w:rsid w:val="009876D4"/>
    <w:rsid w:val="009914A5"/>
    <w:rsid w:val="009935E3"/>
    <w:rsid w:val="0099548E"/>
    <w:rsid w:val="00996456"/>
    <w:rsid w:val="00996A12"/>
    <w:rsid w:val="00997B0F"/>
    <w:rsid w:val="009A0CC3"/>
    <w:rsid w:val="009A16BF"/>
    <w:rsid w:val="009A1C24"/>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4383"/>
    <w:rsid w:val="009E4F30"/>
    <w:rsid w:val="009E51D1"/>
    <w:rsid w:val="009E5531"/>
    <w:rsid w:val="009F171E"/>
    <w:rsid w:val="009F3D2F"/>
    <w:rsid w:val="009F7052"/>
    <w:rsid w:val="00A02668"/>
    <w:rsid w:val="00A02801"/>
    <w:rsid w:val="00A06A39"/>
    <w:rsid w:val="00A07F58"/>
    <w:rsid w:val="00A10E04"/>
    <w:rsid w:val="00A131CB"/>
    <w:rsid w:val="00A14847"/>
    <w:rsid w:val="00A16D6D"/>
    <w:rsid w:val="00A20438"/>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4BA6"/>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1E"/>
    <w:rsid w:val="00AE0A40"/>
    <w:rsid w:val="00AE1825"/>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0B12"/>
    <w:rsid w:val="00B024B9"/>
    <w:rsid w:val="00B077FA"/>
    <w:rsid w:val="00B1072E"/>
    <w:rsid w:val="00B127D7"/>
    <w:rsid w:val="00B13B0C"/>
    <w:rsid w:val="00B14408"/>
    <w:rsid w:val="00B1453A"/>
    <w:rsid w:val="00B14911"/>
    <w:rsid w:val="00B15D2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5779F"/>
    <w:rsid w:val="00B62999"/>
    <w:rsid w:val="00B63BE3"/>
    <w:rsid w:val="00B64885"/>
    <w:rsid w:val="00B64FA3"/>
    <w:rsid w:val="00B66810"/>
    <w:rsid w:val="00B72BE3"/>
    <w:rsid w:val="00B73B80"/>
    <w:rsid w:val="00B770C7"/>
    <w:rsid w:val="00B807E7"/>
    <w:rsid w:val="00B80F26"/>
    <w:rsid w:val="00B822BD"/>
    <w:rsid w:val="00B842F4"/>
    <w:rsid w:val="00B91A7B"/>
    <w:rsid w:val="00B929DD"/>
    <w:rsid w:val="00B93AF6"/>
    <w:rsid w:val="00B9505E"/>
    <w:rsid w:val="00B95405"/>
    <w:rsid w:val="00B963F1"/>
    <w:rsid w:val="00BA020A"/>
    <w:rsid w:val="00BA15AA"/>
    <w:rsid w:val="00BB025A"/>
    <w:rsid w:val="00BB02A4"/>
    <w:rsid w:val="00BB1270"/>
    <w:rsid w:val="00BB1E44"/>
    <w:rsid w:val="00BB3146"/>
    <w:rsid w:val="00BB5267"/>
    <w:rsid w:val="00BB52B8"/>
    <w:rsid w:val="00BB59D8"/>
    <w:rsid w:val="00BB7E69"/>
    <w:rsid w:val="00BC0E51"/>
    <w:rsid w:val="00BC3C1F"/>
    <w:rsid w:val="00BC5462"/>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0C34"/>
    <w:rsid w:val="00C41ADC"/>
    <w:rsid w:val="00C44149"/>
    <w:rsid w:val="00C44410"/>
    <w:rsid w:val="00C44A15"/>
    <w:rsid w:val="00C4630A"/>
    <w:rsid w:val="00C522DB"/>
    <w:rsid w:val="00C523F0"/>
    <w:rsid w:val="00C526D2"/>
    <w:rsid w:val="00C52BB8"/>
    <w:rsid w:val="00C53A91"/>
    <w:rsid w:val="00C5794E"/>
    <w:rsid w:val="00C60968"/>
    <w:rsid w:val="00C60C66"/>
    <w:rsid w:val="00C63D39"/>
    <w:rsid w:val="00C63EDD"/>
    <w:rsid w:val="00C65B36"/>
    <w:rsid w:val="00C7292E"/>
    <w:rsid w:val="00C74E88"/>
    <w:rsid w:val="00C80924"/>
    <w:rsid w:val="00C8286B"/>
    <w:rsid w:val="00C9179D"/>
    <w:rsid w:val="00C947F8"/>
    <w:rsid w:val="00C9515F"/>
    <w:rsid w:val="00C9560D"/>
    <w:rsid w:val="00C963C5"/>
    <w:rsid w:val="00CA030C"/>
    <w:rsid w:val="00CA1F41"/>
    <w:rsid w:val="00CA32EE"/>
    <w:rsid w:val="00CA5771"/>
    <w:rsid w:val="00CA6A1A"/>
    <w:rsid w:val="00CA7A39"/>
    <w:rsid w:val="00CB0BD3"/>
    <w:rsid w:val="00CC1E75"/>
    <w:rsid w:val="00CC2E0E"/>
    <w:rsid w:val="00CC361C"/>
    <w:rsid w:val="00CC3F52"/>
    <w:rsid w:val="00CC474B"/>
    <w:rsid w:val="00CC658C"/>
    <w:rsid w:val="00CC67BF"/>
    <w:rsid w:val="00CD0843"/>
    <w:rsid w:val="00CD2E11"/>
    <w:rsid w:val="00CD4E31"/>
    <w:rsid w:val="00CD5A78"/>
    <w:rsid w:val="00CD7345"/>
    <w:rsid w:val="00CE372E"/>
    <w:rsid w:val="00CF0A1B"/>
    <w:rsid w:val="00CF19F6"/>
    <w:rsid w:val="00CF2F4F"/>
    <w:rsid w:val="00CF536D"/>
    <w:rsid w:val="00CF6041"/>
    <w:rsid w:val="00D02E9D"/>
    <w:rsid w:val="00D10CB8"/>
    <w:rsid w:val="00D12806"/>
    <w:rsid w:val="00D12D44"/>
    <w:rsid w:val="00D15018"/>
    <w:rsid w:val="00D158AC"/>
    <w:rsid w:val="00D1694C"/>
    <w:rsid w:val="00D20F5E"/>
    <w:rsid w:val="00D23B76"/>
    <w:rsid w:val="00D24B4A"/>
    <w:rsid w:val="00D34FCA"/>
    <w:rsid w:val="00D379A3"/>
    <w:rsid w:val="00D42E33"/>
    <w:rsid w:val="00D45FF3"/>
    <w:rsid w:val="00D50042"/>
    <w:rsid w:val="00D512CF"/>
    <w:rsid w:val="00D528B9"/>
    <w:rsid w:val="00D53186"/>
    <w:rsid w:val="00D53952"/>
    <w:rsid w:val="00D5487D"/>
    <w:rsid w:val="00D55F2C"/>
    <w:rsid w:val="00D60140"/>
    <w:rsid w:val="00D6024A"/>
    <w:rsid w:val="00D608B5"/>
    <w:rsid w:val="00D64739"/>
    <w:rsid w:val="00D64C42"/>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3278D"/>
    <w:rsid w:val="00E40488"/>
    <w:rsid w:val="00E41FFE"/>
    <w:rsid w:val="00E50367"/>
    <w:rsid w:val="00E51ABA"/>
    <w:rsid w:val="00E524CB"/>
    <w:rsid w:val="00E5404A"/>
    <w:rsid w:val="00E62991"/>
    <w:rsid w:val="00E64793"/>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2D89"/>
    <w:rsid w:val="00ED5E0B"/>
    <w:rsid w:val="00EE37B6"/>
    <w:rsid w:val="00EE769C"/>
    <w:rsid w:val="00EF0F45"/>
    <w:rsid w:val="00EF6284"/>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53E"/>
    <w:rsid w:val="00F65DD4"/>
    <w:rsid w:val="00F672B2"/>
    <w:rsid w:val="00F73644"/>
    <w:rsid w:val="00F74953"/>
    <w:rsid w:val="00F83973"/>
    <w:rsid w:val="00F846D1"/>
    <w:rsid w:val="00F87FA3"/>
    <w:rsid w:val="00F93D8C"/>
    <w:rsid w:val="00FA0EF2"/>
    <w:rsid w:val="00FA3102"/>
    <w:rsid w:val="00FA48D4"/>
    <w:rsid w:val="00FA54FA"/>
    <w:rsid w:val="00FA6D39"/>
    <w:rsid w:val="00FB227E"/>
    <w:rsid w:val="00FB3D61"/>
    <w:rsid w:val="00FB44CE"/>
    <w:rsid w:val="00FB5009"/>
    <w:rsid w:val="00FB76AB"/>
    <w:rsid w:val="00FD03FE"/>
    <w:rsid w:val="00FD126E"/>
    <w:rsid w:val="00FD23F3"/>
    <w:rsid w:val="00FD3C36"/>
    <w:rsid w:val="00FD4D81"/>
    <w:rsid w:val="00FD7498"/>
    <w:rsid w:val="00FD7FB3"/>
    <w:rsid w:val="00FE4713"/>
    <w:rsid w:val="00FE70A0"/>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B88D5"/>
  <w14:defaultImageDpi w14:val="330"/>
  <w15:docId w15:val="{25AF49F0-2C2C-4E74-8175-6344C25D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CA"/>
    <w:pPr>
      <w:spacing w:line="480" w:lineRule="auto"/>
    </w:pPr>
    <w:rPr>
      <w:sz w:val="24"/>
      <w:szCs w:val="24"/>
    </w:rPr>
  </w:style>
  <w:style w:type="paragraph" w:styleId="Heading1">
    <w:name w:val="heading 1"/>
    <w:basedOn w:val="Normal"/>
    <w:next w:val="Paragraph"/>
    <w:link w:val="Heading1Char"/>
    <w:qFormat/>
    <w:rsid w:val="005B49CA"/>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5B49CA"/>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5B49CA"/>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5B49CA"/>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5B49CA"/>
    <w:pPr>
      <w:spacing w:after="120" w:line="360" w:lineRule="auto"/>
    </w:pPr>
    <w:rPr>
      <w:b/>
      <w:sz w:val="28"/>
    </w:rPr>
  </w:style>
  <w:style w:type="paragraph" w:customStyle="1" w:styleId="Authornames">
    <w:name w:val="Author names"/>
    <w:basedOn w:val="Normal"/>
    <w:next w:val="Normal"/>
    <w:qFormat/>
    <w:rsid w:val="005B49CA"/>
    <w:pPr>
      <w:spacing w:before="240" w:line="360" w:lineRule="auto"/>
    </w:pPr>
    <w:rPr>
      <w:sz w:val="28"/>
    </w:rPr>
  </w:style>
  <w:style w:type="paragraph" w:customStyle="1" w:styleId="Affiliation">
    <w:name w:val="Affiliation"/>
    <w:basedOn w:val="Normal"/>
    <w:qFormat/>
    <w:rsid w:val="005B49CA"/>
    <w:pPr>
      <w:spacing w:before="240" w:line="360" w:lineRule="auto"/>
    </w:pPr>
    <w:rPr>
      <w:i/>
    </w:rPr>
  </w:style>
  <w:style w:type="paragraph" w:customStyle="1" w:styleId="Receiveddates">
    <w:name w:val="Received dates"/>
    <w:basedOn w:val="Affiliation"/>
    <w:next w:val="Normal"/>
    <w:qFormat/>
    <w:rsid w:val="005B49CA"/>
  </w:style>
  <w:style w:type="paragraph" w:customStyle="1" w:styleId="Abstract">
    <w:name w:val="Abstract"/>
    <w:basedOn w:val="Normal"/>
    <w:next w:val="Keywords"/>
    <w:qFormat/>
    <w:rsid w:val="005B49CA"/>
    <w:pPr>
      <w:spacing w:before="360" w:after="300" w:line="360" w:lineRule="auto"/>
      <w:ind w:left="720" w:right="567"/>
    </w:pPr>
    <w:rPr>
      <w:sz w:val="22"/>
    </w:rPr>
  </w:style>
  <w:style w:type="paragraph" w:customStyle="1" w:styleId="Keywords">
    <w:name w:val="Keywords"/>
    <w:basedOn w:val="Normal"/>
    <w:next w:val="Paragraph"/>
    <w:qFormat/>
    <w:rsid w:val="005B49CA"/>
    <w:pPr>
      <w:spacing w:before="240" w:after="240" w:line="360" w:lineRule="auto"/>
      <w:ind w:left="720" w:right="567"/>
    </w:pPr>
    <w:rPr>
      <w:sz w:val="22"/>
    </w:rPr>
  </w:style>
  <w:style w:type="paragraph" w:customStyle="1" w:styleId="Correspondencedetails">
    <w:name w:val="Correspondence details"/>
    <w:basedOn w:val="Normal"/>
    <w:qFormat/>
    <w:rsid w:val="005B49CA"/>
    <w:pPr>
      <w:spacing w:before="240" w:line="360" w:lineRule="auto"/>
    </w:pPr>
  </w:style>
  <w:style w:type="paragraph" w:customStyle="1" w:styleId="Displayedquotation">
    <w:name w:val="Displayed quotation"/>
    <w:basedOn w:val="Normal"/>
    <w:qFormat/>
    <w:rsid w:val="005B49CA"/>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5B49CA"/>
    <w:pPr>
      <w:widowControl/>
      <w:numPr>
        <w:numId w:val="13"/>
      </w:numPr>
      <w:spacing w:after="240"/>
      <w:contextualSpacing/>
    </w:pPr>
  </w:style>
  <w:style w:type="paragraph" w:customStyle="1" w:styleId="Displayedequation">
    <w:name w:val="Displayed equation"/>
    <w:basedOn w:val="Normal"/>
    <w:next w:val="Paragraph"/>
    <w:qFormat/>
    <w:rsid w:val="005B49CA"/>
    <w:pPr>
      <w:tabs>
        <w:tab w:val="center" w:pos="4253"/>
        <w:tab w:val="right" w:pos="8222"/>
      </w:tabs>
      <w:spacing w:before="240" w:after="240"/>
      <w:jc w:val="center"/>
    </w:pPr>
  </w:style>
  <w:style w:type="paragraph" w:customStyle="1" w:styleId="Acknowledgements">
    <w:name w:val="Acknowledgements"/>
    <w:basedOn w:val="Normal"/>
    <w:next w:val="Normal"/>
    <w:qFormat/>
    <w:rsid w:val="005B49CA"/>
    <w:pPr>
      <w:spacing w:before="120" w:line="360" w:lineRule="auto"/>
    </w:pPr>
    <w:rPr>
      <w:sz w:val="22"/>
    </w:rPr>
  </w:style>
  <w:style w:type="paragraph" w:customStyle="1" w:styleId="Tabletitle">
    <w:name w:val="Table title"/>
    <w:basedOn w:val="Normal"/>
    <w:next w:val="Normal"/>
    <w:qFormat/>
    <w:rsid w:val="005B49CA"/>
    <w:pPr>
      <w:spacing w:before="240" w:line="360" w:lineRule="auto"/>
    </w:pPr>
  </w:style>
  <w:style w:type="paragraph" w:customStyle="1" w:styleId="Figurecaption">
    <w:name w:val="Figure caption"/>
    <w:basedOn w:val="Normal"/>
    <w:next w:val="Normal"/>
    <w:qFormat/>
    <w:rsid w:val="005B49CA"/>
    <w:pPr>
      <w:spacing w:before="240" w:line="360" w:lineRule="auto"/>
    </w:pPr>
  </w:style>
  <w:style w:type="paragraph" w:customStyle="1" w:styleId="Footnotes">
    <w:name w:val="Footnotes"/>
    <w:basedOn w:val="Normal"/>
    <w:qFormat/>
    <w:rsid w:val="005B49CA"/>
    <w:pPr>
      <w:spacing w:before="120" w:line="360" w:lineRule="auto"/>
      <w:ind w:left="482" w:hanging="482"/>
      <w:contextualSpacing/>
    </w:pPr>
    <w:rPr>
      <w:sz w:val="22"/>
    </w:rPr>
  </w:style>
  <w:style w:type="paragraph" w:customStyle="1" w:styleId="Notesoncontributors">
    <w:name w:val="Notes on contributors"/>
    <w:basedOn w:val="Normal"/>
    <w:qFormat/>
    <w:rsid w:val="005B49CA"/>
    <w:pPr>
      <w:spacing w:before="240" w:line="360" w:lineRule="auto"/>
    </w:pPr>
    <w:rPr>
      <w:sz w:val="22"/>
    </w:rPr>
  </w:style>
  <w:style w:type="paragraph" w:customStyle="1" w:styleId="Normalparagraphstyle">
    <w:name w:val="Normal paragraph style"/>
    <w:basedOn w:val="Normal"/>
    <w:next w:val="Normal"/>
    <w:rsid w:val="005B49CA"/>
  </w:style>
  <w:style w:type="paragraph" w:customStyle="1" w:styleId="Paragraph">
    <w:name w:val="Paragraph"/>
    <w:basedOn w:val="Normal"/>
    <w:next w:val="Newparagraph"/>
    <w:qFormat/>
    <w:rsid w:val="005B49CA"/>
    <w:pPr>
      <w:widowControl w:val="0"/>
      <w:spacing w:before="240"/>
    </w:pPr>
  </w:style>
  <w:style w:type="paragraph" w:customStyle="1" w:styleId="Newparagraph">
    <w:name w:val="New paragraph"/>
    <w:basedOn w:val="Normal"/>
    <w:qFormat/>
    <w:rsid w:val="005B49CA"/>
    <w:pPr>
      <w:ind w:firstLine="720"/>
    </w:pPr>
  </w:style>
  <w:style w:type="paragraph" w:styleId="NormalIndent">
    <w:name w:val="Normal Indent"/>
    <w:basedOn w:val="Normal"/>
    <w:rsid w:val="005B49CA"/>
    <w:pPr>
      <w:ind w:left="720"/>
    </w:pPr>
  </w:style>
  <w:style w:type="paragraph" w:customStyle="1" w:styleId="References">
    <w:name w:val="References"/>
    <w:basedOn w:val="Normal"/>
    <w:qFormat/>
    <w:rsid w:val="005B49CA"/>
    <w:pPr>
      <w:spacing w:before="120" w:line="360" w:lineRule="auto"/>
      <w:ind w:left="720" w:hanging="720"/>
      <w:contextualSpacing/>
    </w:pPr>
  </w:style>
  <w:style w:type="paragraph" w:customStyle="1" w:styleId="Subjectcodes">
    <w:name w:val="Subject codes"/>
    <w:basedOn w:val="Keywords"/>
    <w:next w:val="Paragraph"/>
    <w:qFormat/>
    <w:rsid w:val="005B49CA"/>
  </w:style>
  <w:style w:type="character" w:customStyle="1" w:styleId="Heading2Char">
    <w:name w:val="Heading 2 Char"/>
    <w:basedOn w:val="DefaultParagraphFont"/>
    <w:link w:val="Heading2"/>
    <w:rsid w:val="005B49CA"/>
    <w:rPr>
      <w:rFonts w:cs="Arial"/>
      <w:b/>
      <w:bCs/>
      <w:i/>
      <w:iCs/>
      <w:sz w:val="24"/>
      <w:szCs w:val="28"/>
    </w:rPr>
  </w:style>
  <w:style w:type="character" w:customStyle="1" w:styleId="Heading1Char">
    <w:name w:val="Heading 1 Char"/>
    <w:basedOn w:val="DefaultParagraphFont"/>
    <w:link w:val="Heading1"/>
    <w:rsid w:val="005B49CA"/>
    <w:rPr>
      <w:rFonts w:cs="Arial"/>
      <w:b/>
      <w:bCs/>
      <w:kern w:val="32"/>
      <w:sz w:val="24"/>
      <w:szCs w:val="32"/>
    </w:rPr>
  </w:style>
  <w:style w:type="character" w:customStyle="1" w:styleId="Heading3Char">
    <w:name w:val="Heading 3 Char"/>
    <w:basedOn w:val="DefaultParagraphFont"/>
    <w:link w:val="Heading3"/>
    <w:rsid w:val="005B49CA"/>
    <w:rPr>
      <w:rFonts w:cs="Arial"/>
      <w:bCs/>
      <w:i/>
      <w:sz w:val="24"/>
      <w:szCs w:val="26"/>
    </w:rPr>
  </w:style>
  <w:style w:type="paragraph" w:customStyle="1" w:styleId="Bulletedlist">
    <w:name w:val="Bulleted list"/>
    <w:basedOn w:val="Paragraph"/>
    <w:next w:val="Paragraph"/>
    <w:qFormat/>
    <w:rsid w:val="005B49CA"/>
    <w:pPr>
      <w:widowControl/>
      <w:numPr>
        <w:numId w:val="14"/>
      </w:numPr>
      <w:spacing w:after="240"/>
      <w:contextualSpacing/>
    </w:pPr>
  </w:style>
  <w:style w:type="paragraph" w:styleId="FootnoteText">
    <w:name w:val="footnote text"/>
    <w:basedOn w:val="Normal"/>
    <w:link w:val="FootnoteTextChar"/>
    <w:autoRedefine/>
    <w:rsid w:val="005B49CA"/>
    <w:pPr>
      <w:ind w:left="284" w:hanging="284"/>
    </w:pPr>
    <w:rPr>
      <w:sz w:val="22"/>
      <w:szCs w:val="20"/>
    </w:rPr>
  </w:style>
  <w:style w:type="character" w:customStyle="1" w:styleId="FootnoteTextChar">
    <w:name w:val="Footnote Text Char"/>
    <w:basedOn w:val="DefaultParagraphFont"/>
    <w:link w:val="FootnoteText"/>
    <w:rsid w:val="005B49CA"/>
    <w:rPr>
      <w:sz w:val="22"/>
    </w:rPr>
  </w:style>
  <w:style w:type="character" w:styleId="FootnoteReference">
    <w:name w:val="footnote reference"/>
    <w:basedOn w:val="DefaultParagraphFont"/>
    <w:rsid w:val="005B49CA"/>
    <w:rPr>
      <w:vertAlign w:val="superscript"/>
    </w:rPr>
  </w:style>
  <w:style w:type="paragraph" w:styleId="EndnoteText">
    <w:name w:val="endnote text"/>
    <w:basedOn w:val="Normal"/>
    <w:link w:val="EndnoteTextChar"/>
    <w:autoRedefine/>
    <w:rsid w:val="005B49CA"/>
    <w:pPr>
      <w:ind w:left="284" w:hanging="284"/>
    </w:pPr>
    <w:rPr>
      <w:sz w:val="22"/>
      <w:szCs w:val="20"/>
    </w:rPr>
  </w:style>
  <w:style w:type="character" w:customStyle="1" w:styleId="EndnoteTextChar">
    <w:name w:val="Endnote Text Char"/>
    <w:basedOn w:val="DefaultParagraphFont"/>
    <w:link w:val="EndnoteText"/>
    <w:rsid w:val="005B49CA"/>
    <w:rPr>
      <w:sz w:val="22"/>
    </w:rPr>
  </w:style>
  <w:style w:type="character" w:styleId="EndnoteReference">
    <w:name w:val="endnote reference"/>
    <w:basedOn w:val="DefaultParagraphFont"/>
    <w:rsid w:val="005B49CA"/>
    <w:rPr>
      <w:vertAlign w:val="superscript"/>
    </w:rPr>
  </w:style>
  <w:style w:type="character" w:customStyle="1" w:styleId="Heading4Char">
    <w:name w:val="Heading 4 Char"/>
    <w:basedOn w:val="DefaultParagraphFont"/>
    <w:link w:val="Heading4"/>
    <w:rsid w:val="005B49CA"/>
    <w:rPr>
      <w:bCs/>
      <w:sz w:val="24"/>
      <w:szCs w:val="28"/>
    </w:rPr>
  </w:style>
  <w:style w:type="paragraph" w:styleId="Header">
    <w:name w:val="header"/>
    <w:basedOn w:val="Normal"/>
    <w:link w:val="HeaderChar"/>
    <w:rsid w:val="005B49C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5B49CA"/>
    <w:rPr>
      <w:sz w:val="24"/>
      <w:szCs w:val="24"/>
    </w:rPr>
  </w:style>
  <w:style w:type="paragraph" w:styleId="Footer">
    <w:name w:val="footer"/>
    <w:basedOn w:val="Normal"/>
    <w:link w:val="FooterChar"/>
    <w:rsid w:val="005B49CA"/>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5B49CA"/>
    <w:rPr>
      <w:sz w:val="24"/>
      <w:szCs w:val="24"/>
    </w:rPr>
  </w:style>
  <w:style w:type="paragraph" w:customStyle="1" w:styleId="Heading4Paragraph">
    <w:name w:val="Heading 4 + Paragraph"/>
    <w:basedOn w:val="Paragraph"/>
    <w:next w:val="Newparagraph"/>
    <w:qFormat/>
    <w:rsid w:val="005B49CA"/>
    <w:pPr>
      <w:widowControl/>
      <w:spacing w:before="360"/>
    </w:pPr>
  </w:style>
  <w:style w:type="paragraph" w:styleId="ListParagraph">
    <w:name w:val="List Paragraph"/>
    <w:basedOn w:val="Normal"/>
    <w:rsid w:val="00617F6A"/>
    <w:pPr>
      <w:ind w:left="720"/>
      <w:contextualSpacing/>
    </w:pPr>
  </w:style>
  <w:style w:type="paragraph" w:styleId="BalloonText">
    <w:name w:val="Balloon Text"/>
    <w:basedOn w:val="Normal"/>
    <w:link w:val="BalloonTextChar"/>
    <w:semiHidden/>
    <w:unhideWhenUsed/>
    <w:rsid w:val="00617F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17F6A"/>
    <w:rPr>
      <w:rFonts w:ascii="Segoe UI" w:hAnsi="Segoe UI" w:cs="Segoe UI"/>
      <w:sz w:val="18"/>
      <w:szCs w:val="18"/>
    </w:rPr>
  </w:style>
  <w:style w:type="table" w:styleId="TableGrid">
    <w:name w:val="Table Grid"/>
    <w:basedOn w:val="TableNormal"/>
    <w:uiPriority w:val="39"/>
    <w:rsid w:val="000E5047"/>
    <w:rPr>
      <w:rFonts w:asciiTheme="minorHAnsi" w:eastAsiaTheme="minorEastAsia" w:hAnsiTheme="minorHAnsi" w:cstheme="minorBidi"/>
      <w:sz w:val="22"/>
      <w:szCs w:val="28"/>
      <w:lang w:val="en-US" w:eastAsia="en-US" w:bidi="b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FE70A0"/>
    <w:rPr>
      <w:color w:val="0000FF" w:themeColor="hyperlink"/>
      <w:u w:val="single"/>
    </w:rPr>
  </w:style>
  <w:style w:type="character" w:styleId="UnresolvedMention">
    <w:name w:val="Unresolved Mention"/>
    <w:basedOn w:val="DefaultParagraphFont"/>
    <w:uiPriority w:val="99"/>
    <w:semiHidden/>
    <w:unhideWhenUsed/>
    <w:rsid w:val="00FE7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414718">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379016847">
      <w:bodyDiv w:val="1"/>
      <w:marLeft w:val="0"/>
      <w:marRight w:val="0"/>
      <w:marTop w:val="0"/>
      <w:marBottom w:val="0"/>
      <w:divBdr>
        <w:top w:val="none" w:sz="0" w:space="0" w:color="auto"/>
        <w:left w:val="none" w:sz="0" w:space="0" w:color="auto"/>
        <w:bottom w:val="none" w:sz="0" w:space="0" w:color="auto"/>
        <w:right w:val="none" w:sz="0" w:space="0" w:color="auto"/>
      </w:divBdr>
      <w:divsChild>
        <w:div w:id="2073506752">
          <w:marLeft w:val="0"/>
          <w:marRight w:val="0"/>
          <w:marTop w:val="0"/>
          <w:marBottom w:val="0"/>
          <w:divBdr>
            <w:top w:val="none" w:sz="0" w:space="0" w:color="auto"/>
            <w:left w:val="none" w:sz="0" w:space="0" w:color="auto"/>
            <w:bottom w:val="none" w:sz="0" w:space="0" w:color="auto"/>
            <w:right w:val="none" w:sz="0" w:space="0" w:color="auto"/>
          </w:divBdr>
          <w:divsChild>
            <w:div w:id="28652784">
              <w:marLeft w:val="0"/>
              <w:marRight w:val="0"/>
              <w:marTop w:val="0"/>
              <w:marBottom w:val="0"/>
              <w:divBdr>
                <w:top w:val="none" w:sz="0" w:space="0" w:color="auto"/>
                <w:left w:val="none" w:sz="0" w:space="0" w:color="auto"/>
                <w:bottom w:val="none" w:sz="0" w:space="0" w:color="auto"/>
                <w:right w:val="none" w:sz="0" w:space="0" w:color="auto"/>
              </w:divBdr>
              <w:divsChild>
                <w:div w:id="1472748171">
                  <w:marLeft w:val="0"/>
                  <w:marRight w:val="0"/>
                  <w:marTop w:val="0"/>
                  <w:marBottom w:val="0"/>
                  <w:divBdr>
                    <w:top w:val="none" w:sz="0" w:space="0" w:color="auto"/>
                    <w:left w:val="none" w:sz="0" w:space="0" w:color="auto"/>
                    <w:bottom w:val="none" w:sz="0" w:space="0" w:color="auto"/>
                    <w:right w:val="none" w:sz="0" w:space="0" w:color="auto"/>
                  </w:divBdr>
                  <w:divsChild>
                    <w:div w:id="103883677">
                      <w:marLeft w:val="0"/>
                      <w:marRight w:val="0"/>
                      <w:marTop w:val="0"/>
                      <w:marBottom w:val="0"/>
                      <w:divBdr>
                        <w:top w:val="none" w:sz="0" w:space="0" w:color="auto"/>
                        <w:left w:val="none" w:sz="0" w:space="0" w:color="auto"/>
                        <w:bottom w:val="none" w:sz="0" w:space="0" w:color="auto"/>
                        <w:right w:val="none" w:sz="0" w:space="0" w:color="auto"/>
                      </w:divBdr>
                    </w:div>
                  </w:divsChild>
                </w:div>
                <w:div w:id="8832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ubhobm/Mutagenicity-assess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o\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Nat84</b:Tag>
    <b:SourceType>Book</b:SourceType>
    <b:Guid>{EA8AB2C0-42D6-498F-A233-5610470FB519}</b:Guid>
    <b:Title>Toxicity Testing Strategies to Determine Needs and Priorities</b:Title>
    <b:Year>1984</b:Year>
    <b:Author>
      <b:Author>
        <b:NameList>
          <b:Person>
            <b:Last>National Research Council</b:Last>
          </b:Person>
        </b:NameList>
      </b:Author>
    </b:Author>
    <b:City>Washington, DC</b:City>
    <b:Publisher>National Academy Press</b:Publisher>
    <b:RefOrder>1</b:RefOrder>
  </b:Source>
  <b:Source>
    <b:Tag>Tox18</b:Tag>
    <b:SourceType>DocumentFromInternetSite</b:SourceType>
    <b:Guid>{D2622112-1B3D-4CA3-935F-529C10694BBC}</b:Guid>
    <b:Title>Toxic Substances Control Act (TSCA) Inventory</b:Title>
    <b:YearAccessed>2018</b:YearAccessed>
    <b:MonthAccessed>4</b:MonthAccessed>
    <b:DayAccessed>11</b:DayAccessed>
    <b:URL>https://19january2017snapshot.epa.gov/tsca-inventory/about-tsca-chemical-substance-inventory_.html</b:URL>
    <b:RefOrder>2</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3</b:RefOrder>
  </b:Source>
  <b:Source>
    <b:Tag>DiM47</b:Tag>
    <b:SourceType>JournalArticle</b:SourceType>
    <b:Guid>{C6F3D3D3-C551-420C-AF06-E81FB940475D}</b:Guid>
    <b:Author>
      <b:Author>
        <b:NameList>
          <b:Person>
            <b:Last>DiMasi</b:Last>
            <b:First>J.</b:First>
            <b:Middle>A.</b:Middle>
          </b:Person>
          <b:Person>
            <b:Last>Grabowski</b:Last>
            <b:First>H.</b:First>
            <b:Middle>G.</b:Middle>
          </b:Person>
          <b:Person>
            <b:Last>Hansen</b:Last>
            <b:First>R.</b:First>
            <b:Middle>W.</b:Middle>
          </b:Person>
        </b:NameList>
      </b:Author>
    </b:Author>
    <b:Title>Innovation in the pharmaceutical industry: new estimates of R&amp;D costs</b:Title>
    <b:JournalName>J. Health Econ.</b:JournalName>
    <b:Year>2016</b:Year>
    <b:Pages>20-33</b:Pages>
    <b:Volume>47</b:Volume>
    <b:RefOrder>4</b:RefOrder>
  </b:Source>
  <b:Source>
    <b:Tag>Ben03</b:Tag>
    <b:SourceType>Book</b:SourceType>
    <b:Guid>{C3FE09BA-C8D0-43DA-8622-64C63D1D0860}</b:Guid>
    <b:Title>Quantitative structure-activity relationship (QSAR) Models for Mutagens and Carcinogens</b:Title>
    <b:Year>2003</b:Year>
    <b:Author>
      <b:Author>
        <b:NameList>
          <b:Person>
            <b:Last>Benigni</b:Last>
            <b:First>R.</b:First>
          </b:Person>
        </b:NameList>
      </b:Author>
    </b:Author>
    <b:City>Boca Raton, FL</b:City>
    <b:Publisher>CRC Press</b:Publisher>
    <b:RefOrder>5</b:RefOrder>
  </b:Source>
  <b:Source>
    <b:Tag>Pip10</b:Tag>
    <b:SourceType>Report</b:SourceType>
    <b:Guid>{08683F17-1B9B-4D42-9D42-FC3A4A81DBDD}</b:Guid>
    <b:Author>
      <b:Author>
        <b:NameList>
          <b:Person>
            <b:Last>Piparo</b:Last>
            <b:First>E.</b:First>
            <b:Middle>L.</b:Middle>
          </b:Person>
          <b:Person>
            <b:Last>Worth</b:Last>
            <b:First>A.</b:First>
          </b:Person>
        </b:NameList>
      </b:Author>
    </b:Author>
    <b:Title>Review of QSAR Models and Software Tools for Predicting Developmental and Reproductive Toxicity</b:Title>
    <b:Year>2010</b:Year>
    <b:Publisher>JRC Scientific and Technical Reports EUR 24522 EN</b:Publisher>
    <b:City>Ispra, Italy</b:City>
    <b:RefOrder>6</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7</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8</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9</b:RefOrder>
  </b:Source>
  <b:Source>
    <b:Tag>Syb95</b:Tag>
    <b:SourceType>Book</b:SourceType>
    <b:Guid>{79A6343C-5840-4331-B93A-EBBC386748F9}</b:Guid>
    <b:Title>Sybyl Version 6.2</b:Title>
    <b:Year>1995</b:Year>
    <b:City>St. Louis, MO</b:City>
    <b:Publisher>Tripos Associates, Inc.</b:Publisher>
    <b:RefOrder>10</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11</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12</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13</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14</b:RefOrder>
  </b:Source>
  <b:Source>
    <b:Tag>Bas872</b:Tag>
    <b:SourceType>JournalArticle</b:SourceType>
    <b:Guid>{AA442AB1-3222-4070-8FAF-567B08C542EA}</b:Guid>
    <b:Author>
      <b:Author>
        <b:NameList>
          <b:Person>
            <b:Last>Basak</b:Last>
            <b:First>S.C.</b:First>
          </b:Person>
          <b:Person>
            <b:Last>Magnuson</b:Last>
            <b:First>V.R.</b:First>
          </b:Person>
          <b:Person>
            <b:Last>Niemi</b:Last>
            <b:First>G.J.</b:First>
          </b:Person>
          <b:Person>
            <b:Last>Regal</b:Last>
            <b:First>R.R</b:First>
          </b:Person>
          <b:Person>
            <b:Last>Veith</b:Last>
            <b:First>G.D.</b:First>
          </b:Person>
        </b:NameList>
      </b:Author>
    </b:Author>
    <b:Title>Topological indices: their nature, mutual relatedness, and applications</b:Title>
    <b:Year>1987</b:Year>
    <b:JournalName>Math. Modelling</b:JournalName>
    <b:Pages>300-305</b:Pages>
    <b:Volume>8</b:Volume>
    <b:RefOrder>15</b:RefOrder>
  </b:Source>
  <b:Source>
    <b:Tag>Sma09</b:Tag>
    <b:SourceType>Book</b:SourceType>
    <b:Guid>{F4DDC078-4506-4E92-860A-0DB52995853A}</b:Guid>
    <b:Title>Small-Molecule Drug Discovery Suite 2009</b:Title>
    <b:Year>2009</b:Year>
    <b:City>New York, NY</b:City>
    <b:Publisher>Schrödinger, LLC</b:Publisher>
    <b:RefOrder>16</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17</b:RefOrder>
  </b:Source>
  <b:Source>
    <b:Tag>Mol04</b:Tag>
    <b:SourceType>Book</b:SourceType>
    <b:Guid>{A8BFE539-BD1F-4E1A-B50D-0FED3BC68EE8}</b:Guid>
    <b:Title>Molecular Operating Environment (MOE)</b:Title>
    <b:Year>2004</b:Year>
    <b:City>Montreal, QC, Canada</b:City>
    <b:Publisher>Chemical Computing Group ULC</b:Publisher>
    <b:RefOrder>18</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19</b:RefOrder>
  </b:Source>
  <b:Source>
    <b:Tag>Lun18</b:Tag>
    <b:SourceType>JournalArticle</b:SourceType>
    <b:Guid>{A2DC29CE-CF0C-4CEE-9351-9D437E97C528}</b:Guid>
    <b:Author>
      <b:Author>
        <b:NameList>
          <b:Person>
            <b:Last>Lungu</b:Last>
            <b:First>C.</b:First>
            <b:Middle>N.</b:Middle>
          </b:Person>
        </b:NameList>
      </b:Author>
    </b:Author>
    <b:Title>C-C Chemokine receptor type 3 inhibitors: Bioactivity prediction using local vertex invariants based on thermal conductivity layer matrix</b:Title>
    <b:JournalName>Studia UBB Chemia</b:JournalName>
    <b:Year>2018</b:Year>
    <b:Pages>177-188</b:Pages>
    <b:Volume>LXIII</b:Volume>
    <b:Issue>1</b:Issue>
    <b:RefOrder>20</b:RefOrder>
  </b:Source>
</b:Sources>
</file>

<file path=customXml/itemProps1.xml><?xml version="1.0" encoding="utf-8"?>
<ds:datastoreItem xmlns:ds="http://schemas.openxmlformats.org/officeDocument/2006/customXml" ds:itemID="{C9CBA8BE-1CC4-4348-889C-AFF65A55A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233</TotalTime>
  <Pages>22</Pages>
  <Words>5217</Words>
  <Characters>29742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34890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Subho</dc:creator>
  <cp:lastModifiedBy>Subho Majumdar</cp:lastModifiedBy>
  <cp:revision>28</cp:revision>
  <cp:lastPrinted>2011-07-22T14:54:00Z</cp:lastPrinted>
  <dcterms:created xsi:type="dcterms:W3CDTF">2018-06-20T03:45:00Z</dcterms:created>
  <dcterms:modified xsi:type="dcterms:W3CDTF">2018-06-26T19:59:00Z</dcterms:modified>
</cp:coreProperties>
</file>