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63" w:rsidRPr="00AB66AE" w:rsidRDefault="00706A63" w:rsidP="00E0076F">
      <w:pPr>
        <w:pStyle w:val="M1stheader"/>
        <w:rPr>
          <w:lang w:val="fr-CH"/>
        </w:rPr>
      </w:pPr>
      <w:r w:rsidRPr="00AB66AE">
        <w:rPr>
          <w:iCs/>
          <w:lang w:val="fr-CH"/>
        </w:rPr>
        <w:t>Int. J. Mol. Sci.</w:t>
      </w:r>
      <w:r w:rsidRPr="00AB66AE">
        <w:rPr>
          <w:i w:val="0"/>
          <w:lang w:val="fr-CH"/>
        </w:rPr>
        <w:t xml:space="preserve"> </w:t>
      </w:r>
      <w:r w:rsidRPr="00AB66AE">
        <w:rPr>
          <w:b/>
          <w:i w:val="0"/>
          <w:iCs/>
          <w:lang w:val="fr-CH"/>
        </w:rPr>
        <w:t>20</w:t>
      </w:r>
      <w:r w:rsidR="00BF13C2" w:rsidRPr="00AB66AE">
        <w:rPr>
          <w:b/>
          <w:i w:val="0"/>
          <w:iCs/>
          <w:lang w:val="fr-CH"/>
        </w:rPr>
        <w:t>1</w:t>
      </w:r>
      <w:r w:rsidR="000C7327" w:rsidRPr="00AB66AE">
        <w:rPr>
          <w:rFonts w:eastAsia="SimSun"/>
          <w:b/>
          <w:i w:val="0"/>
          <w:iCs/>
          <w:lang w:val="fr-CH" w:eastAsia="zh-CN"/>
        </w:rPr>
        <w:t>4</w:t>
      </w:r>
      <w:r w:rsidRPr="00AB66AE">
        <w:rPr>
          <w:i w:val="0"/>
          <w:iCs/>
          <w:lang w:val="fr-CH"/>
        </w:rPr>
        <w:t>,</w:t>
      </w:r>
      <w:r w:rsidRPr="00AB66AE">
        <w:rPr>
          <w:i w:val="0"/>
          <w:lang w:val="fr-CH"/>
        </w:rPr>
        <w:t xml:space="preserve"> </w:t>
      </w:r>
      <w:r w:rsidR="004C7564" w:rsidRPr="00AB66AE">
        <w:rPr>
          <w:lang w:val="fr-CH"/>
        </w:rPr>
        <w:t>1</w:t>
      </w:r>
      <w:r w:rsidR="000C7327" w:rsidRPr="00AB66AE">
        <w:rPr>
          <w:rFonts w:eastAsia="SimSun"/>
          <w:lang w:val="fr-CH" w:eastAsia="zh-CN"/>
        </w:rPr>
        <w:t>5</w:t>
      </w:r>
      <w:r w:rsidRPr="00AB66AE">
        <w:rPr>
          <w:i w:val="0"/>
          <w:iCs/>
          <w:lang w:val="fr-CH"/>
        </w:rPr>
        <w:t>, 1-x</w:t>
      </w:r>
      <w:r w:rsidR="0092095F" w:rsidRPr="00AB66AE">
        <w:rPr>
          <w:i w:val="0"/>
          <w:iCs/>
          <w:lang w:val="fr-CH"/>
        </w:rPr>
        <w:t xml:space="preserve"> manuscripts</w:t>
      </w:r>
      <w:r w:rsidR="00AF0596" w:rsidRPr="00AB66AE">
        <w:rPr>
          <w:i w:val="0"/>
          <w:iCs/>
          <w:lang w:val="fr-CH"/>
        </w:rPr>
        <w:t>; doi:10.3390/ijms</w:t>
      </w:r>
      <w:r w:rsidR="00BF13C2" w:rsidRPr="00AB66AE">
        <w:rPr>
          <w:i w:val="0"/>
          <w:iCs/>
          <w:lang w:val="fr-CH"/>
        </w:rPr>
        <w:t>1</w:t>
      </w:r>
      <w:r w:rsidR="000C7327" w:rsidRPr="00AB66AE">
        <w:rPr>
          <w:rFonts w:eastAsia="SimSun"/>
          <w:i w:val="0"/>
          <w:iCs/>
          <w:lang w:val="fr-CH" w:eastAsia="zh-CN"/>
        </w:rPr>
        <w:t>5</w:t>
      </w:r>
      <w:r w:rsidR="00712296" w:rsidRPr="00AB66AE">
        <w:rPr>
          <w:i w:val="0"/>
          <w:iCs/>
          <w:lang w:val="fr-CH"/>
        </w:rPr>
        <w:t>0x000x</w:t>
      </w:r>
    </w:p>
    <w:p w:rsidR="004B059C" w:rsidRPr="00AB66AE" w:rsidRDefault="00FE3191" w:rsidP="00E0076F">
      <w:pPr>
        <w:pStyle w:val="MLogo"/>
        <w:spacing w:before="0"/>
        <w:rPr>
          <w:b w:val="0"/>
          <w:i w:val="0"/>
          <w:color w:val="008080"/>
          <w:sz w:val="28"/>
        </w:rPr>
      </w:pPr>
      <w:r w:rsidRPr="00AB66AE">
        <w:rPr>
          <w:noProof/>
          <w:lang w:eastAsia="en-US"/>
        </w:rPr>
        <mc:AlternateContent>
          <mc:Choice Requires="wps">
            <w:drawing>
              <wp:inline distT="0" distB="0" distL="0" distR="0" wp14:anchorId="6A926B80" wp14:editId="0E33011E">
                <wp:extent cx="1007110" cy="146050"/>
                <wp:effectExtent l="0" t="0" r="254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0739" w:rsidRDefault="00E00739" w:rsidP="004B059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w14:anchorId="6A926B80"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MPfQIAAP8EAAAOAAAAZHJzL2Uyb0RvYy54bWysVF1v2yAUfZ+0/4B4T40jJ42tOFXTztOk&#10;7kNq9wOIwTEaBgYkdjf1v++C4zbdXqZpeXCuzeVw7j3nsr4aOomO3DqhVYnTC4IRV7VmQu1L/PWh&#10;mq0wcp4qRqVWvMSP3OGrzds3694UfK5bLRm3CECUK3pT4tZ7UySJq1veUXehDVew2GjbUQ+vdp8w&#10;S3tA72QyJ2SZ9NoyY3XNnYOvt+Mi3kT8puG1/9w0jnskSwzcfHza+NyFZ7JZ02JvqWlFfaJB/4FF&#10;R4WCQ5+hbqmn6GDFH1CdqK12uvEXte4S3TSi5rEGqCYlv1Vz31LDYy3QHGee2+T+H2z96fjFIsFA&#10;O4wU7UCiBz54tNUDmofu9MYVkHRvIM0P8DlkhkqdudP1N4eUvmmp2vNra3XfcsqAXRp2JmdbRxwX&#10;QHb9R83gGHrwOgINje0CIDQDATqo9PisTKBShyMJuUxTWKphLc2WZBGlS2gx7TbW+fdcdygEJbag&#10;fESnxzvnAxtaTCmRvZaCVULK+GL3uxtp0ZEGl5AtqSZ0d54mVUhWOmwbEccvQBLOCGuBblT9Z57O&#10;M7Kd57NqubqcZVW2mOWXZDUjab7NlyTLs9vqKRBMs6IVjHF1JxSfHJhmf6fwaRZG70QPor7E+WK+&#10;GCU6Z+9eF0ngF1UCJc/TOuFhIKXoSrwKOacRCcK+UwzKpoWnQo5x8pp+7DL0YPqPXYk2CMqPHvDD&#10;bgCU4I2dZo9gCKtBL5AWbhEIWm1/YNTDRJbYfT9QyzGSHxSYKozvFNgp2E0BVTVsLbHHaAxv/Djm&#10;B2PFvgXkybbXYLxKRE+8sDjZFaYskj/dCGGMz99j1su9tfkFAAD//wMAUEsDBBQABgAIAAAAIQAU&#10;Rkek2gAAAAQBAAAPAAAAZHJzL2Rvd25yZXYueG1sTI/BTsMwEETvSP0Haytxow4FqhCyqdqq3JAQ&#10;bSSubrzEgXgdxW4S/h6XC1xWGs1o5m2+nmwrBup94xjhdpGAIK6cbrhGKI/PNykIHxRr1TomhG/y&#10;sC5mV7nKtBv5jYZDqEUsYZ8pBBNCl0npK0NW+YXriKP34XqrQpR9LXWvxlhuW7lMkpW0quG4YFRH&#10;O0PV1+FsETal/Ax2/2Le9+U9bx9fx/Q4jIjX82nzBCLQFP7CcMGP6FBEppM7s/aiRYiPhN978R7S&#10;FYgTwvIuAVnk8j988QMAAP//AwBQSwECLQAUAAYACAAAACEAtoM4kv4AAADhAQAAEwAAAAAAAAAA&#10;AAAAAAAAAAAAW0NvbnRlbnRfVHlwZXNdLnhtbFBLAQItABQABgAIAAAAIQA4/SH/1gAAAJQBAAAL&#10;AAAAAAAAAAAAAAAAAC8BAABfcmVscy8ucmVsc1BLAQItABQABgAIAAAAIQDEdWMPfQIAAP8EAAAO&#10;AAAAAAAAAAAAAAAAAC4CAABkcnMvZTJvRG9jLnhtbFBLAQItABQABgAIAAAAIQAURkek2gAAAAQB&#10;AAAPAAAAAAAAAAAAAAAAANcEAABkcnMvZG93bnJldi54bWxQSwUGAAAAAAQABADzAAAA3gUAAAAA&#10;" fillcolor="#00b0f0" stroked="f">
                <v:textbox style="mso-fit-shape-to-text:t" inset="0,0,0,0">
                  <w:txbxContent>
                    <w:p w:rsidR="00E00739" w:rsidRDefault="00E00739" w:rsidP="004B059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rsidR="00427D0A" w:rsidRPr="00AB66AE" w:rsidRDefault="00706A63" w:rsidP="00E0076F">
      <w:pPr>
        <w:pStyle w:val="MLogo"/>
        <w:spacing w:before="0"/>
        <w:rPr>
          <w:i w:val="0"/>
          <w:color w:val="008080"/>
          <w:sz w:val="36"/>
        </w:rPr>
      </w:pPr>
      <w:r w:rsidRPr="00AB66AE">
        <w:rPr>
          <w:b w:val="0"/>
          <w:i w:val="0"/>
          <w:color w:val="008080"/>
          <w:sz w:val="28"/>
        </w:rPr>
        <w:t>International Journal of</w:t>
      </w:r>
      <w:r w:rsidR="00427D0A" w:rsidRPr="00AB66AE">
        <w:rPr>
          <w:b w:val="0"/>
          <w:i w:val="0"/>
          <w:color w:val="008080"/>
          <w:sz w:val="28"/>
        </w:rPr>
        <w:br/>
      </w:r>
      <w:r w:rsidRPr="00AB66AE">
        <w:rPr>
          <w:i w:val="0"/>
          <w:color w:val="008080"/>
          <w:sz w:val="36"/>
        </w:rPr>
        <w:t>Molecular Sciences</w:t>
      </w:r>
    </w:p>
    <w:p w:rsidR="00706A63" w:rsidRPr="00AB66AE" w:rsidRDefault="00706A63" w:rsidP="00E0076F">
      <w:pPr>
        <w:pStyle w:val="MLogo"/>
        <w:spacing w:before="0"/>
        <w:rPr>
          <w:b w:val="0"/>
          <w:i w:val="0"/>
          <w:sz w:val="24"/>
        </w:rPr>
      </w:pPr>
      <w:r w:rsidRPr="00AB66AE">
        <w:rPr>
          <w:i w:val="0"/>
          <w:sz w:val="24"/>
        </w:rPr>
        <w:t>ISSN 1422-0067</w:t>
      </w:r>
      <w:r w:rsidRPr="00AB66AE">
        <w:rPr>
          <w:i w:val="0"/>
          <w:sz w:val="24"/>
        </w:rPr>
        <w:br/>
      </w:r>
      <w:r w:rsidR="004C7564" w:rsidRPr="00AB66AE">
        <w:rPr>
          <w:b w:val="0"/>
          <w:i w:val="0"/>
          <w:sz w:val="24"/>
        </w:rPr>
        <w:t>www.mdpi.com/journal/ijms</w:t>
      </w:r>
    </w:p>
    <w:p w:rsidR="00086176" w:rsidRPr="00AB66AE" w:rsidRDefault="004C5DF5" w:rsidP="00E0076F">
      <w:pPr>
        <w:spacing w:after="240"/>
        <w:jc w:val="left"/>
        <w:rPr>
          <w:i/>
          <w:szCs w:val="24"/>
        </w:rPr>
      </w:pPr>
      <w:r w:rsidRPr="00AB66AE">
        <w:rPr>
          <w:i/>
          <w:iCs/>
          <w:szCs w:val="24"/>
        </w:rPr>
        <w:t>Article</w:t>
      </w:r>
    </w:p>
    <w:p w:rsidR="00086176" w:rsidRPr="00AB66AE" w:rsidRDefault="00086176" w:rsidP="00E0076F">
      <w:pPr>
        <w:jc w:val="left"/>
        <w:rPr>
          <w:b/>
          <w:sz w:val="36"/>
        </w:rPr>
      </w:pPr>
      <w:r w:rsidRPr="00AB66AE">
        <w:rPr>
          <w:b/>
          <w:sz w:val="36"/>
        </w:rPr>
        <w:t>Title of the Paper (M_Title)</w:t>
      </w:r>
    </w:p>
    <w:p w:rsidR="00086176" w:rsidRPr="00AB66AE" w:rsidRDefault="004C5DF5" w:rsidP="00E0076F">
      <w:pPr>
        <w:spacing w:before="240" w:after="240"/>
        <w:jc w:val="left"/>
        <w:rPr>
          <w:b/>
          <w:lang w:val="it-IT"/>
        </w:rPr>
      </w:pPr>
      <w:r w:rsidRPr="00AB66AE">
        <w:rPr>
          <w:b/>
          <w:lang w:val="it-IT"/>
        </w:rPr>
        <w:t>Subhash C. Basak</w:t>
      </w:r>
      <w:r w:rsidR="00086176" w:rsidRPr="00AB66AE">
        <w:rPr>
          <w:b/>
          <w:lang w:val="it-IT"/>
        </w:rPr>
        <w:t xml:space="preserve"> </w:t>
      </w:r>
      <w:r w:rsidR="00086176" w:rsidRPr="00AB66AE">
        <w:rPr>
          <w:b/>
          <w:szCs w:val="24"/>
          <w:vertAlign w:val="superscript"/>
          <w:lang w:val="it-IT"/>
        </w:rPr>
        <w:t>1,</w:t>
      </w:r>
      <w:r w:rsidR="00086176" w:rsidRPr="00AB66AE">
        <w:rPr>
          <w:b/>
          <w:lang w:val="it-IT"/>
        </w:rPr>
        <w:t xml:space="preserve">*, </w:t>
      </w:r>
      <w:r w:rsidRPr="00AB66AE">
        <w:rPr>
          <w:b/>
          <w:lang w:val="it-IT"/>
        </w:rPr>
        <w:t>Subhabrata Majumdar</w:t>
      </w:r>
      <w:r w:rsidR="00086176" w:rsidRPr="00AB66AE">
        <w:rPr>
          <w:b/>
          <w:lang w:val="it-IT"/>
        </w:rPr>
        <w:t xml:space="preserve"> </w:t>
      </w:r>
      <w:r w:rsidR="00086176" w:rsidRPr="00AB66AE">
        <w:rPr>
          <w:b/>
          <w:szCs w:val="24"/>
          <w:vertAlign w:val="superscript"/>
          <w:lang w:val="it-IT"/>
        </w:rPr>
        <w:t>2</w:t>
      </w:r>
    </w:p>
    <w:p w:rsidR="004C5DF5" w:rsidRPr="00AB66AE" w:rsidRDefault="00086176" w:rsidP="00E0076F">
      <w:pPr>
        <w:ind w:left="284" w:hanging="284"/>
        <w:jc w:val="left"/>
      </w:pPr>
      <w:r w:rsidRPr="00AB66AE">
        <w:rPr>
          <w:vertAlign w:val="superscript"/>
        </w:rPr>
        <w:t>1</w:t>
      </w:r>
      <w:r w:rsidRPr="00AB66AE">
        <w:tab/>
      </w:r>
      <w:r w:rsidR="004C5DF5" w:rsidRPr="00AB66AE">
        <w:rPr>
          <w:i/>
        </w:rPr>
        <w:t>Natural Resources Research Institute, University of Minnesota Duluth, 5013 Miller Trunk Highway, Duluth, MN 55811, USA</w:t>
      </w:r>
      <w:r w:rsidRPr="00AB66AE">
        <w:t xml:space="preserve">; E-Mail: </w:t>
      </w:r>
      <w:r w:rsidR="004C5DF5" w:rsidRPr="00AB66AE">
        <w:t xml:space="preserve">sbasak@nrri.umn.edu </w:t>
      </w:r>
    </w:p>
    <w:p w:rsidR="00086176" w:rsidRPr="00AB66AE" w:rsidRDefault="00086176" w:rsidP="00E0076F">
      <w:pPr>
        <w:ind w:left="284" w:hanging="284"/>
        <w:jc w:val="left"/>
      </w:pPr>
      <w:r w:rsidRPr="00AB66AE">
        <w:rPr>
          <w:vertAlign w:val="superscript"/>
        </w:rPr>
        <w:t>2</w:t>
      </w:r>
      <w:r w:rsidRPr="00AB66AE">
        <w:tab/>
      </w:r>
      <w:r w:rsidR="004C5DF5" w:rsidRPr="00AB66AE">
        <w:rPr>
          <w:i/>
        </w:rPr>
        <w:t>School of Statistics, University of Minnesota Twin Cities, 224 Church Street SE, Minneapolis, MN 55455, USA</w:t>
      </w:r>
      <w:r w:rsidR="004C5DF5" w:rsidRPr="00AB66AE">
        <w:t>; E-Mail</w:t>
      </w:r>
      <w:r w:rsidRPr="00AB66AE">
        <w:t xml:space="preserve">: </w:t>
      </w:r>
      <w:r w:rsidR="004C5DF5" w:rsidRPr="00AB66AE">
        <w:t>majum010@umn.edu</w:t>
      </w:r>
    </w:p>
    <w:p w:rsidR="00086176" w:rsidRPr="00AB66AE" w:rsidRDefault="00086176" w:rsidP="00E0076F">
      <w:pPr>
        <w:spacing w:before="240"/>
        <w:ind w:left="284" w:hanging="284"/>
        <w:jc w:val="left"/>
        <w:rPr>
          <w:i/>
        </w:rPr>
      </w:pPr>
      <w:r w:rsidRPr="00AB66AE">
        <w:rPr>
          <w:b/>
        </w:rPr>
        <w:t>*</w:t>
      </w:r>
      <w:r w:rsidRPr="00AB66AE">
        <w:tab/>
        <w:t xml:space="preserve">Author to whom correspondence should be addressed; E-Mail: </w:t>
      </w:r>
      <w:r w:rsidR="00B153E9" w:rsidRPr="00AB66AE">
        <w:t xml:space="preserve">sbasak@nrri.umn.edu; </w:t>
      </w:r>
      <w:r w:rsidR="00B153E9" w:rsidRPr="00AB66AE">
        <w:br/>
        <w:t>Tel.: +1 (218)720-4230</w:t>
      </w:r>
      <w:r w:rsidRPr="00AB66AE">
        <w:t xml:space="preserve">; Fax: </w:t>
      </w:r>
      <w:r w:rsidR="00B153E9" w:rsidRPr="00AB66AE">
        <w:t>+1 (218)720-4328</w:t>
      </w:r>
      <w:r w:rsidRPr="00AB66AE">
        <w:t>.</w:t>
      </w:r>
    </w:p>
    <w:p w:rsidR="00ED2DE7" w:rsidRPr="00AB66AE" w:rsidRDefault="00ED2DE7" w:rsidP="00E0076F">
      <w:pPr>
        <w:spacing w:before="240"/>
        <w:jc w:val="left"/>
        <w:rPr>
          <w:i/>
        </w:rPr>
      </w:pPr>
      <w:r w:rsidRPr="00AB66AE">
        <w:rPr>
          <w:i/>
        </w:rPr>
        <w:t>Received: / Accepted: /</w:t>
      </w:r>
      <w:r w:rsidRPr="00AB66AE">
        <w:rPr>
          <w:i/>
          <w:lang w:val="sr-Cyrl-CS"/>
        </w:rPr>
        <w:t xml:space="preserve"> </w:t>
      </w:r>
      <w:r w:rsidRPr="00AB66AE">
        <w:rPr>
          <w:i/>
        </w:rPr>
        <w:t xml:space="preserve">Published: </w:t>
      </w:r>
    </w:p>
    <w:p w:rsidR="00ED2DE7" w:rsidRPr="00AB66AE" w:rsidRDefault="00ED2DE7" w:rsidP="00E0076F">
      <w:pPr>
        <w:jc w:val="left"/>
      </w:pPr>
    </w:p>
    <w:p w:rsidR="00ED2DE7" w:rsidRPr="00AB66AE" w:rsidRDefault="00ED2DE7" w:rsidP="00E0076F">
      <w:pPr>
        <w:spacing w:before="240"/>
        <w:ind w:left="562" w:right="562"/>
        <w:rPr>
          <w:lang w:eastAsia="en-US"/>
        </w:rPr>
      </w:pPr>
      <w:r w:rsidRPr="00AB66AE">
        <w:rPr>
          <w:b/>
          <w:lang w:eastAsia="en-US"/>
        </w:rPr>
        <w:t>Abstract:</w:t>
      </w:r>
      <w:r w:rsidRPr="00AB66AE">
        <w:rPr>
          <w:lang w:eastAsia="en-US"/>
        </w:rPr>
        <w:t xml:space="preserve"> This is the abstract section. One paragraph only (Maximum 200 words).</w:t>
      </w:r>
    </w:p>
    <w:p w:rsidR="00ED2DE7" w:rsidRPr="00AB66AE" w:rsidRDefault="00ED2DE7" w:rsidP="00E0076F">
      <w:pPr>
        <w:spacing w:before="240"/>
        <w:ind w:left="562" w:right="562"/>
        <w:rPr>
          <w:lang w:eastAsia="en-US"/>
        </w:rPr>
      </w:pPr>
      <w:r w:rsidRPr="00AB66AE">
        <w:rPr>
          <w:b/>
          <w:lang w:eastAsia="en-US"/>
        </w:rPr>
        <w:t>Keywords:</w:t>
      </w:r>
      <w:r w:rsidRPr="00AB66AE">
        <w:rPr>
          <w:lang w:eastAsia="en-US"/>
        </w:rPr>
        <w:t xml:space="preserve"> </w:t>
      </w:r>
      <w:r w:rsidR="004C5DF5" w:rsidRPr="00AB66AE">
        <w:rPr>
          <w:lang w:eastAsia="en-US"/>
        </w:rPr>
        <w:t>Mutagenicity; interrelated two-way clustering; topological indices; ridge regression; hierarchical QSAR</w:t>
      </w:r>
    </w:p>
    <w:p w:rsidR="00ED2DE7" w:rsidRPr="00AB66AE" w:rsidRDefault="00ED2DE7" w:rsidP="00E0076F">
      <w:pPr>
        <w:spacing w:after="480"/>
        <w:rPr>
          <w:lang w:eastAsia="en-US"/>
        </w:rPr>
      </w:pPr>
    </w:p>
    <w:p w:rsidR="00ED2DE7" w:rsidRPr="00AB66AE" w:rsidRDefault="00ED2DE7" w:rsidP="00E0076F">
      <w:pPr>
        <w:spacing w:after="240"/>
        <w:jc w:val="left"/>
        <w:rPr>
          <w:b/>
          <w:lang w:eastAsia="en-US"/>
        </w:rPr>
      </w:pPr>
      <w:r w:rsidRPr="00AB66AE">
        <w:rPr>
          <w:b/>
          <w:lang w:eastAsia="zh-CN"/>
        </w:rPr>
        <w:t xml:space="preserve">1. </w:t>
      </w:r>
      <w:r w:rsidRPr="00AB66AE">
        <w:rPr>
          <w:b/>
          <w:lang w:eastAsia="en-US"/>
        </w:rPr>
        <w:t>Introduction</w:t>
      </w:r>
    </w:p>
    <w:p w:rsidR="00A17640" w:rsidRDefault="00A17640" w:rsidP="00A17640">
      <w:pPr>
        <w:ind w:firstLine="274"/>
        <w:rPr>
          <w:lang w:eastAsia="en-US"/>
        </w:rPr>
      </w:pPr>
      <w:r>
        <w:rPr>
          <w:lang w:eastAsia="en-US"/>
        </w:rPr>
        <w:t xml:space="preserve">Risk assessment of chemicals is often carried out using very little of no experimental data. In 1984, the National Research Council evaluated the availability of toxicity data on industrial chemicals and concluded that that many of these chemicals have very few or no test data [l]. Such a situation is prevalent also with substances identified in industrial effluent, hazardous waste sites and environmental monitoring surveys [2]. In USA, the Toxic Substances Control Act (TSCA) inventory currently has about 86, 000 entries and the list is growing by nearly 3000 per year [3, 4]. Of some 3000 chemicals submitted yearly to the United States Environmental Protection Agency (USEPA) for the pre-manufacture notification (PMN) review process, more than 50% have no experimental data at all, less than 15% have empirical mutagenicity data, and about 6% have experimental eco-toxicological and environmental fate data. </w:t>
      </w:r>
    </w:p>
    <w:p w:rsidR="00A17640" w:rsidRDefault="00A17640" w:rsidP="00A17640">
      <w:pPr>
        <w:ind w:firstLine="274"/>
        <w:rPr>
          <w:lang w:eastAsia="en-US"/>
        </w:rPr>
      </w:pPr>
      <w:r>
        <w:rPr>
          <w:lang w:eastAsia="en-US"/>
        </w:rPr>
        <w:t>Mu</w:t>
      </w:r>
      <w:r w:rsidRPr="00071C36">
        <w:rPr>
          <w:lang w:eastAsia="en-US"/>
        </w:rPr>
        <w:t xml:space="preserve">tagenicity is </w:t>
      </w:r>
      <w:r>
        <w:rPr>
          <w:lang w:eastAsia="en-US"/>
        </w:rPr>
        <w:t xml:space="preserve">one important toxicity data essential </w:t>
      </w:r>
      <w:r w:rsidRPr="00071C36">
        <w:rPr>
          <w:lang w:eastAsia="en-US"/>
        </w:rPr>
        <w:t>both environmental protection</w:t>
      </w:r>
      <w:r>
        <w:rPr>
          <w:lang w:eastAsia="en-US"/>
        </w:rPr>
        <w:t xml:space="preserve"> as well as new drug discovery</w:t>
      </w:r>
      <w:r w:rsidRPr="00071C36">
        <w:rPr>
          <w:lang w:eastAsia="en-US"/>
        </w:rPr>
        <w:t xml:space="preserve">. </w:t>
      </w:r>
      <w:r>
        <w:rPr>
          <w:lang w:eastAsia="en-US"/>
        </w:rPr>
        <w:t xml:space="preserve">  Identification of potential mutagenicity of environmental pollutants is important for the protection of human and ecological health.  In the realm of drug discovery, early detection of mutagenicity of drug candidates can help in the effective allocation of resources for the expensive drug </w:t>
      </w:r>
      <w:r>
        <w:rPr>
          <w:lang w:eastAsia="en-US"/>
        </w:rPr>
        <w:lastRenderedPageBreak/>
        <w:t xml:space="preserve">discovery protocol which costs US $400 million to 2 billion per drug [5, 6]].  Experimental determination of mutagenicity of all possible candidate chemicals, both for environmental protection and drug design, can be very expensive.  Therefore, potential mutagenicity of chemicals from quantitative structure-activity relationship (QSAR) models has been accepted for the evaluation of chemicals in lieu of experimental mutagenicity data [7].    </w:t>
      </w:r>
    </w:p>
    <w:p w:rsidR="00A17640" w:rsidRDefault="00A17640" w:rsidP="00A17640">
      <w:pPr>
        <w:ind w:firstLine="274"/>
        <w:rPr>
          <w:lang w:eastAsia="en-US"/>
        </w:rPr>
      </w:pPr>
      <w:r>
        <w:rPr>
          <w:lang w:eastAsia="en-US"/>
        </w:rPr>
        <w:t>QSARs for any biological endpoint of a set of chemicals can be formulated either from other experimental properties or molecular descriptors calculated from molecular structure without the input of any other experimental data.  The frequently used descriptors for QSAR are topological indices, substructures, and quantum chemical descriptors [7, 8].  For large sets of structures, high level quantum chemical descriptors can be very resource intensive.  Alternately, descriptors derived from topological aspects of chemical structures, e.g. topological indices and different types of substructures, have found successful applications in numerous good quality QSAR studies. For a recent summary of the topic, please see the review by Basak [9].</w:t>
      </w:r>
    </w:p>
    <w:p w:rsidR="00A17640" w:rsidRDefault="00A17640" w:rsidP="00A17640">
      <w:pPr>
        <w:ind w:firstLine="274"/>
        <w:rPr>
          <w:lang w:eastAsia="en-US"/>
        </w:rPr>
      </w:pPr>
      <w:r>
        <w:rPr>
          <w:lang w:eastAsia="en-US"/>
        </w:rPr>
        <w:t xml:space="preserve">There are a few critical needs for the development of QSARs: a) Good quality and sufficiently large property/activity/ toxicity database, b) Computed molecular descriptors which quantify aspects of molecular structure associated with the toxicity or biological activity of interest, and c) Proper methods for model building.   In previous studies, Basak </w:t>
      </w:r>
      <w:r w:rsidRPr="00A17640">
        <w:rPr>
          <w:i/>
          <w:lang w:eastAsia="en-US"/>
        </w:rPr>
        <w:t>et al</w:t>
      </w:r>
      <w:r>
        <w:rPr>
          <w:lang w:eastAsia="en-US"/>
        </w:rPr>
        <w:t xml:space="preserve"> [8] reviewed the results of various QSAR studies where topostructural (TS), topochemical (TC), geometrical (3-D), and quantum chemical (QC) indices were used in QSAR building in a graduated manner.  Results of such hierarchical QSARs (HiQSARs) showed that in most cases a combination of TS and TC indices gave the best models.  The addition of 3-D or QC descriptors to the set of independent variables did not make much improvement in model quality.  The currently available software like PaDEL [10], Dragon [11], MolconnZ [12], POLLY [13], APProbe [14] are capable of calculating a large number of topological and substructural chemodescriptors.   But, in many cases the situation becomes “rank deficient” because there are many more descriptors as compared to the nu</w:t>
      </w:r>
      <w:r w:rsidR="0042609B">
        <w:rPr>
          <w:lang w:eastAsia="en-US"/>
        </w:rPr>
        <w:t>mber of data points to be model</w:t>
      </w:r>
      <w:r>
        <w:rPr>
          <w:lang w:eastAsia="en-US"/>
        </w:rPr>
        <w:t>ed.  So, proper statistical methods of variable se</w:t>
      </w:r>
      <w:r w:rsidR="0042609B">
        <w:rPr>
          <w:lang w:eastAsia="en-US"/>
        </w:rPr>
        <w:t xml:space="preserve">lection, QSAR formulation, and </w:t>
      </w:r>
      <w:r>
        <w:rPr>
          <w:lang w:eastAsia="en-US"/>
        </w:rPr>
        <w:t>model validation have to be followed for best results.</w:t>
      </w:r>
    </w:p>
    <w:p w:rsidR="00A17640" w:rsidRDefault="00A17640" w:rsidP="00A17640">
      <w:pPr>
        <w:ind w:firstLine="274"/>
        <w:rPr>
          <w:lang w:eastAsia="en-US"/>
        </w:rPr>
      </w:pPr>
      <w:r>
        <w:rPr>
          <w:lang w:eastAsia="en-US"/>
        </w:rPr>
        <w:t>This paper has a two-fold objective: 1) Use a</w:t>
      </w:r>
      <w:r w:rsidR="009D0BC3">
        <w:rPr>
          <w:lang w:eastAsia="en-US"/>
        </w:rPr>
        <w:t xml:space="preserve"> relatively new method, called I</w:t>
      </w:r>
      <w:r>
        <w:rPr>
          <w:lang w:eastAsia="en-US"/>
        </w:rPr>
        <w:t xml:space="preserve">nteractive </w:t>
      </w:r>
      <w:r w:rsidR="009D0BC3">
        <w:rPr>
          <w:lang w:eastAsia="en-US"/>
        </w:rPr>
        <w:t>T</w:t>
      </w:r>
      <w:r>
        <w:rPr>
          <w:lang w:eastAsia="en-US"/>
        </w:rPr>
        <w:t>wo</w:t>
      </w:r>
      <w:r w:rsidR="009D0BC3">
        <w:rPr>
          <w:lang w:eastAsia="en-US"/>
        </w:rPr>
        <w:t>-way C</w:t>
      </w:r>
      <w:r>
        <w:rPr>
          <w:lang w:eastAsia="en-US"/>
        </w:rPr>
        <w:t xml:space="preserve">lustering (ITC) in developing QSAR for the prediction of mutagenicity of two data sets, viz., a homogeneous set of 95 aromatic and heteroaromatic amines and a structurally diverse set of 508 chemicals, and 2) Use the HiQSAR approach formulated by Basak </w:t>
      </w:r>
      <w:r w:rsidRPr="00A17640">
        <w:rPr>
          <w:i/>
          <w:lang w:eastAsia="en-US"/>
        </w:rPr>
        <w:t>et al</w:t>
      </w:r>
      <w:r>
        <w:rPr>
          <w:lang w:eastAsia="en-US"/>
        </w:rPr>
        <w:t xml:space="preserve"> [8] in evaluating the relative effectiveness of TS, TC, 3-D, and QC descriptors in the development of high quality QSARs for these two data sets.</w:t>
      </w:r>
    </w:p>
    <w:p w:rsidR="00ED2DE7" w:rsidRPr="00AB66AE" w:rsidRDefault="00ED2DE7" w:rsidP="00E0076F">
      <w:pPr>
        <w:spacing w:before="240" w:after="240"/>
        <w:jc w:val="left"/>
        <w:rPr>
          <w:b/>
          <w:lang w:eastAsia="en-US"/>
        </w:rPr>
      </w:pPr>
      <w:r w:rsidRPr="00AB66AE">
        <w:rPr>
          <w:b/>
          <w:lang w:eastAsia="en-US"/>
        </w:rPr>
        <w:t>2. Results and Discussion</w:t>
      </w:r>
    </w:p>
    <w:p w:rsidR="00ED2DE7" w:rsidRPr="00831D4B" w:rsidRDefault="009D0BC3" w:rsidP="00E0076F">
      <w:pPr>
        <w:ind w:firstLine="284"/>
        <w:rPr>
          <w:lang w:eastAsia="en-US"/>
        </w:rPr>
      </w:pPr>
      <w:r>
        <w:rPr>
          <w:lang w:eastAsia="en-US"/>
        </w:rPr>
        <w:t xml:space="preserve">The work of Majumdar </w:t>
      </w:r>
      <w:r>
        <w:rPr>
          <w:i/>
          <w:lang w:eastAsia="en-US"/>
        </w:rPr>
        <w:t>et al</w:t>
      </w:r>
      <w:r>
        <w:rPr>
          <w:lang w:eastAsia="en-US"/>
        </w:rPr>
        <w:t xml:space="preserve"> focused on the use of ITC as a variable selection method in high-dimensional Chemometrics setup. Here we apply that methodology in a </w:t>
      </w:r>
      <w:r w:rsidR="006C2DFA">
        <w:rPr>
          <w:lang w:eastAsia="en-US"/>
        </w:rPr>
        <w:t>congeneric dataset instead to check for a possible increase of prediction accuracy.</w:t>
      </w:r>
      <w:r w:rsidR="00831D4B">
        <w:rPr>
          <w:lang w:eastAsia="en-US"/>
        </w:rPr>
        <w:t xml:space="preserve"> Since there are 4 types of variables, we apply a hierarchical approach (See similar studies by Basak </w:t>
      </w:r>
      <w:r w:rsidR="00831D4B">
        <w:rPr>
          <w:i/>
          <w:lang w:eastAsia="en-US"/>
        </w:rPr>
        <w:t>et al</w:t>
      </w:r>
      <w:r w:rsidR="00831D4B">
        <w:rPr>
          <w:lang w:eastAsia="en-US"/>
        </w:rPr>
        <w:t xml:space="preserve"> [?,?,?]). Ridge regression is applied for classification purpose on the full and ITC-selected sets of variables to check the effect of variable selection, if any, in this scenario.</w:t>
      </w:r>
    </w:p>
    <w:p w:rsidR="00ED2DE7" w:rsidRPr="00AB66AE" w:rsidRDefault="00ED2DE7" w:rsidP="00E0076F">
      <w:pPr>
        <w:spacing w:after="240"/>
        <w:jc w:val="left"/>
        <w:rPr>
          <w:i/>
        </w:rPr>
      </w:pPr>
      <w:r w:rsidRPr="00AB66AE">
        <w:rPr>
          <w:i/>
        </w:rPr>
        <w:lastRenderedPageBreak/>
        <w:t xml:space="preserve">2.1. </w:t>
      </w:r>
      <w:r w:rsidR="00831D4B">
        <w:rPr>
          <w:i/>
        </w:rPr>
        <w:t>Analysis</w:t>
      </w:r>
    </w:p>
    <w:p w:rsidR="00ED2DE7" w:rsidRDefault="00831D4B" w:rsidP="00E0076F">
      <w:pPr>
        <w:ind w:firstLine="284"/>
        <w:rPr>
          <w:lang w:eastAsia="en-US"/>
        </w:rPr>
      </w:pPr>
      <w:r>
        <w:rPr>
          <w:lang w:eastAsia="en-US"/>
        </w:rPr>
        <w:t>The analyses involving the ITC methodology was done in MATLAB, version R2010a [matlab], while normal ridge regressions were done</w:t>
      </w:r>
      <w:r w:rsidR="00BF73AE">
        <w:rPr>
          <w:lang w:eastAsia="en-US"/>
        </w:rPr>
        <w:t xml:space="preserve"> in the free statistical softward R [rversion].</w:t>
      </w:r>
      <w:r w:rsidR="00162252">
        <w:rPr>
          <w:lang w:eastAsia="en-US"/>
        </w:rPr>
        <w:t xml:space="preserve"> In the putputs, there is a clear jump of predictive ability from the TS only model to the TS+TC model. However, adding 3D and QC descriptors do not improve the predictions. This agrees with the findings of Basak </w:t>
      </w:r>
      <w:r w:rsidR="00162252">
        <w:rPr>
          <w:i/>
          <w:lang w:eastAsia="en-US"/>
        </w:rPr>
        <w:t>et al</w:t>
      </w:r>
      <w:r w:rsidR="00162252">
        <w:rPr>
          <w:lang w:eastAsia="en-US"/>
        </w:rPr>
        <w:t xml:space="preserve"> in the several Hierarchical QSAR studies mentioned above [?,?,?] that when TS and TC descriptors are already being used, 3D and QC descriptors seem to add little to the performance of a predictive model to explain activity of chemical compounds</w:t>
      </w:r>
      <w:r w:rsidR="0022428C">
        <w:rPr>
          <w:lang w:eastAsia="en-US"/>
        </w:rPr>
        <w:t xml:space="preserve"> (Table 1, top half)</w:t>
      </w:r>
      <w:r w:rsidR="00162252">
        <w:rPr>
          <w:lang w:eastAsia="en-US"/>
        </w:rPr>
        <w:t>.</w:t>
      </w:r>
    </w:p>
    <w:p w:rsidR="00162252" w:rsidRPr="00162252" w:rsidRDefault="00162252" w:rsidP="00E0076F">
      <w:pPr>
        <w:ind w:firstLine="284"/>
        <w:rPr>
          <w:lang w:eastAsia="en-US"/>
        </w:rPr>
      </w:pPr>
      <w:r>
        <w:rPr>
          <w:lang w:eastAsia="en-US"/>
        </w:rPr>
        <w:t>However, the performance of the same models change when we do the analysis on a more homogenous dataset. In general the percentage of correct prediction improves, and these percentages are very close to each other for hierarchical descriptor sets. Moreover, variable selection improves the prediction performance for all the models, but in this case also there is no visible effect of the hierarchy of variables</w:t>
      </w:r>
      <w:r w:rsidR="0022428C">
        <w:rPr>
          <w:lang w:eastAsia="en-US"/>
        </w:rPr>
        <w:t xml:space="preserve"> (Table 1, bottom half)</w:t>
      </w:r>
      <w:r>
        <w:rPr>
          <w:lang w:eastAsia="en-US"/>
        </w:rPr>
        <w:t>.</w:t>
      </w:r>
    </w:p>
    <w:p w:rsidR="00ED2DE7" w:rsidRPr="00AB66AE" w:rsidRDefault="00ED2DE7" w:rsidP="00E0076F">
      <w:pPr>
        <w:spacing w:before="240" w:after="120"/>
        <w:jc w:val="center"/>
      </w:pPr>
      <w:r w:rsidRPr="00AB66AE">
        <w:rPr>
          <w:b/>
        </w:rPr>
        <w:t>Table 1.</w:t>
      </w:r>
      <w:r w:rsidRPr="00AB66AE">
        <w:t xml:space="preserve"> </w:t>
      </w:r>
      <w:r w:rsidR="00DA5614" w:rsidRPr="00AB66AE">
        <w:rPr>
          <w:bCs/>
        </w:rPr>
        <w:t>Comparison of model performances for diverse and congeneric datasets</w:t>
      </w:r>
    </w:p>
    <w:tbl>
      <w:tblPr>
        <w:tblStyle w:val="TableGrid"/>
        <w:tblW w:w="10098" w:type="dxa"/>
        <w:tblLayout w:type="fixed"/>
        <w:tblLook w:val="04A0" w:firstRow="1" w:lastRow="0" w:firstColumn="1" w:lastColumn="0" w:noHBand="0" w:noVBand="1"/>
      </w:tblPr>
      <w:tblGrid>
        <w:gridCol w:w="1188"/>
        <w:gridCol w:w="1620"/>
        <w:gridCol w:w="1620"/>
        <w:gridCol w:w="1620"/>
        <w:gridCol w:w="1710"/>
        <w:gridCol w:w="1170"/>
        <w:gridCol w:w="1170"/>
      </w:tblGrid>
      <w:tr w:rsidR="001C30D9" w:rsidRPr="00AB66AE" w:rsidTr="00DA5614">
        <w:tc>
          <w:tcPr>
            <w:tcW w:w="1188" w:type="dxa"/>
            <w:vAlign w:val="center"/>
          </w:tcPr>
          <w:p w:rsidR="001C30D9" w:rsidRPr="00AB66AE" w:rsidRDefault="001C30D9" w:rsidP="00E0076F">
            <w:pPr>
              <w:pStyle w:val="NoSpacing"/>
              <w:jc w:val="center"/>
              <w:rPr>
                <w:b/>
                <w:sz w:val="20"/>
              </w:rPr>
            </w:pPr>
            <w:r w:rsidRPr="00AB66AE">
              <w:rPr>
                <w:b/>
                <w:sz w:val="20"/>
              </w:rPr>
              <w:t>Dataset used</w:t>
            </w:r>
          </w:p>
        </w:tc>
        <w:tc>
          <w:tcPr>
            <w:tcW w:w="1620" w:type="dxa"/>
            <w:vAlign w:val="center"/>
          </w:tcPr>
          <w:p w:rsidR="001C30D9" w:rsidRPr="00AB66AE" w:rsidRDefault="001C30D9" w:rsidP="00E0076F">
            <w:pPr>
              <w:pStyle w:val="NoSpacing"/>
              <w:jc w:val="center"/>
              <w:rPr>
                <w:b/>
                <w:sz w:val="20"/>
              </w:rPr>
            </w:pPr>
            <w:r w:rsidRPr="00AB66AE">
              <w:rPr>
                <w:b/>
                <w:sz w:val="20"/>
              </w:rPr>
              <w:t>Predictive model</w:t>
            </w:r>
          </w:p>
        </w:tc>
        <w:tc>
          <w:tcPr>
            <w:tcW w:w="1620" w:type="dxa"/>
            <w:vAlign w:val="center"/>
          </w:tcPr>
          <w:p w:rsidR="001C30D9" w:rsidRPr="00AB66AE" w:rsidRDefault="001C30D9" w:rsidP="00E0076F">
            <w:pPr>
              <w:pStyle w:val="NoSpacing"/>
              <w:jc w:val="center"/>
              <w:rPr>
                <w:b/>
                <w:sz w:val="20"/>
              </w:rPr>
            </w:pPr>
            <w:r w:rsidRPr="00AB66AE">
              <w:rPr>
                <w:b/>
                <w:sz w:val="20"/>
              </w:rPr>
              <w:t>Type of predictor used</w:t>
            </w:r>
          </w:p>
        </w:tc>
        <w:tc>
          <w:tcPr>
            <w:tcW w:w="1620" w:type="dxa"/>
            <w:vAlign w:val="center"/>
          </w:tcPr>
          <w:p w:rsidR="001C30D9" w:rsidRPr="00AB66AE" w:rsidRDefault="001C30D9" w:rsidP="00E0076F">
            <w:pPr>
              <w:pStyle w:val="NoSpacing"/>
              <w:jc w:val="center"/>
              <w:rPr>
                <w:b/>
                <w:sz w:val="20"/>
              </w:rPr>
            </w:pPr>
            <w:r w:rsidRPr="00AB66AE">
              <w:rPr>
                <w:b/>
                <w:sz w:val="20"/>
              </w:rPr>
              <w:t>No. of predictors</w:t>
            </w:r>
          </w:p>
        </w:tc>
        <w:tc>
          <w:tcPr>
            <w:tcW w:w="1710" w:type="dxa"/>
            <w:vAlign w:val="center"/>
          </w:tcPr>
          <w:p w:rsidR="001C30D9" w:rsidRPr="00AB66AE" w:rsidRDefault="001C30D9" w:rsidP="00E0076F">
            <w:pPr>
              <w:pStyle w:val="NoSpacing"/>
              <w:jc w:val="center"/>
              <w:rPr>
                <w:b/>
                <w:sz w:val="20"/>
              </w:rPr>
            </w:pPr>
            <w:r w:rsidRPr="00AB66AE">
              <w:rPr>
                <w:b/>
                <w:sz w:val="20"/>
              </w:rPr>
              <w:t>Correct classification %</w:t>
            </w:r>
          </w:p>
        </w:tc>
        <w:tc>
          <w:tcPr>
            <w:tcW w:w="1170" w:type="dxa"/>
            <w:vAlign w:val="center"/>
          </w:tcPr>
          <w:p w:rsidR="001C30D9" w:rsidRPr="00AB66AE" w:rsidRDefault="001C30D9" w:rsidP="00E0076F">
            <w:pPr>
              <w:pStyle w:val="NoSpacing"/>
              <w:jc w:val="center"/>
              <w:rPr>
                <w:b/>
                <w:sz w:val="20"/>
              </w:rPr>
            </w:pPr>
            <w:r w:rsidRPr="00AB66AE">
              <w:rPr>
                <w:b/>
                <w:sz w:val="20"/>
              </w:rPr>
              <w:t>Sensitivity</w:t>
            </w:r>
          </w:p>
        </w:tc>
        <w:tc>
          <w:tcPr>
            <w:tcW w:w="1170" w:type="dxa"/>
            <w:vAlign w:val="center"/>
          </w:tcPr>
          <w:p w:rsidR="001C30D9" w:rsidRPr="00AB66AE" w:rsidRDefault="001C30D9" w:rsidP="00E0076F">
            <w:pPr>
              <w:pStyle w:val="NoSpacing"/>
              <w:jc w:val="center"/>
              <w:rPr>
                <w:b/>
                <w:sz w:val="20"/>
              </w:rPr>
            </w:pPr>
            <w:r w:rsidRPr="00AB66AE">
              <w:rPr>
                <w:b/>
                <w:sz w:val="20"/>
              </w:rPr>
              <w:t>Specificity</w:t>
            </w:r>
          </w:p>
        </w:tc>
      </w:tr>
      <w:tr w:rsidR="00F546D8" w:rsidRPr="00AB66AE" w:rsidTr="00DA5614">
        <w:tc>
          <w:tcPr>
            <w:tcW w:w="1188" w:type="dxa"/>
            <w:vMerge w:val="restart"/>
            <w:vAlign w:val="center"/>
          </w:tcPr>
          <w:p w:rsidR="00F546D8" w:rsidRPr="00AB66AE" w:rsidRDefault="00F546D8" w:rsidP="00E0076F">
            <w:pPr>
              <w:pStyle w:val="NoSpacing"/>
              <w:jc w:val="center"/>
              <w:rPr>
                <w:b/>
                <w:sz w:val="20"/>
              </w:rPr>
            </w:pPr>
            <w:r w:rsidRPr="00AB66AE">
              <w:rPr>
                <w:b/>
                <w:sz w:val="20"/>
              </w:rPr>
              <w:t>508 compound diverse dataset</w:t>
            </w:r>
          </w:p>
        </w:tc>
        <w:tc>
          <w:tcPr>
            <w:tcW w:w="1620" w:type="dxa"/>
            <w:vMerge w:val="restart"/>
            <w:vAlign w:val="center"/>
          </w:tcPr>
          <w:p w:rsidR="00F546D8" w:rsidRPr="00AB66AE" w:rsidRDefault="00F546D8" w:rsidP="00E0076F">
            <w:pPr>
              <w:pStyle w:val="NoSpacing"/>
              <w:jc w:val="center"/>
              <w:rPr>
                <w:sz w:val="20"/>
              </w:rPr>
            </w:pPr>
            <w:r w:rsidRPr="00AB66AE">
              <w:rPr>
                <w:sz w:val="20"/>
              </w:rPr>
              <w:t>Ridge regression</w:t>
            </w:r>
          </w:p>
          <w:p w:rsidR="00F546D8" w:rsidRPr="00AB66AE" w:rsidRDefault="00F546D8" w:rsidP="00E0076F">
            <w:pPr>
              <w:pStyle w:val="NoSpacing"/>
              <w:jc w:val="center"/>
              <w:rPr>
                <w:sz w:val="20"/>
              </w:rPr>
            </w:pPr>
            <w:r w:rsidRPr="00AB66AE">
              <w:rPr>
                <w:sz w:val="20"/>
              </w:rPr>
              <w:t>[hawk]</w:t>
            </w:r>
          </w:p>
        </w:tc>
        <w:tc>
          <w:tcPr>
            <w:tcW w:w="1620" w:type="dxa"/>
            <w:vAlign w:val="center"/>
          </w:tcPr>
          <w:p w:rsidR="00F546D8" w:rsidRPr="00AB66AE" w:rsidRDefault="00F546D8" w:rsidP="00E0076F">
            <w:pPr>
              <w:pStyle w:val="NoSpacing"/>
              <w:jc w:val="center"/>
              <w:rPr>
                <w:sz w:val="20"/>
              </w:rPr>
            </w:pPr>
            <w:r>
              <w:rPr>
                <w:sz w:val="20"/>
              </w:rPr>
              <w:t>TS</w:t>
            </w:r>
          </w:p>
        </w:tc>
        <w:tc>
          <w:tcPr>
            <w:tcW w:w="1620" w:type="dxa"/>
            <w:vAlign w:val="center"/>
          </w:tcPr>
          <w:p w:rsidR="00F546D8" w:rsidRPr="00AB66AE" w:rsidRDefault="00F546D8" w:rsidP="00E0076F">
            <w:pPr>
              <w:pStyle w:val="NoSpacing"/>
              <w:jc w:val="center"/>
              <w:rPr>
                <w:sz w:val="20"/>
              </w:rPr>
            </w:pPr>
            <w:r>
              <w:rPr>
                <w:sz w:val="20"/>
              </w:rPr>
              <w:t>103</w:t>
            </w:r>
          </w:p>
        </w:tc>
        <w:tc>
          <w:tcPr>
            <w:tcW w:w="1710" w:type="dxa"/>
            <w:vAlign w:val="center"/>
          </w:tcPr>
          <w:p w:rsidR="00F546D8" w:rsidRPr="00AB66AE" w:rsidRDefault="00697554" w:rsidP="00E0076F">
            <w:pPr>
              <w:pStyle w:val="NoSpacing"/>
              <w:jc w:val="center"/>
              <w:rPr>
                <w:sz w:val="20"/>
              </w:rPr>
            </w:pPr>
            <w:r>
              <w:rPr>
                <w:sz w:val="20"/>
              </w:rPr>
              <w:t>53.14</w:t>
            </w:r>
          </w:p>
        </w:tc>
        <w:tc>
          <w:tcPr>
            <w:tcW w:w="1170" w:type="dxa"/>
            <w:vAlign w:val="center"/>
          </w:tcPr>
          <w:p w:rsidR="00F546D8" w:rsidRPr="00AB66AE" w:rsidRDefault="00697554" w:rsidP="00E0076F">
            <w:pPr>
              <w:pStyle w:val="NoSpacing"/>
              <w:jc w:val="center"/>
              <w:rPr>
                <w:sz w:val="20"/>
              </w:rPr>
            </w:pPr>
            <w:r>
              <w:rPr>
                <w:sz w:val="20"/>
              </w:rPr>
              <w:t>52.34</w:t>
            </w:r>
          </w:p>
        </w:tc>
        <w:tc>
          <w:tcPr>
            <w:tcW w:w="1170" w:type="dxa"/>
            <w:vAlign w:val="center"/>
          </w:tcPr>
          <w:p w:rsidR="00F546D8" w:rsidRPr="00AB66AE" w:rsidRDefault="00697554" w:rsidP="00E0076F">
            <w:pPr>
              <w:pStyle w:val="NoSpacing"/>
              <w:jc w:val="center"/>
              <w:rPr>
                <w:sz w:val="20"/>
              </w:rPr>
            </w:pPr>
            <w:r>
              <w:rPr>
                <w:sz w:val="20"/>
              </w:rPr>
              <w:t>53.97</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Merge/>
            <w:vAlign w:val="center"/>
          </w:tcPr>
          <w:p w:rsidR="00F546D8" w:rsidRPr="00AB66AE" w:rsidRDefault="00F546D8" w:rsidP="00E0076F">
            <w:pPr>
              <w:pStyle w:val="NoSpacing"/>
              <w:jc w:val="center"/>
              <w:rPr>
                <w:sz w:val="20"/>
              </w:rPr>
            </w:pPr>
          </w:p>
        </w:tc>
        <w:tc>
          <w:tcPr>
            <w:tcW w:w="1620" w:type="dxa"/>
            <w:vAlign w:val="center"/>
          </w:tcPr>
          <w:p w:rsidR="00F546D8" w:rsidRPr="00AB66AE" w:rsidRDefault="00F546D8" w:rsidP="00E0076F">
            <w:pPr>
              <w:pStyle w:val="NoSpacing"/>
              <w:jc w:val="center"/>
              <w:rPr>
                <w:sz w:val="20"/>
              </w:rPr>
            </w:pPr>
            <w:r w:rsidRPr="00AB66AE">
              <w:rPr>
                <w:sz w:val="20"/>
              </w:rPr>
              <w:t>TS+TC</w:t>
            </w:r>
          </w:p>
        </w:tc>
        <w:tc>
          <w:tcPr>
            <w:tcW w:w="1620" w:type="dxa"/>
            <w:vAlign w:val="center"/>
          </w:tcPr>
          <w:p w:rsidR="00F546D8" w:rsidRPr="00AB66AE" w:rsidRDefault="00F546D8" w:rsidP="00E0076F">
            <w:pPr>
              <w:pStyle w:val="NoSpacing"/>
              <w:jc w:val="center"/>
              <w:rPr>
                <w:sz w:val="20"/>
              </w:rPr>
            </w:pPr>
            <w:r w:rsidRPr="00AB66AE">
              <w:rPr>
                <w:sz w:val="20"/>
              </w:rPr>
              <w:t>298</w:t>
            </w:r>
          </w:p>
        </w:tc>
        <w:tc>
          <w:tcPr>
            <w:tcW w:w="1710" w:type="dxa"/>
            <w:vAlign w:val="center"/>
          </w:tcPr>
          <w:p w:rsidR="00F546D8" w:rsidRPr="00AB66AE" w:rsidRDefault="00F546D8" w:rsidP="00E0076F">
            <w:pPr>
              <w:pStyle w:val="NoSpacing"/>
              <w:jc w:val="center"/>
              <w:rPr>
                <w:sz w:val="20"/>
              </w:rPr>
            </w:pPr>
            <w:r w:rsidRPr="00AB66AE">
              <w:rPr>
                <w:sz w:val="20"/>
              </w:rPr>
              <w:t>76.97</w:t>
            </w:r>
          </w:p>
        </w:tc>
        <w:tc>
          <w:tcPr>
            <w:tcW w:w="1170" w:type="dxa"/>
            <w:vAlign w:val="center"/>
          </w:tcPr>
          <w:p w:rsidR="00F546D8" w:rsidRPr="00AB66AE" w:rsidRDefault="00F546D8" w:rsidP="00E0076F">
            <w:pPr>
              <w:pStyle w:val="NoSpacing"/>
              <w:jc w:val="center"/>
              <w:rPr>
                <w:sz w:val="20"/>
              </w:rPr>
            </w:pPr>
            <w:r w:rsidRPr="00AB66AE">
              <w:rPr>
                <w:sz w:val="20"/>
              </w:rPr>
              <w:t>83.98</w:t>
            </w:r>
          </w:p>
        </w:tc>
        <w:tc>
          <w:tcPr>
            <w:tcW w:w="1170" w:type="dxa"/>
            <w:vAlign w:val="center"/>
          </w:tcPr>
          <w:p w:rsidR="00F546D8" w:rsidRPr="00AB66AE" w:rsidRDefault="00F546D8" w:rsidP="00E0076F">
            <w:pPr>
              <w:pStyle w:val="NoSpacing"/>
              <w:jc w:val="center"/>
              <w:rPr>
                <w:sz w:val="20"/>
              </w:rPr>
            </w:pPr>
            <w:r w:rsidRPr="00AB66AE">
              <w:rPr>
                <w:sz w:val="20"/>
              </w:rPr>
              <w:t>69.84</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Merge/>
            <w:vAlign w:val="center"/>
          </w:tcPr>
          <w:p w:rsidR="00F546D8" w:rsidRPr="00AB66AE" w:rsidRDefault="00F546D8" w:rsidP="00E0076F">
            <w:pPr>
              <w:pStyle w:val="NoSpacing"/>
              <w:jc w:val="center"/>
              <w:rPr>
                <w:sz w:val="20"/>
              </w:rPr>
            </w:pPr>
          </w:p>
        </w:tc>
        <w:tc>
          <w:tcPr>
            <w:tcW w:w="1620" w:type="dxa"/>
            <w:vAlign w:val="center"/>
          </w:tcPr>
          <w:p w:rsidR="00F546D8" w:rsidRPr="00AB66AE" w:rsidRDefault="00F546D8" w:rsidP="00E0076F">
            <w:pPr>
              <w:pStyle w:val="NoSpacing"/>
              <w:jc w:val="center"/>
              <w:rPr>
                <w:sz w:val="20"/>
              </w:rPr>
            </w:pPr>
            <w:r w:rsidRPr="00AB66AE">
              <w:rPr>
                <w:sz w:val="20"/>
              </w:rPr>
              <w:t>TS+TC+3D+QC</w:t>
            </w:r>
          </w:p>
        </w:tc>
        <w:tc>
          <w:tcPr>
            <w:tcW w:w="1620" w:type="dxa"/>
            <w:vAlign w:val="center"/>
          </w:tcPr>
          <w:p w:rsidR="00F546D8" w:rsidRPr="00AB66AE" w:rsidRDefault="00F546D8" w:rsidP="00E0076F">
            <w:pPr>
              <w:pStyle w:val="NoSpacing"/>
              <w:jc w:val="center"/>
              <w:rPr>
                <w:sz w:val="20"/>
              </w:rPr>
            </w:pPr>
            <w:r w:rsidRPr="00AB66AE">
              <w:rPr>
                <w:sz w:val="20"/>
              </w:rPr>
              <w:t>307</w:t>
            </w:r>
          </w:p>
        </w:tc>
        <w:tc>
          <w:tcPr>
            <w:tcW w:w="1710" w:type="dxa"/>
            <w:vAlign w:val="center"/>
          </w:tcPr>
          <w:p w:rsidR="00F546D8" w:rsidRPr="00AB66AE" w:rsidRDefault="00F546D8" w:rsidP="00E0076F">
            <w:pPr>
              <w:pStyle w:val="NoSpacing"/>
              <w:jc w:val="center"/>
              <w:rPr>
                <w:sz w:val="20"/>
              </w:rPr>
            </w:pPr>
            <w:r w:rsidRPr="00AB66AE">
              <w:rPr>
                <w:sz w:val="20"/>
              </w:rPr>
              <w:t>77.17</w:t>
            </w:r>
          </w:p>
        </w:tc>
        <w:tc>
          <w:tcPr>
            <w:tcW w:w="1170" w:type="dxa"/>
            <w:vAlign w:val="center"/>
          </w:tcPr>
          <w:p w:rsidR="00F546D8" w:rsidRPr="00AB66AE" w:rsidRDefault="00F546D8" w:rsidP="00E0076F">
            <w:pPr>
              <w:pStyle w:val="NoSpacing"/>
              <w:jc w:val="center"/>
              <w:rPr>
                <w:sz w:val="20"/>
              </w:rPr>
            </w:pPr>
            <w:r w:rsidRPr="00AB66AE">
              <w:rPr>
                <w:sz w:val="20"/>
              </w:rPr>
              <w:t>84.38</w:t>
            </w:r>
          </w:p>
        </w:tc>
        <w:tc>
          <w:tcPr>
            <w:tcW w:w="1170" w:type="dxa"/>
            <w:vAlign w:val="center"/>
          </w:tcPr>
          <w:p w:rsidR="00F546D8" w:rsidRPr="00AB66AE" w:rsidRDefault="00F546D8" w:rsidP="00E0076F">
            <w:pPr>
              <w:pStyle w:val="NoSpacing"/>
              <w:jc w:val="center"/>
              <w:rPr>
                <w:sz w:val="20"/>
              </w:rPr>
            </w:pPr>
            <w:r w:rsidRPr="00AB66AE">
              <w:rPr>
                <w:sz w:val="20"/>
              </w:rPr>
              <w:t>69.84</w:t>
            </w:r>
          </w:p>
        </w:tc>
      </w:tr>
      <w:tr w:rsidR="00F546D8" w:rsidRPr="00AB66AE" w:rsidTr="00DA5614">
        <w:tc>
          <w:tcPr>
            <w:tcW w:w="1188" w:type="dxa"/>
            <w:vMerge/>
            <w:vAlign w:val="center"/>
          </w:tcPr>
          <w:p w:rsidR="00F546D8" w:rsidRPr="00AB66AE" w:rsidRDefault="00F546D8" w:rsidP="00E0076F">
            <w:pPr>
              <w:pStyle w:val="NoSpacing"/>
              <w:jc w:val="center"/>
              <w:rPr>
                <w:b/>
                <w:sz w:val="20"/>
              </w:rPr>
            </w:pPr>
          </w:p>
        </w:tc>
        <w:tc>
          <w:tcPr>
            <w:tcW w:w="1620" w:type="dxa"/>
            <w:vAlign w:val="center"/>
          </w:tcPr>
          <w:p w:rsidR="00F546D8" w:rsidRPr="00AB66AE" w:rsidRDefault="00F546D8" w:rsidP="00E0076F">
            <w:pPr>
              <w:pStyle w:val="NoSpacing"/>
              <w:jc w:val="center"/>
              <w:rPr>
                <w:sz w:val="20"/>
              </w:rPr>
            </w:pPr>
            <w:r w:rsidRPr="00AB66AE">
              <w:rPr>
                <w:sz w:val="20"/>
              </w:rPr>
              <w:t>ITC + Ridge regrerssion [itc508]</w:t>
            </w:r>
          </w:p>
        </w:tc>
        <w:tc>
          <w:tcPr>
            <w:tcW w:w="1620" w:type="dxa"/>
            <w:vAlign w:val="center"/>
          </w:tcPr>
          <w:p w:rsidR="00F546D8" w:rsidRPr="00AB66AE" w:rsidRDefault="00F546D8" w:rsidP="00E0076F">
            <w:pPr>
              <w:pStyle w:val="NoSpacing"/>
              <w:jc w:val="center"/>
              <w:rPr>
                <w:sz w:val="20"/>
              </w:rPr>
            </w:pPr>
            <w:r w:rsidRPr="00AB66AE">
              <w:rPr>
                <w:sz w:val="20"/>
              </w:rPr>
              <w:t>TS+TC+AP</w:t>
            </w:r>
          </w:p>
        </w:tc>
        <w:tc>
          <w:tcPr>
            <w:tcW w:w="1620" w:type="dxa"/>
            <w:vAlign w:val="center"/>
          </w:tcPr>
          <w:p w:rsidR="00F546D8" w:rsidRPr="00AB66AE" w:rsidRDefault="00F546D8" w:rsidP="00E0076F">
            <w:pPr>
              <w:pStyle w:val="NoSpacing"/>
              <w:jc w:val="center"/>
              <w:rPr>
                <w:sz w:val="20"/>
              </w:rPr>
            </w:pPr>
            <w:r w:rsidRPr="00AB66AE">
              <w:rPr>
                <w:sz w:val="20"/>
              </w:rPr>
              <w:t>203</w:t>
            </w:r>
          </w:p>
        </w:tc>
        <w:tc>
          <w:tcPr>
            <w:tcW w:w="1710" w:type="dxa"/>
            <w:vAlign w:val="center"/>
          </w:tcPr>
          <w:p w:rsidR="00F546D8" w:rsidRPr="00AB66AE" w:rsidRDefault="00F546D8" w:rsidP="00E0076F">
            <w:pPr>
              <w:pStyle w:val="NoSpacing"/>
              <w:jc w:val="center"/>
              <w:rPr>
                <w:sz w:val="20"/>
              </w:rPr>
            </w:pPr>
            <w:r w:rsidRPr="00AB66AE">
              <w:rPr>
                <w:sz w:val="20"/>
              </w:rPr>
              <w:t>78.35</w:t>
            </w:r>
          </w:p>
        </w:tc>
        <w:tc>
          <w:tcPr>
            <w:tcW w:w="1170" w:type="dxa"/>
            <w:vAlign w:val="center"/>
          </w:tcPr>
          <w:p w:rsidR="00F546D8" w:rsidRPr="00AB66AE" w:rsidRDefault="00F546D8" w:rsidP="00E0076F">
            <w:pPr>
              <w:pStyle w:val="NoSpacing"/>
              <w:jc w:val="center"/>
              <w:rPr>
                <w:sz w:val="20"/>
              </w:rPr>
            </w:pPr>
            <w:r w:rsidRPr="00AB66AE">
              <w:rPr>
                <w:sz w:val="20"/>
              </w:rPr>
              <w:t>84.38</w:t>
            </w:r>
          </w:p>
        </w:tc>
        <w:tc>
          <w:tcPr>
            <w:tcW w:w="1170" w:type="dxa"/>
            <w:vAlign w:val="center"/>
          </w:tcPr>
          <w:p w:rsidR="00F546D8" w:rsidRPr="00AB66AE" w:rsidRDefault="00F546D8" w:rsidP="00E0076F">
            <w:pPr>
              <w:pStyle w:val="NoSpacing"/>
              <w:jc w:val="center"/>
              <w:rPr>
                <w:sz w:val="20"/>
              </w:rPr>
            </w:pPr>
            <w:r w:rsidRPr="00AB66AE">
              <w:rPr>
                <w:sz w:val="20"/>
              </w:rPr>
              <w:t>72.22</w:t>
            </w:r>
          </w:p>
        </w:tc>
      </w:tr>
      <w:tr w:rsidR="00DA5614" w:rsidRPr="00AB66AE" w:rsidTr="00DA5614">
        <w:tc>
          <w:tcPr>
            <w:tcW w:w="1188" w:type="dxa"/>
            <w:vMerge w:val="restart"/>
            <w:vAlign w:val="center"/>
          </w:tcPr>
          <w:p w:rsidR="00DA5614" w:rsidRPr="00AB66AE" w:rsidRDefault="00DA5614" w:rsidP="00E0076F">
            <w:pPr>
              <w:pStyle w:val="NoSpacing"/>
              <w:jc w:val="center"/>
              <w:rPr>
                <w:b/>
                <w:sz w:val="20"/>
              </w:rPr>
            </w:pPr>
            <w:r w:rsidRPr="00AB66AE">
              <w:rPr>
                <w:b/>
                <w:sz w:val="20"/>
              </w:rPr>
              <w:t>95 amines congeneric dataset</w:t>
            </w:r>
          </w:p>
        </w:tc>
        <w:tc>
          <w:tcPr>
            <w:tcW w:w="1620" w:type="dxa"/>
            <w:vMerge w:val="restart"/>
            <w:vAlign w:val="center"/>
          </w:tcPr>
          <w:p w:rsidR="00DA5614" w:rsidRPr="00AB66AE" w:rsidRDefault="00DA5614" w:rsidP="00E0076F">
            <w:pPr>
              <w:pStyle w:val="NoSpacing"/>
              <w:jc w:val="center"/>
              <w:rPr>
                <w:sz w:val="20"/>
              </w:rPr>
            </w:pPr>
            <w:r w:rsidRPr="00AB66AE">
              <w:rPr>
                <w:sz w:val="20"/>
              </w:rPr>
              <w:t>Ridge regression</w:t>
            </w:r>
          </w:p>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w:t>
            </w:r>
          </w:p>
        </w:tc>
        <w:tc>
          <w:tcPr>
            <w:tcW w:w="1620" w:type="dxa"/>
            <w:vAlign w:val="center"/>
          </w:tcPr>
          <w:p w:rsidR="00DA5614" w:rsidRPr="00AB66AE" w:rsidRDefault="00170B55" w:rsidP="00E0076F">
            <w:pPr>
              <w:pStyle w:val="NoSpacing"/>
              <w:jc w:val="center"/>
              <w:rPr>
                <w:sz w:val="20"/>
              </w:rPr>
            </w:pPr>
            <w:r>
              <w:rPr>
                <w:sz w:val="20"/>
              </w:rPr>
              <w:t>108</w:t>
            </w:r>
          </w:p>
        </w:tc>
        <w:tc>
          <w:tcPr>
            <w:tcW w:w="1710" w:type="dxa"/>
            <w:vAlign w:val="center"/>
          </w:tcPr>
          <w:p w:rsidR="00DA5614" w:rsidRPr="00AB66AE" w:rsidRDefault="00DA5614" w:rsidP="00E0076F">
            <w:pPr>
              <w:pStyle w:val="NoSpacing"/>
              <w:jc w:val="center"/>
              <w:rPr>
                <w:sz w:val="20"/>
              </w:rPr>
            </w:pPr>
            <w:r w:rsidRPr="00AB66AE">
              <w:rPr>
                <w:sz w:val="20"/>
              </w:rPr>
              <w:t>83.16</w:t>
            </w:r>
          </w:p>
        </w:tc>
        <w:tc>
          <w:tcPr>
            <w:tcW w:w="1170" w:type="dxa"/>
            <w:vAlign w:val="center"/>
          </w:tcPr>
          <w:p w:rsidR="00DA5614" w:rsidRPr="00AB66AE" w:rsidRDefault="00DA5614" w:rsidP="00E0076F">
            <w:pPr>
              <w:pStyle w:val="NoSpacing"/>
              <w:jc w:val="center"/>
              <w:rPr>
                <w:sz w:val="20"/>
              </w:rPr>
            </w:pPr>
            <w:r w:rsidRPr="00AB66AE">
              <w:rPr>
                <w:sz w:val="20"/>
              </w:rPr>
              <w:t>75.47</w:t>
            </w:r>
          </w:p>
        </w:tc>
        <w:tc>
          <w:tcPr>
            <w:tcW w:w="1170" w:type="dxa"/>
            <w:vAlign w:val="center"/>
          </w:tcPr>
          <w:p w:rsidR="00DA5614" w:rsidRPr="00AB66AE" w:rsidRDefault="00DA5614" w:rsidP="00E0076F">
            <w:pPr>
              <w:pStyle w:val="NoSpacing"/>
              <w:jc w:val="center"/>
              <w:rPr>
                <w:sz w:val="20"/>
              </w:rPr>
            </w:pPr>
            <w:r w:rsidRPr="00AB66AE">
              <w:rPr>
                <w:sz w:val="20"/>
              </w:rPr>
              <w:t>88.42</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w:t>
            </w:r>
          </w:p>
        </w:tc>
        <w:tc>
          <w:tcPr>
            <w:tcW w:w="1620" w:type="dxa"/>
            <w:vAlign w:val="center"/>
          </w:tcPr>
          <w:p w:rsidR="00DA5614" w:rsidRPr="00AB66AE" w:rsidRDefault="00170B55" w:rsidP="00E0076F">
            <w:pPr>
              <w:pStyle w:val="NoSpacing"/>
              <w:jc w:val="center"/>
              <w:rPr>
                <w:sz w:val="20"/>
              </w:rPr>
            </w:pPr>
            <w:r>
              <w:rPr>
                <w:sz w:val="20"/>
              </w:rPr>
              <w:t>266</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w:t>
            </w:r>
          </w:p>
        </w:tc>
        <w:tc>
          <w:tcPr>
            <w:tcW w:w="1620" w:type="dxa"/>
            <w:vAlign w:val="center"/>
          </w:tcPr>
          <w:p w:rsidR="00DA5614" w:rsidRPr="00AB66AE" w:rsidRDefault="00DA5614" w:rsidP="00E0076F">
            <w:pPr>
              <w:pStyle w:val="NoSpacing"/>
              <w:jc w:val="center"/>
              <w:rPr>
                <w:sz w:val="20"/>
              </w:rPr>
            </w:pPr>
            <w:r w:rsidRPr="00AB66AE">
              <w:rPr>
                <w:sz w:val="20"/>
              </w:rPr>
              <w:t>269</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DA5614" w:rsidRPr="00AB66AE" w:rsidTr="00DA5614">
        <w:tc>
          <w:tcPr>
            <w:tcW w:w="1188" w:type="dxa"/>
            <w:vMerge/>
            <w:vAlign w:val="center"/>
          </w:tcPr>
          <w:p w:rsidR="00DA5614" w:rsidRPr="00AB66AE" w:rsidRDefault="00DA5614" w:rsidP="00E0076F">
            <w:pPr>
              <w:pStyle w:val="NoSpacing"/>
              <w:jc w:val="center"/>
              <w:rPr>
                <w:sz w:val="20"/>
              </w:rPr>
            </w:pPr>
          </w:p>
        </w:tc>
        <w:tc>
          <w:tcPr>
            <w:tcW w:w="1620" w:type="dxa"/>
            <w:vMerge/>
            <w:vAlign w:val="center"/>
          </w:tcPr>
          <w:p w:rsidR="00DA5614" w:rsidRPr="00AB66AE" w:rsidRDefault="00DA5614" w:rsidP="00E0076F">
            <w:pPr>
              <w:pStyle w:val="NoSpacing"/>
              <w:jc w:val="center"/>
              <w:rPr>
                <w:sz w:val="20"/>
              </w:rPr>
            </w:pPr>
          </w:p>
        </w:tc>
        <w:tc>
          <w:tcPr>
            <w:tcW w:w="1620" w:type="dxa"/>
            <w:vAlign w:val="center"/>
          </w:tcPr>
          <w:p w:rsidR="00DA5614" w:rsidRPr="00AB66AE" w:rsidRDefault="00DA5614" w:rsidP="00E0076F">
            <w:pPr>
              <w:pStyle w:val="NoSpacing"/>
              <w:jc w:val="center"/>
              <w:rPr>
                <w:sz w:val="20"/>
              </w:rPr>
            </w:pPr>
            <w:r w:rsidRPr="00AB66AE">
              <w:rPr>
                <w:sz w:val="20"/>
              </w:rPr>
              <w:t>TS+TC+3D+QC</w:t>
            </w:r>
          </w:p>
        </w:tc>
        <w:tc>
          <w:tcPr>
            <w:tcW w:w="1620" w:type="dxa"/>
            <w:vAlign w:val="center"/>
          </w:tcPr>
          <w:p w:rsidR="00DA5614" w:rsidRPr="00AB66AE" w:rsidRDefault="00DA5614" w:rsidP="00E0076F">
            <w:pPr>
              <w:pStyle w:val="NoSpacing"/>
              <w:jc w:val="center"/>
              <w:rPr>
                <w:sz w:val="20"/>
              </w:rPr>
            </w:pPr>
            <w:r w:rsidRPr="00AB66AE">
              <w:rPr>
                <w:sz w:val="20"/>
              </w:rPr>
              <w:t>275</w:t>
            </w:r>
          </w:p>
        </w:tc>
        <w:tc>
          <w:tcPr>
            <w:tcW w:w="1710" w:type="dxa"/>
            <w:vAlign w:val="center"/>
          </w:tcPr>
          <w:p w:rsidR="00DA5614" w:rsidRPr="00AB66AE" w:rsidRDefault="00DA5614" w:rsidP="00E0076F">
            <w:pPr>
              <w:pStyle w:val="NoSpacing"/>
              <w:jc w:val="center"/>
              <w:rPr>
                <w:sz w:val="20"/>
              </w:rPr>
            </w:pPr>
            <w:r w:rsidRPr="00AB66AE">
              <w:rPr>
                <w:sz w:val="20"/>
              </w:rPr>
              <w:t>84.21</w:t>
            </w:r>
          </w:p>
        </w:tc>
        <w:tc>
          <w:tcPr>
            <w:tcW w:w="1170" w:type="dxa"/>
            <w:vAlign w:val="center"/>
          </w:tcPr>
          <w:p w:rsidR="00DA5614" w:rsidRPr="00AB66AE" w:rsidRDefault="00DA5614" w:rsidP="00E0076F">
            <w:pPr>
              <w:pStyle w:val="NoSpacing"/>
              <w:jc w:val="center"/>
              <w:rPr>
                <w:sz w:val="20"/>
              </w:rPr>
            </w:pPr>
            <w:r w:rsidRPr="00AB66AE">
              <w:rPr>
                <w:sz w:val="20"/>
              </w:rPr>
              <w:t>77.36</w:t>
            </w:r>
          </w:p>
        </w:tc>
        <w:tc>
          <w:tcPr>
            <w:tcW w:w="1170" w:type="dxa"/>
            <w:vAlign w:val="center"/>
          </w:tcPr>
          <w:p w:rsidR="00DA5614" w:rsidRPr="00AB66AE" w:rsidRDefault="00DA5614" w:rsidP="00E0076F">
            <w:pPr>
              <w:pStyle w:val="NoSpacing"/>
              <w:jc w:val="center"/>
              <w:rPr>
                <w:sz w:val="20"/>
              </w:rPr>
            </w:pPr>
            <w:r w:rsidRPr="00AB66AE">
              <w:rPr>
                <w:sz w:val="20"/>
              </w:rPr>
              <w:t>92.86</w:t>
            </w:r>
          </w:p>
        </w:tc>
      </w:tr>
      <w:tr w:rsidR="00162252" w:rsidRPr="00AB66AE" w:rsidTr="00DA5614">
        <w:tc>
          <w:tcPr>
            <w:tcW w:w="1188" w:type="dxa"/>
            <w:vMerge/>
            <w:vAlign w:val="center"/>
          </w:tcPr>
          <w:p w:rsidR="00162252" w:rsidRPr="00AB66AE" w:rsidRDefault="00162252" w:rsidP="00E0076F">
            <w:pPr>
              <w:pStyle w:val="NoSpacing"/>
              <w:jc w:val="center"/>
              <w:rPr>
                <w:sz w:val="20"/>
              </w:rPr>
            </w:pPr>
          </w:p>
        </w:tc>
        <w:tc>
          <w:tcPr>
            <w:tcW w:w="1620" w:type="dxa"/>
            <w:vMerge w:val="restart"/>
            <w:vAlign w:val="center"/>
          </w:tcPr>
          <w:p w:rsidR="00162252" w:rsidRPr="00AB66AE" w:rsidRDefault="00162252" w:rsidP="00E0076F">
            <w:pPr>
              <w:pStyle w:val="NoSpacing"/>
              <w:jc w:val="center"/>
              <w:rPr>
                <w:sz w:val="20"/>
              </w:rPr>
            </w:pPr>
            <w:r w:rsidRPr="00AB66AE">
              <w:rPr>
                <w:sz w:val="20"/>
              </w:rPr>
              <w:t>ITC + Ridge regrerssion</w:t>
            </w:r>
          </w:p>
        </w:tc>
        <w:tc>
          <w:tcPr>
            <w:tcW w:w="1620" w:type="dxa"/>
            <w:vAlign w:val="center"/>
          </w:tcPr>
          <w:p w:rsidR="00162252" w:rsidRPr="00AB66AE" w:rsidRDefault="00162252" w:rsidP="00E0076F">
            <w:pPr>
              <w:pStyle w:val="NoSpacing"/>
              <w:jc w:val="center"/>
              <w:rPr>
                <w:sz w:val="20"/>
              </w:rPr>
            </w:pPr>
            <w:r w:rsidRPr="00AB66AE">
              <w:rPr>
                <w:sz w:val="20"/>
              </w:rPr>
              <w:t>TS</w:t>
            </w:r>
          </w:p>
        </w:tc>
        <w:tc>
          <w:tcPr>
            <w:tcW w:w="1620" w:type="dxa"/>
            <w:vAlign w:val="center"/>
          </w:tcPr>
          <w:p w:rsidR="00162252" w:rsidRPr="00AB66AE" w:rsidRDefault="00162252" w:rsidP="005B0C70">
            <w:pPr>
              <w:pStyle w:val="NoSpacing"/>
              <w:jc w:val="center"/>
              <w:rPr>
                <w:sz w:val="20"/>
              </w:rPr>
            </w:pPr>
            <w:r>
              <w:rPr>
                <w:sz w:val="20"/>
              </w:rPr>
              <w:t>108</w:t>
            </w:r>
          </w:p>
        </w:tc>
        <w:tc>
          <w:tcPr>
            <w:tcW w:w="1710" w:type="dxa"/>
            <w:vAlign w:val="center"/>
          </w:tcPr>
          <w:p w:rsidR="00162252" w:rsidRPr="00AB66AE" w:rsidRDefault="00162252" w:rsidP="00E0076F">
            <w:pPr>
              <w:pStyle w:val="NoSpacing"/>
              <w:jc w:val="center"/>
              <w:rPr>
                <w:sz w:val="20"/>
              </w:rPr>
            </w:pPr>
            <w:r w:rsidRPr="00AB66AE">
              <w:rPr>
                <w:sz w:val="20"/>
              </w:rPr>
              <w:t>88.42</w:t>
            </w:r>
          </w:p>
        </w:tc>
        <w:tc>
          <w:tcPr>
            <w:tcW w:w="1170" w:type="dxa"/>
            <w:vAlign w:val="center"/>
          </w:tcPr>
          <w:p w:rsidR="00162252" w:rsidRPr="00AB66AE" w:rsidRDefault="00162252" w:rsidP="00E0076F">
            <w:pPr>
              <w:pStyle w:val="NoSpacing"/>
              <w:jc w:val="center"/>
              <w:rPr>
                <w:sz w:val="20"/>
              </w:rPr>
            </w:pPr>
            <w:r w:rsidRPr="00AB66AE">
              <w:rPr>
                <w:sz w:val="20"/>
              </w:rPr>
              <w:t>90.57</w:t>
            </w:r>
          </w:p>
        </w:tc>
        <w:tc>
          <w:tcPr>
            <w:tcW w:w="1170" w:type="dxa"/>
            <w:vAlign w:val="center"/>
          </w:tcPr>
          <w:p w:rsidR="00162252" w:rsidRPr="00AB66AE" w:rsidRDefault="00162252" w:rsidP="00E0076F">
            <w:pPr>
              <w:pStyle w:val="NoSpacing"/>
              <w:jc w:val="center"/>
              <w:rPr>
                <w:sz w:val="20"/>
              </w:rPr>
            </w:pPr>
            <w:r w:rsidRPr="00AB66AE">
              <w:rPr>
                <w:sz w:val="20"/>
              </w:rPr>
              <w:t>85.71</w:t>
            </w:r>
          </w:p>
        </w:tc>
      </w:tr>
      <w:tr w:rsidR="00162252" w:rsidRPr="00AB66AE" w:rsidTr="00DA5614">
        <w:tc>
          <w:tcPr>
            <w:tcW w:w="1188" w:type="dxa"/>
            <w:vMerge/>
            <w:vAlign w:val="center"/>
          </w:tcPr>
          <w:p w:rsidR="00162252" w:rsidRPr="00AB66AE" w:rsidRDefault="00162252" w:rsidP="00E0076F">
            <w:pPr>
              <w:pStyle w:val="NoSpacing"/>
              <w:jc w:val="center"/>
              <w:rPr>
                <w:sz w:val="20"/>
              </w:rPr>
            </w:pPr>
          </w:p>
        </w:tc>
        <w:tc>
          <w:tcPr>
            <w:tcW w:w="1620" w:type="dxa"/>
            <w:vMerge/>
            <w:vAlign w:val="center"/>
          </w:tcPr>
          <w:p w:rsidR="00162252" w:rsidRPr="00AB66AE" w:rsidRDefault="00162252" w:rsidP="00E0076F">
            <w:pPr>
              <w:pStyle w:val="NoSpacing"/>
              <w:jc w:val="center"/>
              <w:rPr>
                <w:sz w:val="20"/>
              </w:rPr>
            </w:pPr>
          </w:p>
        </w:tc>
        <w:tc>
          <w:tcPr>
            <w:tcW w:w="1620" w:type="dxa"/>
            <w:vAlign w:val="center"/>
          </w:tcPr>
          <w:p w:rsidR="00162252" w:rsidRPr="00AB66AE" w:rsidRDefault="00162252" w:rsidP="00E0076F">
            <w:pPr>
              <w:pStyle w:val="NoSpacing"/>
              <w:jc w:val="center"/>
              <w:rPr>
                <w:sz w:val="20"/>
              </w:rPr>
            </w:pPr>
            <w:r w:rsidRPr="00AB66AE">
              <w:rPr>
                <w:sz w:val="20"/>
              </w:rPr>
              <w:t>TS+TC</w:t>
            </w:r>
          </w:p>
        </w:tc>
        <w:tc>
          <w:tcPr>
            <w:tcW w:w="1620" w:type="dxa"/>
            <w:vAlign w:val="center"/>
          </w:tcPr>
          <w:p w:rsidR="00162252" w:rsidRPr="00AB66AE" w:rsidRDefault="00162252" w:rsidP="005B0C70">
            <w:pPr>
              <w:pStyle w:val="NoSpacing"/>
              <w:jc w:val="center"/>
              <w:rPr>
                <w:sz w:val="20"/>
              </w:rPr>
            </w:pPr>
            <w:r>
              <w:rPr>
                <w:sz w:val="20"/>
              </w:rPr>
              <w:t>266</w:t>
            </w:r>
          </w:p>
        </w:tc>
        <w:tc>
          <w:tcPr>
            <w:tcW w:w="1710" w:type="dxa"/>
            <w:vAlign w:val="center"/>
          </w:tcPr>
          <w:p w:rsidR="00162252" w:rsidRPr="00AB66AE" w:rsidRDefault="00162252" w:rsidP="00E0076F">
            <w:pPr>
              <w:pStyle w:val="NoSpacing"/>
              <w:jc w:val="center"/>
              <w:rPr>
                <w:sz w:val="20"/>
              </w:rPr>
            </w:pPr>
            <w:r w:rsidRPr="00AB66AE">
              <w:rPr>
                <w:sz w:val="20"/>
              </w:rPr>
              <w:t>86.32</w:t>
            </w:r>
          </w:p>
        </w:tc>
        <w:tc>
          <w:tcPr>
            <w:tcW w:w="1170" w:type="dxa"/>
            <w:vAlign w:val="center"/>
          </w:tcPr>
          <w:p w:rsidR="00162252" w:rsidRPr="00AB66AE" w:rsidRDefault="00162252" w:rsidP="00E0076F">
            <w:pPr>
              <w:pStyle w:val="NoSpacing"/>
              <w:jc w:val="center"/>
              <w:rPr>
                <w:sz w:val="20"/>
              </w:rPr>
            </w:pPr>
            <w:r w:rsidRPr="00AB66AE">
              <w:rPr>
                <w:sz w:val="20"/>
              </w:rPr>
              <w:t>88.68</w:t>
            </w:r>
          </w:p>
        </w:tc>
        <w:tc>
          <w:tcPr>
            <w:tcW w:w="1170" w:type="dxa"/>
            <w:vAlign w:val="center"/>
          </w:tcPr>
          <w:p w:rsidR="00162252" w:rsidRPr="00AB66AE" w:rsidRDefault="00162252" w:rsidP="00E0076F">
            <w:pPr>
              <w:pStyle w:val="NoSpacing"/>
              <w:jc w:val="center"/>
              <w:rPr>
                <w:sz w:val="20"/>
              </w:rPr>
            </w:pPr>
            <w:r w:rsidRPr="00AB66AE">
              <w:rPr>
                <w:sz w:val="20"/>
              </w:rPr>
              <w:t>83.33</w:t>
            </w:r>
          </w:p>
        </w:tc>
      </w:tr>
      <w:tr w:rsidR="00162252" w:rsidRPr="00AB66AE" w:rsidTr="00DA5614">
        <w:tc>
          <w:tcPr>
            <w:tcW w:w="1188" w:type="dxa"/>
            <w:vMerge/>
            <w:vAlign w:val="center"/>
          </w:tcPr>
          <w:p w:rsidR="00162252" w:rsidRPr="00AB66AE" w:rsidRDefault="00162252" w:rsidP="00E0076F">
            <w:pPr>
              <w:pStyle w:val="NoSpacing"/>
              <w:jc w:val="center"/>
              <w:rPr>
                <w:sz w:val="20"/>
              </w:rPr>
            </w:pPr>
          </w:p>
        </w:tc>
        <w:tc>
          <w:tcPr>
            <w:tcW w:w="1620" w:type="dxa"/>
            <w:vMerge/>
            <w:vAlign w:val="center"/>
          </w:tcPr>
          <w:p w:rsidR="00162252" w:rsidRPr="00AB66AE" w:rsidRDefault="00162252" w:rsidP="00E0076F">
            <w:pPr>
              <w:pStyle w:val="NoSpacing"/>
              <w:jc w:val="center"/>
              <w:rPr>
                <w:sz w:val="20"/>
              </w:rPr>
            </w:pPr>
          </w:p>
        </w:tc>
        <w:tc>
          <w:tcPr>
            <w:tcW w:w="1620" w:type="dxa"/>
            <w:vAlign w:val="center"/>
          </w:tcPr>
          <w:p w:rsidR="00162252" w:rsidRPr="00AB66AE" w:rsidRDefault="00162252" w:rsidP="00E0076F">
            <w:pPr>
              <w:pStyle w:val="NoSpacing"/>
              <w:jc w:val="center"/>
              <w:rPr>
                <w:sz w:val="20"/>
              </w:rPr>
            </w:pPr>
            <w:r w:rsidRPr="00AB66AE">
              <w:rPr>
                <w:sz w:val="20"/>
              </w:rPr>
              <w:t>TS+TC+3D</w:t>
            </w:r>
          </w:p>
        </w:tc>
        <w:tc>
          <w:tcPr>
            <w:tcW w:w="1620" w:type="dxa"/>
            <w:vAlign w:val="center"/>
          </w:tcPr>
          <w:p w:rsidR="00162252" w:rsidRPr="00AB66AE" w:rsidRDefault="00162252" w:rsidP="005B0C70">
            <w:pPr>
              <w:pStyle w:val="NoSpacing"/>
              <w:jc w:val="center"/>
              <w:rPr>
                <w:sz w:val="20"/>
              </w:rPr>
            </w:pPr>
            <w:r w:rsidRPr="00AB66AE">
              <w:rPr>
                <w:sz w:val="20"/>
              </w:rPr>
              <w:t>269</w:t>
            </w:r>
          </w:p>
        </w:tc>
        <w:tc>
          <w:tcPr>
            <w:tcW w:w="1710" w:type="dxa"/>
            <w:vAlign w:val="center"/>
          </w:tcPr>
          <w:p w:rsidR="00162252" w:rsidRPr="00AB66AE" w:rsidRDefault="00162252" w:rsidP="00E0076F">
            <w:pPr>
              <w:pStyle w:val="NoSpacing"/>
              <w:jc w:val="center"/>
              <w:rPr>
                <w:sz w:val="20"/>
              </w:rPr>
            </w:pPr>
            <w:r w:rsidRPr="00AB66AE">
              <w:rPr>
                <w:sz w:val="20"/>
              </w:rPr>
              <w:t>88.42</w:t>
            </w:r>
          </w:p>
        </w:tc>
        <w:tc>
          <w:tcPr>
            <w:tcW w:w="1170" w:type="dxa"/>
            <w:vAlign w:val="center"/>
          </w:tcPr>
          <w:p w:rsidR="00162252" w:rsidRPr="00AB66AE" w:rsidRDefault="00162252" w:rsidP="00E0076F">
            <w:pPr>
              <w:pStyle w:val="NoSpacing"/>
              <w:jc w:val="center"/>
              <w:rPr>
                <w:sz w:val="20"/>
              </w:rPr>
            </w:pPr>
            <w:r w:rsidRPr="00AB66AE">
              <w:rPr>
                <w:sz w:val="20"/>
              </w:rPr>
              <w:t>92.45</w:t>
            </w:r>
          </w:p>
        </w:tc>
        <w:tc>
          <w:tcPr>
            <w:tcW w:w="1170" w:type="dxa"/>
            <w:vAlign w:val="center"/>
          </w:tcPr>
          <w:p w:rsidR="00162252" w:rsidRPr="00AB66AE" w:rsidRDefault="00162252" w:rsidP="00E0076F">
            <w:pPr>
              <w:pStyle w:val="NoSpacing"/>
              <w:jc w:val="center"/>
              <w:rPr>
                <w:sz w:val="20"/>
              </w:rPr>
            </w:pPr>
            <w:r w:rsidRPr="00AB66AE">
              <w:rPr>
                <w:sz w:val="20"/>
              </w:rPr>
              <w:t>83.33</w:t>
            </w:r>
          </w:p>
        </w:tc>
      </w:tr>
      <w:tr w:rsidR="00162252" w:rsidRPr="00AB66AE" w:rsidTr="00DA5614">
        <w:tc>
          <w:tcPr>
            <w:tcW w:w="1188" w:type="dxa"/>
            <w:vMerge/>
            <w:vAlign w:val="center"/>
          </w:tcPr>
          <w:p w:rsidR="00162252" w:rsidRPr="00AB66AE" w:rsidRDefault="00162252" w:rsidP="00E0076F">
            <w:pPr>
              <w:pStyle w:val="NoSpacing"/>
              <w:jc w:val="center"/>
              <w:rPr>
                <w:sz w:val="20"/>
              </w:rPr>
            </w:pPr>
          </w:p>
        </w:tc>
        <w:tc>
          <w:tcPr>
            <w:tcW w:w="1620" w:type="dxa"/>
            <w:vMerge/>
            <w:vAlign w:val="center"/>
          </w:tcPr>
          <w:p w:rsidR="00162252" w:rsidRPr="00AB66AE" w:rsidRDefault="00162252" w:rsidP="00E0076F">
            <w:pPr>
              <w:pStyle w:val="NoSpacing"/>
              <w:jc w:val="center"/>
              <w:rPr>
                <w:sz w:val="20"/>
              </w:rPr>
            </w:pPr>
          </w:p>
        </w:tc>
        <w:tc>
          <w:tcPr>
            <w:tcW w:w="1620" w:type="dxa"/>
            <w:vAlign w:val="center"/>
          </w:tcPr>
          <w:p w:rsidR="00162252" w:rsidRPr="00AB66AE" w:rsidRDefault="00162252" w:rsidP="00E0076F">
            <w:pPr>
              <w:pStyle w:val="NoSpacing"/>
              <w:jc w:val="center"/>
              <w:rPr>
                <w:sz w:val="20"/>
              </w:rPr>
            </w:pPr>
            <w:r w:rsidRPr="00AB66AE">
              <w:rPr>
                <w:sz w:val="20"/>
              </w:rPr>
              <w:t>TS+TC+3D+QC</w:t>
            </w:r>
          </w:p>
        </w:tc>
        <w:tc>
          <w:tcPr>
            <w:tcW w:w="1620" w:type="dxa"/>
            <w:vAlign w:val="center"/>
          </w:tcPr>
          <w:p w:rsidR="00162252" w:rsidRPr="00AB66AE" w:rsidRDefault="00162252" w:rsidP="005B0C70">
            <w:pPr>
              <w:pStyle w:val="NoSpacing"/>
              <w:jc w:val="center"/>
              <w:rPr>
                <w:sz w:val="20"/>
              </w:rPr>
            </w:pPr>
            <w:r w:rsidRPr="00AB66AE">
              <w:rPr>
                <w:sz w:val="20"/>
              </w:rPr>
              <w:t>275</w:t>
            </w:r>
          </w:p>
        </w:tc>
        <w:tc>
          <w:tcPr>
            <w:tcW w:w="1710" w:type="dxa"/>
            <w:vAlign w:val="center"/>
          </w:tcPr>
          <w:p w:rsidR="00162252" w:rsidRPr="00AB66AE" w:rsidRDefault="00162252" w:rsidP="00E0076F">
            <w:pPr>
              <w:pStyle w:val="NoSpacing"/>
              <w:jc w:val="center"/>
              <w:rPr>
                <w:sz w:val="20"/>
              </w:rPr>
            </w:pPr>
            <w:r w:rsidRPr="00AB66AE">
              <w:rPr>
                <w:sz w:val="20"/>
              </w:rPr>
              <w:t>85.26</w:t>
            </w:r>
          </w:p>
        </w:tc>
        <w:tc>
          <w:tcPr>
            <w:tcW w:w="1170" w:type="dxa"/>
            <w:vAlign w:val="center"/>
          </w:tcPr>
          <w:p w:rsidR="00162252" w:rsidRPr="00AB66AE" w:rsidRDefault="00162252" w:rsidP="00E0076F">
            <w:pPr>
              <w:pStyle w:val="NoSpacing"/>
              <w:jc w:val="center"/>
              <w:rPr>
                <w:sz w:val="20"/>
              </w:rPr>
            </w:pPr>
            <w:r w:rsidRPr="00AB66AE">
              <w:rPr>
                <w:sz w:val="20"/>
              </w:rPr>
              <w:t>88.68</w:t>
            </w:r>
          </w:p>
        </w:tc>
        <w:tc>
          <w:tcPr>
            <w:tcW w:w="1170" w:type="dxa"/>
            <w:vAlign w:val="center"/>
          </w:tcPr>
          <w:p w:rsidR="00162252" w:rsidRPr="00AB66AE" w:rsidRDefault="00162252" w:rsidP="00E0076F">
            <w:pPr>
              <w:pStyle w:val="NoSpacing"/>
              <w:jc w:val="center"/>
              <w:rPr>
                <w:sz w:val="20"/>
              </w:rPr>
            </w:pPr>
            <w:r w:rsidRPr="00AB66AE">
              <w:rPr>
                <w:sz w:val="20"/>
              </w:rPr>
              <w:t>80.95</w:t>
            </w:r>
          </w:p>
        </w:tc>
      </w:tr>
    </w:tbl>
    <w:p w:rsidR="0022428C" w:rsidRPr="00831D4B" w:rsidRDefault="0022428C" w:rsidP="0022428C">
      <w:pPr>
        <w:spacing w:before="240" w:after="240"/>
        <w:jc w:val="left"/>
        <w:rPr>
          <w:i/>
          <w:lang w:eastAsia="en-US"/>
        </w:rPr>
      </w:pPr>
      <w:r w:rsidRPr="00831D4B">
        <w:rPr>
          <w:i/>
          <w:lang w:eastAsia="en-US"/>
        </w:rPr>
        <w:t>2.2. Discussion</w:t>
      </w:r>
    </w:p>
    <w:p w:rsidR="0022428C" w:rsidRPr="00AB66AE" w:rsidRDefault="0022428C" w:rsidP="0022428C">
      <w:pPr>
        <w:ind w:firstLine="284"/>
        <w:rPr>
          <w:lang w:eastAsia="en-US"/>
        </w:rPr>
      </w:pPr>
      <w:r>
        <w:rPr>
          <w:lang w:eastAsia="en-US"/>
        </w:rPr>
        <w:t>The findings in this study are in line with the ‘Diversity Begets Diversity Principle’ by Basak [ref galley paper]. According to this principle, the most efficient (in terms of computational load and number of variables considered) predictive model for a certain set of chemical molecules depends on the composition of the dataset and the variability within sample compounds. While a limited number and type of descriptors are enough to obtain quality QSAR models for homogenous compounds from a particular family of chemical compounds, one needs more and more types of molecular descriptors to obtain a comparable model for a more diverse set of sample compounds. Here we were able to obtain good prediction performance using only one type of descriptor (TS) for the 95-compound dataset consisting of amines, and progressively adding more types of compounds didn’t improve the prediction performance.</w:t>
      </w:r>
      <w:r w:rsidR="00B43DDB">
        <w:rPr>
          <w:lang w:eastAsia="en-US"/>
        </w:rPr>
        <w:t xml:space="preserve"> There was some effect of variable selection as well. But when we consider the larger, more diverse set of compounds, there is a large improvement when TC descriptors are added, although the best performing model is not as good as the one on the smaller dataset.</w:t>
      </w:r>
    </w:p>
    <w:p w:rsidR="00ED2DE7" w:rsidRPr="00AB66AE" w:rsidRDefault="00ED2DE7" w:rsidP="00E0076F">
      <w:pPr>
        <w:spacing w:before="240" w:after="240"/>
        <w:jc w:val="left"/>
        <w:rPr>
          <w:b/>
          <w:lang w:eastAsia="en-US"/>
        </w:rPr>
      </w:pPr>
      <w:r w:rsidRPr="00AB66AE">
        <w:rPr>
          <w:b/>
          <w:lang w:eastAsia="zh-CN"/>
        </w:rPr>
        <w:lastRenderedPageBreak/>
        <w:t xml:space="preserve">3. </w:t>
      </w:r>
      <w:r w:rsidRPr="00AB66AE">
        <w:rPr>
          <w:b/>
          <w:lang w:eastAsia="en-US"/>
        </w:rPr>
        <w:t xml:space="preserve">Experimental Section </w:t>
      </w:r>
    </w:p>
    <w:p w:rsidR="003E27ED" w:rsidRPr="00AB66AE" w:rsidRDefault="00BA6628" w:rsidP="00E0076F">
      <w:pPr>
        <w:rPr>
          <w:i/>
          <w:lang w:eastAsia="en-US"/>
        </w:rPr>
      </w:pPr>
      <w:r w:rsidRPr="00AB66AE">
        <w:rPr>
          <w:i/>
          <w:lang w:eastAsia="en-US"/>
        </w:rPr>
        <w:t>3.1. Data</w:t>
      </w:r>
    </w:p>
    <w:p w:rsidR="003E27ED" w:rsidRPr="00AB66AE" w:rsidRDefault="003E27ED" w:rsidP="00E0076F">
      <w:pPr>
        <w:rPr>
          <w:lang w:eastAsia="en-US"/>
        </w:rPr>
      </w:pPr>
    </w:p>
    <w:p w:rsidR="00A17640" w:rsidRDefault="00BA6628" w:rsidP="00E0076F">
      <w:pPr>
        <w:ind w:firstLine="270"/>
        <w:rPr>
          <w:lang w:eastAsia="en-US"/>
        </w:rPr>
      </w:pPr>
      <w:r w:rsidRPr="00AB66AE">
        <w:rPr>
          <w:lang w:eastAsia="en-US"/>
        </w:rPr>
        <w:t xml:space="preserve">The dataset </w:t>
      </w:r>
      <w:r w:rsidR="00B474E5" w:rsidRPr="00AB66AE">
        <w:rPr>
          <w:lang w:eastAsia="en-US"/>
        </w:rPr>
        <w:t xml:space="preserve">used in our analysis </w:t>
      </w:r>
      <w:r w:rsidRPr="00AB66AE">
        <w:rPr>
          <w:lang w:eastAsia="en-US"/>
        </w:rPr>
        <w:t xml:space="preserve">is due to Debnath </w:t>
      </w:r>
      <w:r w:rsidRPr="00AB66AE">
        <w:rPr>
          <w:i/>
          <w:lang w:eastAsia="en-US"/>
        </w:rPr>
        <w:t>et al</w:t>
      </w:r>
      <w:r w:rsidRPr="00AB66AE">
        <w:rPr>
          <w:lang w:eastAsia="en-US"/>
        </w:rPr>
        <w:t xml:space="preserve"> [</w:t>
      </w:r>
      <w:r w:rsidR="0042018A" w:rsidRPr="00AB66AE">
        <w:rPr>
          <w:lang w:eastAsia="en-US"/>
        </w:rPr>
        <w:t>debnath</w:t>
      </w:r>
      <w:r w:rsidRPr="00AB66AE">
        <w:rPr>
          <w:lang w:eastAsia="en-US"/>
        </w:rPr>
        <w:t xml:space="preserve">] and concerns mutagenic activities of 95 aromatic and heteroaromatic amines in </w:t>
      </w:r>
      <w:r w:rsidRPr="00AB66AE">
        <w:rPr>
          <w:i/>
          <w:lang w:eastAsia="en-US"/>
        </w:rPr>
        <w:t>S. typhimurium</w:t>
      </w:r>
      <w:r w:rsidRPr="00AB66AE">
        <w:rPr>
          <w:lang w:eastAsia="en-US"/>
        </w:rPr>
        <w:t xml:space="preserve"> TA98+S9 microsomal preparations. There are 275 descriptors for each compound: among them 97 topostructural</w:t>
      </w:r>
      <w:r w:rsidR="00331BFF">
        <w:rPr>
          <w:lang w:eastAsia="en-US"/>
        </w:rPr>
        <w:t xml:space="preserve"> (TS)</w:t>
      </w:r>
      <w:r w:rsidRPr="00AB66AE">
        <w:rPr>
          <w:lang w:eastAsia="en-US"/>
        </w:rPr>
        <w:t>, 162 topochemical</w:t>
      </w:r>
      <w:r w:rsidR="00331BFF">
        <w:rPr>
          <w:lang w:eastAsia="en-US"/>
        </w:rPr>
        <w:t xml:space="preserve"> (TC)</w:t>
      </w:r>
      <w:r w:rsidRPr="00AB66AE">
        <w:rPr>
          <w:lang w:eastAsia="en-US"/>
        </w:rPr>
        <w:t xml:space="preserve">, 10 3-dimensional </w:t>
      </w:r>
      <w:r w:rsidR="00331BFF">
        <w:rPr>
          <w:lang w:eastAsia="en-US"/>
        </w:rPr>
        <w:t xml:space="preserve">(3D) </w:t>
      </w:r>
      <w:r w:rsidRPr="00AB66AE">
        <w:rPr>
          <w:lang w:eastAsia="en-US"/>
        </w:rPr>
        <w:t>and 6 quantum-chemical</w:t>
      </w:r>
      <w:r w:rsidR="00331BFF">
        <w:rPr>
          <w:lang w:eastAsia="en-US"/>
        </w:rPr>
        <w:t xml:space="preserve"> (QC)</w:t>
      </w:r>
      <w:r w:rsidRPr="00AB66AE">
        <w:rPr>
          <w:lang w:eastAsia="en-US"/>
        </w:rPr>
        <w:t xml:space="preserve">. Number of revertants per nmol of test culture in log scale </w:t>
      </w:r>
      <w:r w:rsidR="0013340E" w:rsidRPr="00AB66AE">
        <w:rPr>
          <w:lang w:eastAsia="en-US"/>
        </w:rPr>
        <w:t xml:space="preserve">(log </w:t>
      </w:r>
      <w:r w:rsidR="0013340E" w:rsidRPr="00AB66AE">
        <w:rPr>
          <w:i/>
          <w:lang w:eastAsia="en-US"/>
        </w:rPr>
        <w:t>R</w:t>
      </w:r>
      <w:r w:rsidR="0013340E" w:rsidRPr="00AB66AE">
        <w:rPr>
          <w:lang w:eastAsia="en-US"/>
        </w:rPr>
        <w:t xml:space="preserve">) </w:t>
      </w:r>
      <w:r w:rsidRPr="00AB66AE">
        <w:rPr>
          <w:lang w:eastAsia="en-US"/>
        </w:rPr>
        <w:t xml:space="preserve">is </w:t>
      </w:r>
      <w:r w:rsidR="0013340E" w:rsidRPr="00AB66AE">
        <w:rPr>
          <w:lang w:eastAsia="en-US"/>
        </w:rPr>
        <w:t>the original</w:t>
      </w:r>
      <w:r w:rsidRPr="00AB66AE">
        <w:rPr>
          <w:lang w:eastAsia="en-US"/>
        </w:rPr>
        <w:t xml:space="preserve"> response variable. For binary classification we </w:t>
      </w:r>
      <w:r w:rsidR="0013340E" w:rsidRPr="00AB66AE">
        <w:rPr>
          <w:lang w:eastAsia="en-US"/>
        </w:rPr>
        <w:t xml:space="preserve">take the 0/1 indicator log </w:t>
      </w:r>
      <w:r w:rsidR="0013340E" w:rsidRPr="00AB66AE">
        <w:rPr>
          <w:i/>
          <w:lang w:eastAsia="en-US"/>
        </w:rPr>
        <w:t>R</w:t>
      </w:r>
      <w:r w:rsidR="0013340E" w:rsidRPr="00AB66AE">
        <w:rPr>
          <w:lang w:eastAsia="en-US"/>
        </w:rPr>
        <w:t xml:space="preserve"> being &gt; 0 or &lt; 0 as the response variable in our analysis.</w:t>
      </w:r>
      <w:r w:rsidR="007A4C05" w:rsidRPr="00AB66AE">
        <w:rPr>
          <w:lang w:eastAsia="en-US"/>
        </w:rPr>
        <w:t xml:space="preserve"> At the original scale, this amounts to no. of revertants/nmol being greater/less than 1, respectively.</w:t>
      </w:r>
    </w:p>
    <w:p w:rsidR="0013340E" w:rsidRDefault="00B474E5" w:rsidP="00E0076F">
      <w:pPr>
        <w:ind w:firstLine="270"/>
        <w:rPr>
          <w:lang w:eastAsia="en-US"/>
        </w:rPr>
      </w:pPr>
      <w:r w:rsidRPr="00AB66AE">
        <w:rPr>
          <w:lang w:eastAsia="en-US"/>
        </w:rPr>
        <w:t xml:space="preserve">The </w:t>
      </w:r>
      <w:r w:rsidR="000A24DA" w:rsidRPr="00AB66AE">
        <w:rPr>
          <w:lang w:eastAsia="en-US"/>
        </w:rPr>
        <w:t xml:space="preserve">results obtained are compared with previous studies on a </w:t>
      </w:r>
      <w:r w:rsidRPr="00AB66AE">
        <w:rPr>
          <w:lang w:eastAsia="en-US"/>
        </w:rPr>
        <w:t xml:space="preserve">second, and </w:t>
      </w:r>
      <w:r w:rsidR="000A24DA" w:rsidRPr="00AB66AE">
        <w:rPr>
          <w:lang w:eastAsia="en-US"/>
        </w:rPr>
        <w:t xml:space="preserve">more </w:t>
      </w:r>
      <w:r w:rsidRPr="00AB66AE">
        <w:rPr>
          <w:lang w:eastAsia="en-US"/>
        </w:rPr>
        <w:t>diverse, dataset records Ames mutagenicity of 508 chemical compounds (256 mutagens and 252 non-mutagens), and is taken from the CRC Handbook of Identified Carcinogens and Non-carcinogens [</w:t>
      </w:r>
      <w:r w:rsidR="0042018A" w:rsidRPr="00AB66AE">
        <w:rPr>
          <w:lang w:eastAsia="en-US"/>
        </w:rPr>
        <w:t>crc</w:t>
      </w:r>
      <w:r w:rsidRPr="00AB66AE">
        <w:rPr>
          <w:lang w:eastAsia="en-US"/>
        </w:rPr>
        <w:t>]. The set of descriptors for these compounds includes the above type of descriptors, as well as a large number of Atom-pair (AP) descriptors.</w:t>
      </w:r>
    </w:p>
    <w:p w:rsidR="00331BFF" w:rsidRDefault="00331BFF" w:rsidP="00E0076F">
      <w:pPr>
        <w:ind w:firstLine="270"/>
        <w:rPr>
          <w:lang w:eastAsia="en-US"/>
        </w:rPr>
      </w:pPr>
      <w:r>
        <w:rPr>
          <w:lang w:eastAsia="en-US"/>
        </w:rPr>
        <w:t>Both datasets contain the same 3D and QC variables, while the TS and TC variables are slightly different. The numbers of each type of variables in them are summarized in Table 2. All variable names for both datasets are given in the supplementary material.</w:t>
      </w:r>
    </w:p>
    <w:p w:rsidR="00331BFF" w:rsidRDefault="00331BFF" w:rsidP="00331BFF">
      <w:pPr>
        <w:spacing w:before="240" w:after="120"/>
        <w:jc w:val="center"/>
        <w:rPr>
          <w:bCs/>
        </w:rPr>
      </w:pPr>
      <w:r w:rsidRPr="00AB66AE">
        <w:rPr>
          <w:b/>
        </w:rPr>
        <w:t xml:space="preserve">Table </w:t>
      </w:r>
      <w:r>
        <w:rPr>
          <w:b/>
        </w:rPr>
        <w:t>2</w:t>
      </w:r>
      <w:r w:rsidRPr="00AB66AE">
        <w:rPr>
          <w:b/>
        </w:rPr>
        <w:t>.</w:t>
      </w:r>
      <w:r w:rsidRPr="00AB66AE">
        <w:t xml:space="preserve"> </w:t>
      </w:r>
      <w:r>
        <w:rPr>
          <w:bCs/>
        </w:rPr>
        <w:t>Number of different types of variables in two datasets</w:t>
      </w:r>
    </w:p>
    <w:tbl>
      <w:tblPr>
        <w:tblStyle w:val="TableGrid"/>
        <w:tblW w:w="0" w:type="auto"/>
        <w:tblInd w:w="1005" w:type="dxa"/>
        <w:tblLayout w:type="fixed"/>
        <w:tblLook w:val="04A0" w:firstRow="1" w:lastRow="0" w:firstColumn="1" w:lastColumn="0" w:noHBand="0" w:noVBand="1"/>
      </w:tblPr>
      <w:tblGrid>
        <w:gridCol w:w="1800"/>
        <w:gridCol w:w="1530"/>
        <w:gridCol w:w="1440"/>
        <w:gridCol w:w="1530"/>
        <w:gridCol w:w="1983"/>
      </w:tblGrid>
      <w:tr w:rsidR="00331BFF" w:rsidTr="007F5B92">
        <w:trPr>
          <w:trHeight w:val="382"/>
        </w:trPr>
        <w:tc>
          <w:tcPr>
            <w:tcW w:w="1800" w:type="dxa"/>
            <w:vMerge w:val="restart"/>
            <w:vAlign w:val="center"/>
          </w:tcPr>
          <w:p w:rsidR="00331BFF" w:rsidRPr="00331BFF" w:rsidRDefault="00331BFF" w:rsidP="00331BFF">
            <w:pPr>
              <w:pStyle w:val="NoSpacing"/>
              <w:jc w:val="center"/>
              <w:rPr>
                <w:b/>
                <w:sz w:val="20"/>
                <w:lang w:eastAsia="en-US"/>
              </w:rPr>
            </w:pPr>
            <w:r w:rsidRPr="00331BFF">
              <w:rPr>
                <w:b/>
                <w:sz w:val="20"/>
                <w:lang w:eastAsia="en-US"/>
              </w:rPr>
              <w:t>Dataset</w:t>
            </w:r>
          </w:p>
        </w:tc>
        <w:tc>
          <w:tcPr>
            <w:tcW w:w="6483" w:type="dxa"/>
            <w:gridSpan w:val="4"/>
            <w:vAlign w:val="center"/>
          </w:tcPr>
          <w:p w:rsidR="00331BFF" w:rsidRPr="00331BFF" w:rsidRDefault="00331BFF" w:rsidP="00331BFF">
            <w:pPr>
              <w:pStyle w:val="NoSpacing"/>
              <w:jc w:val="center"/>
              <w:rPr>
                <w:b/>
                <w:sz w:val="20"/>
                <w:lang w:eastAsia="en-US"/>
              </w:rPr>
            </w:pPr>
            <w:r w:rsidRPr="00331BFF">
              <w:rPr>
                <w:b/>
                <w:sz w:val="20"/>
                <w:lang w:eastAsia="en-US"/>
              </w:rPr>
              <w:t>Number of variables for each type</w:t>
            </w:r>
          </w:p>
        </w:tc>
      </w:tr>
      <w:tr w:rsidR="00331BFF" w:rsidTr="007F5B92">
        <w:trPr>
          <w:trHeight w:val="391"/>
        </w:trPr>
        <w:tc>
          <w:tcPr>
            <w:tcW w:w="1800" w:type="dxa"/>
            <w:vMerge/>
            <w:vAlign w:val="center"/>
          </w:tcPr>
          <w:p w:rsidR="00331BFF" w:rsidRPr="00331BFF" w:rsidRDefault="00331BFF" w:rsidP="00331BFF">
            <w:pPr>
              <w:pStyle w:val="NoSpacing"/>
              <w:jc w:val="center"/>
              <w:rPr>
                <w:b/>
                <w:sz w:val="20"/>
                <w:lang w:eastAsia="en-US"/>
              </w:rPr>
            </w:pPr>
          </w:p>
        </w:tc>
        <w:tc>
          <w:tcPr>
            <w:tcW w:w="1530" w:type="dxa"/>
            <w:vAlign w:val="center"/>
          </w:tcPr>
          <w:p w:rsidR="00331BFF" w:rsidRPr="00331BFF" w:rsidRDefault="00331BFF" w:rsidP="00331BFF">
            <w:pPr>
              <w:pStyle w:val="NoSpacing"/>
              <w:jc w:val="center"/>
              <w:rPr>
                <w:b/>
                <w:sz w:val="20"/>
                <w:lang w:eastAsia="en-US"/>
              </w:rPr>
            </w:pPr>
            <w:r w:rsidRPr="00331BFF">
              <w:rPr>
                <w:b/>
                <w:sz w:val="20"/>
                <w:lang w:eastAsia="en-US"/>
              </w:rPr>
              <w:t>Topostructural</w:t>
            </w:r>
          </w:p>
        </w:tc>
        <w:tc>
          <w:tcPr>
            <w:tcW w:w="1440" w:type="dxa"/>
            <w:vAlign w:val="center"/>
          </w:tcPr>
          <w:p w:rsidR="00331BFF" w:rsidRPr="00331BFF" w:rsidRDefault="00331BFF" w:rsidP="00331BFF">
            <w:pPr>
              <w:pStyle w:val="NoSpacing"/>
              <w:jc w:val="center"/>
              <w:rPr>
                <w:b/>
                <w:sz w:val="20"/>
                <w:lang w:eastAsia="en-US"/>
              </w:rPr>
            </w:pPr>
            <w:r w:rsidRPr="00331BFF">
              <w:rPr>
                <w:b/>
                <w:sz w:val="20"/>
                <w:lang w:eastAsia="en-US"/>
              </w:rPr>
              <w:t>Topochemical</w:t>
            </w:r>
          </w:p>
        </w:tc>
        <w:tc>
          <w:tcPr>
            <w:tcW w:w="1530" w:type="dxa"/>
            <w:vAlign w:val="center"/>
          </w:tcPr>
          <w:p w:rsidR="00331BFF" w:rsidRPr="00331BFF" w:rsidRDefault="00331BFF" w:rsidP="00331BFF">
            <w:pPr>
              <w:pStyle w:val="NoSpacing"/>
              <w:jc w:val="center"/>
              <w:rPr>
                <w:b/>
                <w:sz w:val="20"/>
                <w:lang w:eastAsia="en-US"/>
              </w:rPr>
            </w:pPr>
            <w:r w:rsidRPr="00331BFF">
              <w:rPr>
                <w:b/>
                <w:sz w:val="20"/>
                <w:lang w:eastAsia="en-US"/>
              </w:rPr>
              <w:t>3-dimensional</w:t>
            </w:r>
          </w:p>
        </w:tc>
        <w:tc>
          <w:tcPr>
            <w:tcW w:w="1983" w:type="dxa"/>
            <w:vAlign w:val="center"/>
          </w:tcPr>
          <w:p w:rsidR="00331BFF" w:rsidRPr="00331BFF" w:rsidRDefault="00331BFF" w:rsidP="00331BFF">
            <w:pPr>
              <w:pStyle w:val="NoSpacing"/>
              <w:jc w:val="center"/>
              <w:rPr>
                <w:b/>
                <w:sz w:val="20"/>
                <w:lang w:eastAsia="en-US"/>
              </w:rPr>
            </w:pPr>
            <w:r w:rsidRPr="00331BFF">
              <w:rPr>
                <w:b/>
                <w:sz w:val="20"/>
                <w:lang w:eastAsia="en-US"/>
              </w:rPr>
              <w:t>Quantum-Chemical</w:t>
            </w:r>
          </w:p>
        </w:tc>
      </w:tr>
      <w:tr w:rsidR="00331BFF" w:rsidTr="007F5B92">
        <w:trPr>
          <w:trHeight w:val="418"/>
        </w:trPr>
        <w:tc>
          <w:tcPr>
            <w:tcW w:w="1800" w:type="dxa"/>
            <w:vAlign w:val="center"/>
          </w:tcPr>
          <w:p w:rsidR="00331BFF" w:rsidRPr="00331BFF" w:rsidRDefault="00331BFF" w:rsidP="00331BFF">
            <w:pPr>
              <w:pStyle w:val="NoSpacing"/>
              <w:jc w:val="center"/>
              <w:rPr>
                <w:b/>
                <w:sz w:val="20"/>
                <w:lang w:eastAsia="en-US"/>
              </w:rPr>
            </w:pPr>
            <w:r w:rsidRPr="00331BFF">
              <w:rPr>
                <w:b/>
                <w:sz w:val="20"/>
              </w:rPr>
              <w:t>508 compound diverse dataset</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103</w:t>
            </w:r>
          </w:p>
        </w:tc>
        <w:tc>
          <w:tcPr>
            <w:tcW w:w="1440" w:type="dxa"/>
            <w:vAlign w:val="center"/>
          </w:tcPr>
          <w:p w:rsidR="00331BFF" w:rsidRPr="00331BFF" w:rsidRDefault="00331BFF" w:rsidP="00331BFF">
            <w:pPr>
              <w:pStyle w:val="NoSpacing"/>
              <w:jc w:val="center"/>
              <w:rPr>
                <w:sz w:val="20"/>
                <w:lang w:eastAsia="en-US"/>
              </w:rPr>
            </w:pPr>
            <w:r w:rsidRPr="00331BFF">
              <w:rPr>
                <w:sz w:val="20"/>
                <w:lang w:eastAsia="en-US"/>
              </w:rPr>
              <w:t>195</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rsidR="00331BFF" w:rsidRPr="00331BFF" w:rsidRDefault="00331BFF" w:rsidP="00331BFF">
            <w:pPr>
              <w:pStyle w:val="NoSpacing"/>
              <w:jc w:val="center"/>
              <w:rPr>
                <w:sz w:val="20"/>
                <w:lang w:eastAsia="en-US"/>
              </w:rPr>
            </w:pPr>
            <w:r w:rsidRPr="00331BFF">
              <w:rPr>
                <w:sz w:val="20"/>
                <w:lang w:eastAsia="en-US"/>
              </w:rPr>
              <w:t>6</w:t>
            </w:r>
          </w:p>
        </w:tc>
      </w:tr>
      <w:tr w:rsidR="00331BFF" w:rsidTr="007F5B92">
        <w:trPr>
          <w:trHeight w:val="229"/>
        </w:trPr>
        <w:tc>
          <w:tcPr>
            <w:tcW w:w="1800" w:type="dxa"/>
            <w:vAlign w:val="center"/>
          </w:tcPr>
          <w:p w:rsidR="00331BFF" w:rsidRPr="00331BFF" w:rsidRDefault="00331BFF" w:rsidP="00331BFF">
            <w:pPr>
              <w:pStyle w:val="NoSpacing"/>
              <w:jc w:val="center"/>
              <w:rPr>
                <w:b/>
                <w:sz w:val="20"/>
                <w:lang w:eastAsia="en-US"/>
              </w:rPr>
            </w:pPr>
            <w:r w:rsidRPr="00331BFF">
              <w:rPr>
                <w:b/>
                <w:sz w:val="20"/>
              </w:rPr>
              <w:t>95 amines congeneric dataset</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108</w:t>
            </w:r>
          </w:p>
        </w:tc>
        <w:tc>
          <w:tcPr>
            <w:tcW w:w="1440" w:type="dxa"/>
            <w:vAlign w:val="center"/>
          </w:tcPr>
          <w:p w:rsidR="00331BFF" w:rsidRPr="00331BFF" w:rsidRDefault="00331BFF" w:rsidP="00331BFF">
            <w:pPr>
              <w:pStyle w:val="NoSpacing"/>
              <w:jc w:val="center"/>
              <w:rPr>
                <w:sz w:val="20"/>
                <w:lang w:eastAsia="en-US"/>
              </w:rPr>
            </w:pPr>
            <w:r w:rsidRPr="00331BFF">
              <w:rPr>
                <w:sz w:val="20"/>
                <w:lang w:eastAsia="en-US"/>
              </w:rPr>
              <w:t>158</w:t>
            </w:r>
          </w:p>
        </w:tc>
        <w:tc>
          <w:tcPr>
            <w:tcW w:w="1530" w:type="dxa"/>
            <w:vAlign w:val="center"/>
          </w:tcPr>
          <w:p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rsidR="00331BFF" w:rsidRPr="00331BFF" w:rsidRDefault="00331BFF" w:rsidP="00331BFF">
            <w:pPr>
              <w:pStyle w:val="NoSpacing"/>
              <w:jc w:val="center"/>
              <w:rPr>
                <w:sz w:val="20"/>
                <w:lang w:eastAsia="en-US"/>
              </w:rPr>
            </w:pPr>
            <w:r w:rsidRPr="00331BFF">
              <w:rPr>
                <w:sz w:val="20"/>
                <w:lang w:eastAsia="en-US"/>
              </w:rPr>
              <w:t>6</w:t>
            </w:r>
          </w:p>
        </w:tc>
      </w:tr>
    </w:tbl>
    <w:p w:rsidR="00331BFF" w:rsidRPr="00AB66AE" w:rsidRDefault="00331BFF" w:rsidP="00331BFF">
      <w:pPr>
        <w:spacing w:before="240" w:after="120"/>
        <w:jc w:val="center"/>
        <w:rPr>
          <w:lang w:eastAsia="en-US"/>
        </w:rPr>
      </w:pPr>
    </w:p>
    <w:p w:rsidR="00B474E5" w:rsidRPr="00AB66AE" w:rsidRDefault="00B474E5" w:rsidP="00E0076F">
      <w:pPr>
        <w:rPr>
          <w:lang w:eastAsia="en-US"/>
        </w:rPr>
      </w:pPr>
    </w:p>
    <w:p w:rsidR="00B474E5" w:rsidRDefault="00B474E5" w:rsidP="00E0076F">
      <w:pPr>
        <w:rPr>
          <w:i/>
          <w:lang w:eastAsia="en-US"/>
        </w:rPr>
      </w:pPr>
      <w:r w:rsidRPr="00AB66AE">
        <w:rPr>
          <w:i/>
          <w:lang w:eastAsia="en-US"/>
        </w:rPr>
        <w:t xml:space="preserve">3.2. </w:t>
      </w:r>
      <w:r w:rsidR="009D0BC3">
        <w:rPr>
          <w:i/>
          <w:lang w:eastAsia="en-US"/>
        </w:rPr>
        <w:t>Descriptors</w:t>
      </w:r>
    </w:p>
    <w:p w:rsidR="009D0BC3" w:rsidRDefault="009D0BC3" w:rsidP="00E0076F">
      <w:pPr>
        <w:rPr>
          <w:lang w:eastAsia="en-US"/>
        </w:rPr>
      </w:pPr>
    </w:p>
    <w:p w:rsidR="009D0BC3" w:rsidRPr="009D0BC3" w:rsidRDefault="009D0BC3" w:rsidP="009D0BC3">
      <w:pPr>
        <w:ind w:firstLine="270"/>
        <w:rPr>
          <w:lang w:eastAsia="en-US"/>
        </w:rPr>
      </w:pPr>
      <w:r>
        <w:rPr>
          <w:lang w:eastAsia="en-US"/>
        </w:rPr>
        <w:t>&lt;Descriptor calculation deta</w:t>
      </w:r>
      <w:r w:rsidR="00E00739">
        <w:rPr>
          <w:lang w:eastAsia="en-US"/>
        </w:rPr>
        <w:t>i</w:t>
      </w:r>
      <w:r>
        <w:rPr>
          <w:lang w:eastAsia="en-US"/>
        </w:rPr>
        <w:t>ls&gt;</w:t>
      </w:r>
    </w:p>
    <w:p w:rsidR="009D0BC3" w:rsidRDefault="009D0BC3" w:rsidP="00E0076F">
      <w:pPr>
        <w:rPr>
          <w:i/>
          <w:lang w:eastAsia="en-US"/>
        </w:rPr>
      </w:pPr>
    </w:p>
    <w:p w:rsidR="009D0BC3" w:rsidRPr="00AB66AE" w:rsidRDefault="009D0BC3" w:rsidP="009D0BC3">
      <w:pPr>
        <w:rPr>
          <w:i/>
          <w:lang w:eastAsia="en-US"/>
        </w:rPr>
      </w:pPr>
      <w:r w:rsidRPr="00AB66AE">
        <w:rPr>
          <w:i/>
          <w:lang w:eastAsia="en-US"/>
        </w:rPr>
        <w:t>3.2. Methods</w:t>
      </w:r>
    </w:p>
    <w:p w:rsidR="00B474E5" w:rsidRPr="00AB66AE" w:rsidRDefault="00B474E5" w:rsidP="00E0076F">
      <w:pPr>
        <w:ind w:firstLine="270"/>
        <w:rPr>
          <w:lang w:eastAsia="en-US"/>
        </w:rPr>
      </w:pPr>
    </w:p>
    <w:p w:rsidR="003E27ED" w:rsidRPr="00AB66AE" w:rsidRDefault="003E27ED" w:rsidP="00E0076F">
      <w:pPr>
        <w:rPr>
          <w:lang w:eastAsia="en-US"/>
        </w:rPr>
      </w:pPr>
      <w:r w:rsidRPr="00AB66AE">
        <w:rPr>
          <w:lang w:eastAsia="en-US"/>
        </w:rPr>
        <w:t>3.2.1. Variable selection</w:t>
      </w:r>
    </w:p>
    <w:p w:rsidR="007A4C05" w:rsidRPr="00AB66AE" w:rsidRDefault="007A4C05" w:rsidP="00E0076F">
      <w:pPr>
        <w:rPr>
          <w:lang w:eastAsia="en-US"/>
        </w:rPr>
      </w:pPr>
    </w:p>
    <w:p w:rsidR="003E27ED" w:rsidRPr="00AB66AE" w:rsidRDefault="00700110" w:rsidP="00E0076F">
      <w:pPr>
        <w:ind w:firstLine="270"/>
        <w:rPr>
          <w:lang w:eastAsia="en-US"/>
        </w:rPr>
      </w:pPr>
      <w:r w:rsidRPr="00AB66AE">
        <w:rPr>
          <w:lang w:eastAsia="en-US"/>
        </w:rPr>
        <w:t>Because the number of samples (</w:t>
      </w:r>
      <w:r w:rsidRPr="00AB66AE">
        <w:rPr>
          <w:i/>
          <w:lang w:eastAsia="en-US"/>
        </w:rPr>
        <w:t>n</w:t>
      </w:r>
      <w:r w:rsidRPr="00AB66AE">
        <w:rPr>
          <w:lang w:eastAsia="en-US"/>
        </w:rPr>
        <w:t xml:space="preserve"> = 95) </w:t>
      </w:r>
      <w:r w:rsidR="00060AE5" w:rsidRPr="00AB66AE">
        <w:rPr>
          <w:lang w:eastAsia="en-US"/>
        </w:rPr>
        <w:t>is</w:t>
      </w:r>
      <w:r w:rsidRPr="00AB66AE">
        <w:rPr>
          <w:lang w:eastAsia="en-US"/>
        </w:rPr>
        <w:t xml:space="preserve"> smaller than the number of variables (</w:t>
      </w:r>
      <w:r w:rsidRPr="00AB66AE">
        <w:rPr>
          <w:i/>
          <w:lang w:eastAsia="en-US"/>
        </w:rPr>
        <w:t>p</w:t>
      </w:r>
      <w:r w:rsidRPr="00AB66AE">
        <w:rPr>
          <w:lang w:eastAsia="en-US"/>
        </w:rPr>
        <w:t xml:space="preserve"> = 275)</w:t>
      </w:r>
      <w:r w:rsidR="00060AE5" w:rsidRPr="00AB66AE">
        <w:rPr>
          <w:lang w:eastAsia="en-US"/>
        </w:rPr>
        <w:t>, regression-based methods of variable selection like stepwise forward and backward selection are not applicable in our scenario.</w:t>
      </w:r>
      <w:r w:rsidR="00183F70" w:rsidRPr="00AB66AE">
        <w:rPr>
          <w:lang w:eastAsia="en-US"/>
        </w:rPr>
        <w:t xml:space="preserve"> Here we use the Interrelated Two-way Clustering (ITC) algorithm to do the variable selection. This algorithm </w:t>
      </w:r>
      <w:r w:rsidR="006871D2" w:rsidRPr="00AB66AE">
        <w:rPr>
          <w:lang w:eastAsia="en-US"/>
        </w:rPr>
        <w:t xml:space="preserve">takes in a number of predictor groups, which are pre-determined or obtained by some known unsupervised clustering method (like K-means). It then </w:t>
      </w:r>
      <w:r w:rsidR="00183F70" w:rsidRPr="00AB66AE">
        <w:rPr>
          <w:lang w:eastAsia="en-US"/>
        </w:rPr>
        <w:t xml:space="preserve">hypothesizes that </w:t>
      </w:r>
      <w:r w:rsidR="006871D2" w:rsidRPr="00AB66AE">
        <w:rPr>
          <w:lang w:eastAsia="en-US"/>
        </w:rPr>
        <w:t xml:space="preserve">if </w:t>
      </w:r>
      <w:r w:rsidR="006871D2" w:rsidRPr="00AB66AE">
        <w:rPr>
          <w:lang w:eastAsia="en-US"/>
        </w:rPr>
        <w:lastRenderedPageBreak/>
        <w:t>we include only the important predictors and classify samples independently for each predictor groups, the classification should be identical. Keeping this in mind, an iterative procedure is used to eliminate predictors until the classifications based on different predictor groups achieve a certain level of similarity.</w:t>
      </w:r>
    </w:p>
    <w:p w:rsidR="006871D2" w:rsidRPr="00AB66AE" w:rsidRDefault="006871D2" w:rsidP="00E0076F">
      <w:pPr>
        <w:ind w:firstLine="270"/>
        <w:rPr>
          <w:lang w:eastAsia="en-US"/>
        </w:rPr>
      </w:pPr>
      <w:r w:rsidRPr="00AB66AE">
        <w:rPr>
          <w:lang w:eastAsia="en-US"/>
        </w:rPr>
        <w:t>A detailed description of the algorithm can be found in the original paper [</w:t>
      </w:r>
      <w:r w:rsidR="0042018A" w:rsidRPr="00AB66AE">
        <w:rPr>
          <w:lang w:eastAsia="en-US"/>
        </w:rPr>
        <w:t>itc</w:t>
      </w:r>
      <w:r w:rsidRPr="00AB66AE">
        <w:rPr>
          <w:lang w:eastAsia="en-US"/>
        </w:rPr>
        <w:t xml:space="preserve">], and its implementation in QSAR was done by Majumdar </w:t>
      </w:r>
      <w:r w:rsidRPr="00AB66AE">
        <w:rPr>
          <w:i/>
          <w:lang w:eastAsia="en-US"/>
        </w:rPr>
        <w:t>et al</w:t>
      </w:r>
      <w:r w:rsidRPr="00AB66AE">
        <w:rPr>
          <w:lang w:eastAsia="en-US"/>
        </w:rPr>
        <w:t xml:space="preserve"> [</w:t>
      </w:r>
      <w:r w:rsidR="0042018A" w:rsidRPr="00AB66AE">
        <w:rPr>
          <w:lang w:eastAsia="en-US"/>
        </w:rPr>
        <w:t>itc508</w:t>
      </w:r>
      <w:r w:rsidRPr="00AB66AE">
        <w:rPr>
          <w:lang w:eastAsia="en-US"/>
        </w:rPr>
        <w:t>].</w:t>
      </w:r>
    </w:p>
    <w:p w:rsidR="00700110" w:rsidRPr="00AB66AE" w:rsidRDefault="00700110" w:rsidP="00E0076F">
      <w:pPr>
        <w:rPr>
          <w:lang w:eastAsia="en-US"/>
        </w:rPr>
      </w:pPr>
    </w:p>
    <w:p w:rsidR="003E27ED" w:rsidRPr="00AB66AE" w:rsidRDefault="003E27ED" w:rsidP="00E0076F">
      <w:pPr>
        <w:rPr>
          <w:lang w:eastAsia="en-US"/>
        </w:rPr>
      </w:pPr>
      <w:r w:rsidRPr="00AB66AE">
        <w:rPr>
          <w:lang w:eastAsia="en-US"/>
        </w:rPr>
        <w:t>3.2.2. Hierarchical QSAR and predictive models</w:t>
      </w:r>
    </w:p>
    <w:p w:rsidR="003E27ED" w:rsidRPr="00AB66AE" w:rsidRDefault="003E27ED" w:rsidP="00E0076F">
      <w:pPr>
        <w:rPr>
          <w:lang w:eastAsia="en-US"/>
        </w:rPr>
      </w:pPr>
    </w:p>
    <w:p w:rsidR="003E27ED" w:rsidRPr="00AB66AE" w:rsidRDefault="00153C9F" w:rsidP="00E0076F">
      <w:pPr>
        <w:ind w:firstLine="270"/>
        <w:rPr>
          <w:lang w:eastAsia="en-US"/>
        </w:rPr>
      </w:pPr>
      <w:r w:rsidRPr="00AB66AE">
        <w:rPr>
          <w:lang w:eastAsia="en-US"/>
        </w:rPr>
        <w:t xml:space="preserve">We take a hierarchical approach to build the predictive model. Starting from topostructural variables, we keep on including topochemical, 3-dimensional and quantum-chemical variables and check predictive performance of all the models. To tackle high collinearity among different predictors, we use ridge regression to build our predictive models. Given </w:t>
      </w:r>
      <w:r w:rsidRPr="00AB66AE">
        <w:rPr>
          <w:i/>
          <w:lang w:eastAsia="en-US"/>
        </w:rPr>
        <w:t>n</w:t>
      </w:r>
      <w:r w:rsidRPr="00AB66AE">
        <w:rPr>
          <w:lang w:eastAsia="en-US"/>
        </w:rPr>
        <w:t xml:space="preserve"> samples and </w:t>
      </w:r>
      <w:r w:rsidRPr="00AB66AE">
        <w:rPr>
          <w:i/>
          <w:lang w:eastAsia="en-US"/>
        </w:rPr>
        <w:t>p</w:t>
      </w:r>
      <w:r w:rsidRPr="00AB66AE">
        <w:rPr>
          <w:lang w:eastAsia="en-US"/>
        </w:rPr>
        <w:t xml:space="preserve"> variables, the </w:t>
      </w:r>
      <w:r w:rsidRPr="00AB66AE">
        <w:rPr>
          <w:i/>
          <w:lang w:eastAsia="en-US"/>
        </w:rPr>
        <w:t xml:space="preserve">n </w:t>
      </w:r>
      <w:r w:rsidRPr="00AB66AE">
        <w:rPr>
          <w:lang w:eastAsia="en-US"/>
        </w:rPr>
        <w:t xml:space="preserve">× </w:t>
      </w:r>
      <w:r w:rsidRPr="00AB66AE">
        <w:rPr>
          <w:i/>
          <w:lang w:eastAsia="en-US"/>
        </w:rPr>
        <w:t>p</w:t>
      </w:r>
      <w:r w:rsidRPr="00AB66AE">
        <w:rPr>
          <w:lang w:eastAsia="en-US"/>
        </w:rPr>
        <w:t xml:space="preserve"> data matrix of predictors </w:t>
      </w:r>
      <w:r w:rsidRPr="00AB66AE">
        <w:rPr>
          <w:b/>
          <w:i/>
          <w:lang w:eastAsia="en-US"/>
        </w:rPr>
        <w:t>X</w:t>
      </w:r>
      <w:r w:rsidRPr="00AB66AE">
        <w:rPr>
          <w:b/>
          <w:lang w:eastAsia="en-US"/>
        </w:rPr>
        <w:t xml:space="preserve"> </w:t>
      </w:r>
      <w:r w:rsidRPr="00AB66AE">
        <w:rPr>
          <w:lang w:eastAsia="en-US"/>
        </w:rPr>
        <w:t xml:space="preserve">and </w:t>
      </w:r>
      <w:r w:rsidR="001C6046" w:rsidRPr="00AB66AE">
        <w:rPr>
          <w:i/>
          <w:lang w:eastAsia="en-US"/>
        </w:rPr>
        <w:t xml:space="preserve">n </w:t>
      </w:r>
      <w:r w:rsidR="001C6046" w:rsidRPr="00AB66AE">
        <w:rPr>
          <w:lang w:eastAsia="en-US"/>
        </w:rPr>
        <w:t xml:space="preserve">× </w:t>
      </w:r>
      <w:r w:rsidR="001C6046" w:rsidRPr="00AB66AE">
        <w:rPr>
          <w:i/>
          <w:lang w:eastAsia="en-US"/>
        </w:rPr>
        <w:t>1</w:t>
      </w:r>
      <w:r w:rsidRPr="00AB66AE">
        <w:rPr>
          <w:lang w:eastAsia="en-US"/>
        </w:rPr>
        <w:t xml:space="preserve"> vector of 0/1 responses </w:t>
      </w:r>
      <w:r w:rsidRPr="00AB66AE">
        <w:rPr>
          <w:b/>
          <w:i/>
          <w:lang w:eastAsia="en-US"/>
        </w:rPr>
        <w:t>Y</w:t>
      </w:r>
      <w:r w:rsidRPr="00AB66AE">
        <w:rPr>
          <w:lang w:eastAsia="en-US"/>
        </w:rPr>
        <w:t>, the vector of coefficients obtained by ridge regression is defined as:</w:t>
      </w:r>
    </w:p>
    <w:tbl>
      <w:tblPr>
        <w:tblW w:w="0" w:type="auto"/>
        <w:tblCellMar>
          <w:left w:w="70" w:type="dxa"/>
          <w:right w:w="70" w:type="dxa"/>
        </w:tblCellMar>
        <w:tblLook w:val="0000" w:firstRow="0" w:lastRow="0" w:firstColumn="0" w:lastColumn="0" w:noHBand="0" w:noVBand="0"/>
      </w:tblPr>
      <w:tblGrid>
        <w:gridCol w:w="9422"/>
        <w:gridCol w:w="643"/>
      </w:tblGrid>
      <w:tr w:rsidR="004C5DF5" w:rsidRPr="00AB66AE" w:rsidTr="00AB66AE">
        <w:tc>
          <w:tcPr>
            <w:tcW w:w="9422" w:type="dxa"/>
          </w:tcPr>
          <w:p w:rsidR="004C5DF5" w:rsidRPr="00AB66AE" w:rsidRDefault="004C5DF5" w:rsidP="00E0076F">
            <w:pPr>
              <w:jc w:val="center"/>
              <w:rPr>
                <w:snapToGrid w:val="0"/>
              </w:rPr>
            </w:pPr>
            <w:r w:rsidRPr="00AB66AE">
              <w:rPr>
                <w:b/>
                <w:i/>
                <w:lang w:eastAsia="en-US"/>
              </w:rPr>
              <w:t>b</w:t>
            </w:r>
            <w:r w:rsidRPr="00AB66AE">
              <w:rPr>
                <w:i/>
                <w:lang w:eastAsia="en-US"/>
              </w:rPr>
              <w:t xml:space="preserve"> = </w:t>
            </w:r>
            <w:r w:rsidRPr="00AB66AE">
              <w:rPr>
                <w:lang w:eastAsia="en-US"/>
              </w:rPr>
              <w:t>(</w:t>
            </w:r>
            <w:r w:rsidRPr="00AB66AE">
              <w:rPr>
                <w:b/>
                <w:i/>
                <w:lang w:eastAsia="en-US"/>
              </w:rPr>
              <w:t>X</w:t>
            </w:r>
            <w:r w:rsidRPr="00AB66AE">
              <w:rPr>
                <w:i/>
                <w:lang w:eastAsia="en-US"/>
              </w:rPr>
              <w:t>’</w:t>
            </w:r>
            <w:r w:rsidRPr="00AB66AE">
              <w:rPr>
                <w:b/>
                <w:i/>
                <w:lang w:eastAsia="en-US"/>
              </w:rPr>
              <w:t>X</w:t>
            </w:r>
            <w:r w:rsidRPr="00AB66AE">
              <w:rPr>
                <w:i/>
                <w:lang w:eastAsia="en-US"/>
              </w:rPr>
              <w:t xml:space="preserve"> + k</w:t>
            </w:r>
            <w:r w:rsidRPr="00AB66AE">
              <w:rPr>
                <w:b/>
                <w:i/>
                <w:lang w:eastAsia="en-US"/>
              </w:rPr>
              <w:t>I</w:t>
            </w:r>
            <w:r w:rsidRPr="00AB66AE">
              <w:rPr>
                <w:lang w:eastAsia="en-US"/>
              </w:rPr>
              <w:t>)</w:t>
            </w:r>
            <w:r w:rsidRPr="00AB66AE">
              <w:rPr>
                <w:vertAlign w:val="superscript"/>
                <w:lang w:eastAsia="en-US"/>
              </w:rPr>
              <w:t>-1</w:t>
            </w:r>
            <w:r w:rsidRPr="00AB66AE">
              <w:rPr>
                <w:b/>
                <w:i/>
                <w:lang w:eastAsia="en-US"/>
              </w:rPr>
              <w:t>Y</w:t>
            </w:r>
          </w:p>
        </w:tc>
        <w:tc>
          <w:tcPr>
            <w:tcW w:w="643" w:type="dxa"/>
            <w:vAlign w:val="center"/>
          </w:tcPr>
          <w:p w:rsidR="004C5DF5" w:rsidRPr="00AB66AE" w:rsidRDefault="004C5DF5" w:rsidP="00E0076F">
            <w:pPr>
              <w:pStyle w:val="MISSN"/>
              <w:widowControl w:val="0"/>
              <w:spacing w:before="120" w:after="120"/>
              <w:rPr>
                <w:snapToGrid w:val="0"/>
              </w:rPr>
            </w:pPr>
            <w:r w:rsidRPr="00AB66AE">
              <w:t xml:space="preserve">(1) </w:t>
            </w:r>
          </w:p>
        </w:tc>
      </w:tr>
    </w:tbl>
    <w:p w:rsidR="004C5DF5" w:rsidRPr="00AB66AE" w:rsidRDefault="001C6046" w:rsidP="00E0076F">
      <w:pPr>
        <w:rPr>
          <w:lang w:eastAsia="en-US"/>
        </w:rPr>
      </w:pPr>
      <w:r w:rsidRPr="00AB66AE">
        <w:rPr>
          <w:lang w:eastAsia="en-US"/>
        </w:rPr>
        <w:t xml:space="preserve">Where </w:t>
      </w:r>
      <w:r w:rsidRPr="00AB66AE">
        <w:rPr>
          <w:i/>
          <w:lang w:eastAsia="en-US"/>
        </w:rPr>
        <w:t>k</w:t>
      </w:r>
      <w:r w:rsidRPr="00AB66AE">
        <w:rPr>
          <w:lang w:eastAsia="en-US"/>
        </w:rPr>
        <w:t xml:space="preserve"> </w:t>
      </w:r>
      <w:r w:rsidR="0042018A" w:rsidRPr="00AB66AE">
        <w:rPr>
          <w:lang w:eastAsia="en-US"/>
        </w:rPr>
        <w:t xml:space="preserve">&gt; 0 </w:t>
      </w:r>
      <w:r w:rsidRPr="00AB66AE">
        <w:rPr>
          <w:lang w:eastAsia="en-US"/>
        </w:rPr>
        <w:t>is the ridge constant, chosen by cross-validation [</w:t>
      </w:r>
      <w:r w:rsidR="0042018A" w:rsidRPr="00AB66AE">
        <w:rPr>
          <w:lang w:eastAsia="en-US"/>
        </w:rPr>
        <w:t>ridge-book</w:t>
      </w:r>
      <w:r w:rsidRPr="00AB66AE">
        <w:rPr>
          <w:lang w:eastAsia="en-US"/>
        </w:rPr>
        <w:t>].</w:t>
      </w:r>
    </w:p>
    <w:p w:rsidR="001C6046" w:rsidRPr="00AB66AE" w:rsidRDefault="001C6046" w:rsidP="00E0076F">
      <w:pPr>
        <w:ind w:firstLine="270"/>
        <w:rPr>
          <w:lang w:eastAsia="en-US"/>
        </w:rPr>
      </w:pPr>
      <w:r w:rsidRPr="00AB66AE">
        <w:rPr>
          <w:lang w:eastAsia="en-US"/>
        </w:rPr>
        <w:t>While assessing the predictive performance of a model through cross validation, it is essential to not do the variable selection beforehand and the build the model, because that uses information from the test set of compounds in the variable selection step. This results in a synthetic increase of the predictive performance of the model. For this reason, while we did use leave-one-out cross-validation to obtain prediction accuracy,</w:t>
      </w:r>
      <w:r w:rsidR="005E5646" w:rsidRPr="00AB66AE">
        <w:rPr>
          <w:lang w:eastAsia="en-US"/>
        </w:rPr>
        <w:t xml:space="preserve"> we did both the selection of variables and building ridge regression models for every iteration of the cross-validation procedure.</w:t>
      </w:r>
    </w:p>
    <w:p w:rsidR="00ED2DE7" w:rsidRPr="00AB66AE" w:rsidRDefault="00ED2DE7" w:rsidP="00E0076F">
      <w:pPr>
        <w:spacing w:before="240" w:after="240"/>
        <w:jc w:val="left"/>
        <w:rPr>
          <w:b/>
          <w:lang w:eastAsia="en-US"/>
        </w:rPr>
      </w:pPr>
      <w:r w:rsidRPr="00AB66AE">
        <w:rPr>
          <w:b/>
          <w:lang w:eastAsia="zh-CN"/>
        </w:rPr>
        <w:t>4. Conclusions</w:t>
      </w:r>
      <w:r w:rsidRPr="00AB66AE">
        <w:rPr>
          <w:b/>
          <w:lang w:eastAsia="en-US"/>
        </w:rPr>
        <w:t xml:space="preserve"> </w:t>
      </w:r>
    </w:p>
    <w:p w:rsidR="00ED2DE7" w:rsidRPr="00AB66AE" w:rsidRDefault="00ED2DE7" w:rsidP="00E0076F">
      <w:pPr>
        <w:ind w:firstLine="284"/>
        <w:rPr>
          <w:lang w:eastAsia="en-US"/>
        </w:rPr>
      </w:pPr>
      <w:r w:rsidRPr="00AB66AE">
        <w:rPr>
          <w:lang w:eastAsia="en-US"/>
        </w:rPr>
        <w:t>Main text paragraph</w:t>
      </w:r>
      <w:r w:rsidR="00176A50" w:rsidRPr="00AB66AE">
        <w:rPr>
          <w:lang w:eastAsia="en-US"/>
        </w:rPr>
        <w:t>.</w:t>
      </w:r>
    </w:p>
    <w:p w:rsidR="00ED2DE7" w:rsidRPr="00AB66AE" w:rsidRDefault="00ED2DE7" w:rsidP="00E0076F">
      <w:pPr>
        <w:ind w:firstLine="284"/>
        <w:rPr>
          <w:lang w:eastAsia="en-US"/>
        </w:rPr>
      </w:pPr>
      <w:r w:rsidRPr="00AB66AE">
        <w:rPr>
          <w:lang w:eastAsia="en-US"/>
        </w:rPr>
        <w:t>Main text paragraph</w:t>
      </w:r>
      <w:r w:rsidR="00176A50" w:rsidRPr="00AB66AE">
        <w:rPr>
          <w:lang w:eastAsia="en-US"/>
        </w:rPr>
        <w:t>.</w:t>
      </w:r>
    </w:p>
    <w:p w:rsidR="00ED2DE7" w:rsidRPr="00AB66AE" w:rsidRDefault="00ED2DE7" w:rsidP="00E0076F">
      <w:pPr>
        <w:spacing w:before="240" w:after="240"/>
        <w:jc w:val="left"/>
        <w:rPr>
          <w:b/>
          <w:lang w:eastAsia="en-US"/>
        </w:rPr>
      </w:pPr>
      <w:r w:rsidRPr="00AB66AE">
        <w:rPr>
          <w:b/>
          <w:lang w:eastAsia="en-US"/>
        </w:rPr>
        <w:t>Acknowledgments</w:t>
      </w:r>
    </w:p>
    <w:p w:rsidR="00ED2DE7" w:rsidRPr="00AB66AE" w:rsidRDefault="00176A50" w:rsidP="00E0076F">
      <w:pPr>
        <w:ind w:firstLine="284"/>
        <w:rPr>
          <w:rFonts w:eastAsia="SimSun"/>
          <w:lang w:eastAsia="zh-CN"/>
        </w:rPr>
      </w:pPr>
      <w:r w:rsidRPr="00AB66AE">
        <w:rPr>
          <w:lang w:eastAsia="en-US"/>
        </w:rPr>
        <w:t>Main text paragraph.</w:t>
      </w:r>
    </w:p>
    <w:p w:rsidR="000C7327" w:rsidRPr="00AB66AE" w:rsidRDefault="000C7327" w:rsidP="00E0076F">
      <w:pPr>
        <w:pStyle w:val="MText"/>
        <w:spacing w:before="240" w:after="240"/>
        <w:ind w:firstLine="0"/>
        <w:jc w:val="left"/>
        <w:rPr>
          <w:rFonts w:eastAsia="SimSun"/>
          <w:b/>
          <w:lang w:eastAsia="zh-CN"/>
        </w:rPr>
      </w:pPr>
      <w:r w:rsidRPr="00AB66AE">
        <w:rPr>
          <w:b/>
        </w:rPr>
        <w:t>Author Contributions</w:t>
      </w:r>
    </w:p>
    <w:p w:rsidR="000C7327" w:rsidRPr="00AB66AE" w:rsidRDefault="000C7327" w:rsidP="00E0076F">
      <w:pPr>
        <w:pStyle w:val="MText"/>
        <w:ind w:firstLine="288"/>
        <w:rPr>
          <w:rFonts w:eastAsia="SimSun"/>
          <w:lang w:eastAsia="zh-CN"/>
        </w:rPr>
      </w:pPr>
      <w:r w:rsidRPr="00AB66AE">
        <w:rPr>
          <w:lang w:eastAsia="en-US"/>
        </w:rPr>
        <w:t>Main text paragraph.</w:t>
      </w:r>
    </w:p>
    <w:p w:rsidR="00176A50" w:rsidRPr="00AB66AE" w:rsidRDefault="00176A50" w:rsidP="00E0076F">
      <w:pPr>
        <w:pStyle w:val="MText"/>
        <w:tabs>
          <w:tab w:val="left" w:pos="2708"/>
        </w:tabs>
        <w:spacing w:before="240" w:after="240"/>
        <w:ind w:firstLine="0"/>
        <w:jc w:val="left"/>
        <w:rPr>
          <w:b/>
          <w:color w:val="auto"/>
          <w:lang w:eastAsia="en-US"/>
        </w:rPr>
      </w:pPr>
      <w:r w:rsidRPr="00AB66AE">
        <w:rPr>
          <w:b/>
          <w:color w:val="auto"/>
          <w:lang w:eastAsia="en-US"/>
        </w:rPr>
        <w:t>Conflict</w:t>
      </w:r>
      <w:r w:rsidR="007C44F5" w:rsidRPr="00AB66AE">
        <w:rPr>
          <w:b/>
          <w:color w:val="auto"/>
          <w:lang w:eastAsia="en-US"/>
        </w:rPr>
        <w:t>s</w:t>
      </w:r>
      <w:r w:rsidRPr="00AB66AE">
        <w:rPr>
          <w:b/>
          <w:color w:val="auto"/>
          <w:lang w:eastAsia="en-US"/>
        </w:rPr>
        <w:t xml:space="preserve"> of Interest</w:t>
      </w:r>
    </w:p>
    <w:p w:rsidR="009825CA" w:rsidRPr="00AB66AE" w:rsidRDefault="009825CA" w:rsidP="00E0076F">
      <w:pPr>
        <w:spacing w:before="240" w:after="240"/>
        <w:rPr>
          <w:lang w:eastAsia="en-US"/>
        </w:rPr>
      </w:pPr>
      <w:r w:rsidRPr="00AB66AE">
        <w:rPr>
          <w:lang w:eastAsia="en-US"/>
        </w:rPr>
        <w:t>The authors confirm that this article has no conflict of interest.</w:t>
      </w:r>
    </w:p>
    <w:p w:rsidR="0042018A" w:rsidRPr="00AB66AE" w:rsidRDefault="00ED2DE7" w:rsidP="00E0076F">
      <w:pPr>
        <w:spacing w:before="240" w:after="240"/>
        <w:rPr>
          <w:lang w:eastAsia="en-US"/>
        </w:rPr>
      </w:pPr>
      <w:r w:rsidRPr="00AB66AE">
        <w:rPr>
          <w:b/>
          <w:lang w:eastAsia="en-US"/>
        </w:rPr>
        <w:t>References and Notes</w:t>
      </w:r>
    </w:p>
    <w:p w:rsidR="00A17640" w:rsidRDefault="00A17640" w:rsidP="0042609B">
      <w:pPr>
        <w:pStyle w:val="MRefer"/>
        <w:ind w:left="461" w:hanging="461"/>
        <w:rPr>
          <w:lang w:eastAsia="en-US"/>
        </w:rPr>
      </w:pPr>
      <w:r>
        <w:rPr>
          <w:lang w:eastAsia="en-US"/>
        </w:rPr>
        <w:lastRenderedPageBreak/>
        <w:t>1.</w:t>
      </w:r>
      <w:r>
        <w:rPr>
          <w:lang w:eastAsia="en-US"/>
        </w:rPr>
        <w:tab/>
        <w:t xml:space="preserve">National Research Council. </w:t>
      </w:r>
      <w:r w:rsidRPr="00A17640">
        <w:rPr>
          <w:i/>
          <w:lang w:eastAsia="en-US"/>
        </w:rPr>
        <w:t>Toxicity Testing Strategies to Determine Needs and Priorities</w:t>
      </w:r>
      <w:r>
        <w:rPr>
          <w:lang w:eastAsia="en-US"/>
        </w:rPr>
        <w:t xml:space="preserve">, National Academy Press: Washington, DC, </w:t>
      </w:r>
      <w:r w:rsidRPr="00A17640">
        <w:rPr>
          <w:b/>
          <w:lang w:eastAsia="en-US"/>
        </w:rPr>
        <w:t>1984</w:t>
      </w:r>
      <w:r>
        <w:rPr>
          <w:lang w:eastAsia="en-US"/>
        </w:rPr>
        <w:t>.</w:t>
      </w:r>
    </w:p>
    <w:p w:rsidR="00A17640" w:rsidRDefault="00A17640" w:rsidP="0042609B">
      <w:pPr>
        <w:ind w:left="450" w:hanging="450"/>
        <w:rPr>
          <w:lang w:eastAsia="en-US"/>
        </w:rPr>
      </w:pPr>
      <w:r>
        <w:rPr>
          <w:lang w:eastAsia="en-US"/>
        </w:rPr>
        <w:t>2.</w:t>
      </w:r>
      <w:r>
        <w:rPr>
          <w:lang w:eastAsia="en-US"/>
        </w:rPr>
        <w:tab/>
      </w:r>
      <w:r w:rsidRPr="00894438">
        <w:rPr>
          <w:lang w:eastAsia="en-US"/>
        </w:rPr>
        <w:t>Auer, C</w:t>
      </w:r>
      <w:r w:rsidR="0042609B">
        <w:rPr>
          <w:lang w:eastAsia="en-US"/>
        </w:rPr>
        <w:t xml:space="preserve">. </w:t>
      </w:r>
      <w:r w:rsidRPr="00894438">
        <w:rPr>
          <w:lang w:eastAsia="en-US"/>
        </w:rPr>
        <w:t>M.</w:t>
      </w:r>
      <w:r w:rsidR="0042609B">
        <w:rPr>
          <w:lang w:eastAsia="en-US"/>
        </w:rPr>
        <w:t>;</w:t>
      </w:r>
      <w:r w:rsidRPr="00894438">
        <w:rPr>
          <w:lang w:eastAsia="en-US"/>
        </w:rPr>
        <w:t xml:space="preserve"> Nabholz, J.</w:t>
      </w:r>
      <w:r w:rsidR="0042609B">
        <w:rPr>
          <w:lang w:eastAsia="en-US"/>
        </w:rPr>
        <w:t xml:space="preserve"> </w:t>
      </w:r>
      <w:r w:rsidRPr="00894438">
        <w:rPr>
          <w:lang w:eastAsia="en-US"/>
        </w:rPr>
        <w:t>V. and Baetcke, K.P. 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 xml:space="preserve">relationships (SAR) under TSCA, Section 5. </w:t>
      </w:r>
      <w:r w:rsidRPr="0042609B">
        <w:rPr>
          <w:i/>
          <w:lang w:eastAsia="en-US"/>
        </w:rPr>
        <w:t>Environ. Health Perspect.</w:t>
      </w:r>
      <w:r w:rsidRPr="00894438">
        <w:rPr>
          <w:lang w:eastAsia="en-US"/>
        </w:rPr>
        <w:t xml:space="preserve"> </w:t>
      </w:r>
      <w:r w:rsidR="0042609B" w:rsidRPr="0042609B">
        <w:rPr>
          <w:b/>
          <w:lang w:eastAsia="en-US"/>
        </w:rPr>
        <w:t>1990</w:t>
      </w:r>
      <w:r w:rsidR="0042609B">
        <w:rPr>
          <w:lang w:eastAsia="en-US"/>
        </w:rPr>
        <w:t xml:space="preserve">, </w:t>
      </w:r>
      <w:r w:rsidRPr="0042609B">
        <w:rPr>
          <w:i/>
          <w:lang w:eastAsia="en-US"/>
        </w:rPr>
        <w:t>87</w:t>
      </w:r>
      <w:r w:rsidRPr="00894438">
        <w:rPr>
          <w:lang w:eastAsia="en-US"/>
        </w:rPr>
        <w:t>, 183-197.</w:t>
      </w:r>
    </w:p>
    <w:p w:rsidR="0042609B" w:rsidRPr="00894438" w:rsidRDefault="0042609B" w:rsidP="0042609B">
      <w:pPr>
        <w:ind w:left="450" w:hanging="450"/>
        <w:rPr>
          <w:lang w:eastAsia="en-US"/>
        </w:rPr>
      </w:pPr>
      <w:r>
        <w:rPr>
          <w:lang w:eastAsia="en-US"/>
        </w:rPr>
        <w:t>3.</w:t>
      </w:r>
    </w:p>
    <w:p w:rsidR="00AA6012" w:rsidRPr="00AB66AE" w:rsidRDefault="004B672B" w:rsidP="00A17640">
      <w:pPr>
        <w:pStyle w:val="MRefer"/>
        <w:ind w:left="461" w:hanging="461"/>
      </w:pPr>
      <w:r w:rsidRPr="00AB66AE">
        <w:rPr>
          <w:lang w:eastAsia="en-US"/>
        </w:rPr>
        <w:t>debnath</w:t>
      </w:r>
      <w:r w:rsidR="00AA6012" w:rsidRPr="00AB66AE">
        <w:rPr>
          <w:lang w:eastAsia="en-US"/>
        </w:rPr>
        <w:t>.</w:t>
      </w:r>
      <w:r w:rsidR="0042018A" w:rsidRPr="00AB66AE">
        <w:rPr>
          <w:lang w:eastAsia="en-US"/>
        </w:rPr>
        <w:tab/>
      </w:r>
      <w:r w:rsidR="00AA6012" w:rsidRPr="00AB66AE">
        <w:t xml:space="preserve">Debnath, A. K.; Debnath, G.; Shusterman, A. J.; Hansch, C. A QSAR Investigation of the Role of Hydrophobicity in Regulating Muagenicity in the Ames Test: 1. Mutagenicity of Aromatic and Heteroaromatic Amines in </w:t>
      </w:r>
      <w:r w:rsidR="00AA6012" w:rsidRPr="00AB66AE">
        <w:rPr>
          <w:i/>
        </w:rPr>
        <w:t>Salmonella typhimurium</w:t>
      </w:r>
      <w:r w:rsidR="00AA6012" w:rsidRPr="00AB66AE">
        <w:t xml:space="preserve"> TA98 and TA100. </w:t>
      </w:r>
      <w:r w:rsidR="00AA6012" w:rsidRPr="00AB66AE">
        <w:rPr>
          <w:i/>
        </w:rPr>
        <w:t>Environ. Mol. Mutagen.</w:t>
      </w:r>
      <w:r w:rsidR="00AA6012" w:rsidRPr="00AB66AE">
        <w:t xml:space="preserve"> </w:t>
      </w:r>
      <w:r w:rsidR="00AA6012" w:rsidRPr="00AB66AE">
        <w:rPr>
          <w:b/>
        </w:rPr>
        <w:t>1992</w:t>
      </w:r>
      <w:r w:rsidR="00AA6012" w:rsidRPr="00AB66AE">
        <w:t xml:space="preserve">, </w:t>
      </w:r>
      <w:r w:rsidR="00AA6012" w:rsidRPr="00AB66AE">
        <w:rPr>
          <w:i/>
        </w:rPr>
        <w:t>19</w:t>
      </w:r>
      <w:r w:rsidR="00AA6012" w:rsidRPr="00AB66AE">
        <w:t>, 37-52.</w:t>
      </w:r>
    </w:p>
    <w:p w:rsidR="00AA6012" w:rsidRPr="00AB66AE" w:rsidRDefault="004B672B" w:rsidP="00A17640">
      <w:pPr>
        <w:pStyle w:val="MRefer"/>
        <w:ind w:left="461" w:hanging="461"/>
      </w:pPr>
      <w:r w:rsidRPr="00AB66AE">
        <w:t>crc</w:t>
      </w:r>
      <w:r w:rsidR="00AA6012" w:rsidRPr="00AB66AE">
        <w:t xml:space="preserve">. </w:t>
      </w:r>
      <w:r w:rsidR="00AA6012" w:rsidRPr="00AB66AE">
        <w:tab/>
        <w:t xml:space="preserve">Soderman, J.V. </w:t>
      </w:r>
      <w:r w:rsidR="00AA6012" w:rsidRPr="00AB66AE">
        <w:rPr>
          <w:i/>
        </w:rPr>
        <w:t>CRC Handbook of Identified Carcinogens and Noncarcinogens: Carcinogenicity-Mutagenicity Database</w:t>
      </w:r>
      <w:r w:rsidR="00AA6012" w:rsidRPr="00AB66AE">
        <w:t xml:space="preserve">, CRC Press: Boca Raton, FL, </w:t>
      </w:r>
      <w:r w:rsidR="00AA6012" w:rsidRPr="00AB66AE">
        <w:rPr>
          <w:b/>
        </w:rPr>
        <w:t>1982</w:t>
      </w:r>
      <w:r w:rsidR="00AA6012" w:rsidRPr="00AB66AE">
        <w:t>.</w:t>
      </w:r>
    </w:p>
    <w:p w:rsidR="00AA6012" w:rsidRPr="00AB66AE" w:rsidRDefault="004B672B" w:rsidP="00E0076F">
      <w:pPr>
        <w:pStyle w:val="MRefer"/>
        <w:ind w:left="461" w:hanging="461"/>
      </w:pPr>
      <w:r w:rsidRPr="00AB66AE">
        <w:t>itc</w:t>
      </w:r>
      <w:r w:rsidR="00AA6012" w:rsidRPr="00AB66AE">
        <w:t>.</w:t>
      </w:r>
      <w:r w:rsidR="00AA6012" w:rsidRPr="00AB66AE">
        <w:tab/>
        <w:t xml:space="preserve">Tang, C.; Zhang, L.; Zhang, A.; Ramanathan, M. In: </w:t>
      </w:r>
      <w:r w:rsidR="00AA6012" w:rsidRPr="00AB66AE">
        <w:rPr>
          <w:i/>
        </w:rPr>
        <w:t>Interrelated Two-way Clustering: An Unsupervised Approach for Gene Expression Data Analysis</w:t>
      </w:r>
      <w:r w:rsidR="00AA6012" w:rsidRPr="00AB66AE">
        <w:t>, Proceedings of BIBE 2001: 2</w:t>
      </w:r>
      <w:r w:rsidR="00AA6012" w:rsidRPr="00AB66AE">
        <w:rPr>
          <w:vertAlign w:val="superscript"/>
        </w:rPr>
        <w:t>nd</w:t>
      </w:r>
      <w:r w:rsidR="00AA6012" w:rsidRPr="00AB66AE">
        <w:t xml:space="preserve"> IEEE International Symposium on Bioinformatics and Bioengineering, Bethesda, Maryland, November 4-5, 2001; Bilof, R.; Palagi, L., Eds.; IEEE Computer Society: Los Alamitos, CA, </w:t>
      </w:r>
      <w:r w:rsidR="00AA6012" w:rsidRPr="00AB66AE">
        <w:rPr>
          <w:b/>
        </w:rPr>
        <w:t>2001</w:t>
      </w:r>
      <w:r w:rsidR="00AA6012" w:rsidRPr="00AB66AE">
        <w:t>; pp. 41-48.</w:t>
      </w:r>
    </w:p>
    <w:p w:rsidR="00AA6012" w:rsidRPr="00AB66AE" w:rsidRDefault="004B672B" w:rsidP="00E0076F">
      <w:pPr>
        <w:pStyle w:val="MRefer"/>
        <w:ind w:left="461" w:hanging="461"/>
      </w:pPr>
      <w:r w:rsidRPr="00AB66AE">
        <w:t>itc508</w:t>
      </w:r>
      <w:r w:rsidR="00AA6012" w:rsidRPr="00AB66AE">
        <w:t>.</w:t>
      </w:r>
      <w:r w:rsidR="00AA6012" w:rsidRPr="00AB66AE">
        <w:tab/>
        <w:t xml:space="preserve">Majumdar, S.; Basak, S. C.; Grunwald, G. D. Adapting Interrelated Two-Way Clustering Method for Quantitative Structure-Activity Relationship (QSAR) Modeling of Mutagenicity/Non-Mutagenicity of a Diverse Set of Chemicals. </w:t>
      </w:r>
      <w:r w:rsidR="00AA6012" w:rsidRPr="00AB66AE">
        <w:rPr>
          <w:i/>
        </w:rPr>
        <w:t>Curr. Comput. Aided Drug Des.</w:t>
      </w:r>
      <w:r w:rsidR="00AA6012" w:rsidRPr="00AB66AE">
        <w:t xml:space="preserve">, </w:t>
      </w:r>
      <w:r w:rsidR="00AA6012" w:rsidRPr="00AB66AE">
        <w:rPr>
          <w:b/>
        </w:rPr>
        <w:t>2013</w:t>
      </w:r>
      <w:r w:rsidRPr="00AB66AE">
        <w:t xml:space="preserve">, </w:t>
      </w:r>
      <w:r w:rsidR="00AA6012" w:rsidRPr="00AB66AE">
        <w:rPr>
          <w:i/>
        </w:rPr>
        <w:t>9</w:t>
      </w:r>
      <w:r w:rsidR="00AA6012" w:rsidRPr="00AB66AE">
        <w:t>, 463-471.</w:t>
      </w:r>
    </w:p>
    <w:p w:rsidR="004B672B" w:rsidRPr="00AB66AE" w:rsidRDefault="004B672B" w:rsidP="00E0076F">
      <w:pPr>
        <w:pStyle w:val="MRefer"/>
        <w:ind w:left="461" w:hanging="461"/>
      </w:pPr>
      <w:r w:rsidRPr="00AB66AE">
        <w:t>ridge-book.</w:t>
      </w:r>
      <w:r w:rsidRPr="00AB66AE">
        <w:tab/>
        <w:t xml:space="preserve">Yang, X.; Su, X.G. </w:t>
      </w:r>
      <w:r w:rsidRPr="00AB66AE">
        <w:rPr>
          <w:i/>
        </w:rPr>
        <w:t>Linear Regression Analysis- Theory and Computing</w:t>
      </w:r>
      <w:r w:rsidRPr="00AB66AE">
        <w:t xml:space="preserve">, World Scientific: Singapore, </w:t>
      </w:r>
      <w:r w:rsidRPr="00AB66AE">
        <w:rPr>
          <w:b/>
        </w:rPr>
        <w:t>2009</w:t>
      </w:r>
      <w:r w:rsidRPr="00AB66AE">
        <w:t>.</w:t>
      </w:r>
    </w:p>
    <w:p w:rsidR="00DA5614" w:rsidRPr="00AB66AE" w:rsidRDefault="00DA5614" w:rsidP="00E0076F">
      <w:pPr>
        <w:pStyle w:val="MRefer"/>
        <w:ind w:left="461" w:hanging="461"/>
      </w:pPr>
      <w:r w:rsidRPr="00AB66AE">
        <w:t>hawk.</w:t>
      </w:r>
      <w:r w:rsidRPr="00AB66AE">
        <w:tab/>
        <w:t xml:space="preserve">Hawkins, D.M.; Basak, S.C.; Mills, D. QSARs for chemical mutagens from structure: ridge regression fitting and diagnostics. </w:t>
      </w:r>
      <w:r w:rsidRPr="00AB66AE">
        <w:rPr>
          <w:i/>
        </w:rPr>
        <w:t>Environ. Toxicol. Pharmacol.</w:t>
      </w:r>
      <w:r w:rsidRPr="00AB66AE">
        <w:t xml:space="preserve">, </w:t>
      </w:r>
      <w:r w:rsidRPr="00AB66AE">
        <w:rPr>
          <w:b/>
        </w:rPr>
        <w:t>2004</w:t>
      </w:r>
      <w:r w:rsidRPr="00AB66AE">
        <w:t xml:space="preserve">, </w:t>
      </w:r>
      <w:r w:rsidRPr="00AB66AE">
        <w:rPr>
          <w:i/>
        </w:rPr>
        <w:t>16</w:t>
      </w:r>
      <w:r w:rsidRPr="00AB66AE">
        <w:t>, 37-44.</w:t>
      </w:r>
    </w:p>
    <w:p w:rsidR="00AA6012" w:rsidRPr="00AB66AE" w:rsidRDefault="00AA6012" w:rsidP="00E0076F">
      <w:pPr>
        <w:pStyle w:val="MRefer"/>
        <w:ind w:left="461" w:hanging="461"/>
      </w:pPr>
    </w:p>
    <w:p w:rsidR="004B672B" w:rsidRPr="00AB66AE" w:rsidRDefault="004B672B" w:rsidP="00E0076F">
      <w:pPr>
        <w:pStyle w:val="MRefer"/>
        <w:ind w:left="461" w:hanging="461"/>
        <w:rPr>
          <w:lang w:eastAsia="en-US"/>
        </w:rPr>
      </w:pPr>
    </w:p>
    <w:p w:rsidR="004B672B" w:rsidRPr="00AB66AE" w:rsidRDefault="004B672B" w:rsidP="00E0076F">
      <w:pPr>
        <w:pStyle w:val="MRefer"/>
        <w:ind w:left="461" w:hanging="461"/>
        <w:rPr>
          <w:lang w:eastAsia="en-US"/>
        </w:rPr>
      </w:pPr>
    </w:p>
    <w:p w:rsidR="00176A50" w:rsidRPr="00AB66AE" w:rsidRDefault="00176A50" w:rsidP="00E0076F">
      <w:pPr>
        <w:pStyle w:val="MRefer"/>
        <w:ind w:left="461" w:hanging="461"/>
        <w:rPr>
          <w:lang w:eastAsia="en-US"/>
        </w:rPr>
      </w:pPr>
      <w:r w:rsidRPr="00AB66AE">
        <w:rPr>
          <w:lang w:eastAsia="en-US"/>
        </w:rPr>
        <w:t>2.</w:t>
      </w:r>
      <w:r w:rsidRPr="00AB66AE">
        <w:rPr>
          <w:lang w:eastAsia="en-US"/>
        </w:rPr>
        <w:tab/>
        <w:t xml:space="preserve">Author 1, A.; Author 2, B. Title of the chapter. In </w:t>
      </w:r>
      <w:r w:rsidRPr="00AB66AE">
        <w:rPr>
          <w:i/>
          <w:lang w:eastAsia="en-US"/>
        </w:rPr>
        <w:t>Book Title</w:t>
      </w:r>
      <w:r w:rsidRPr="00AB66AE">
        <w:rPr>
          <w:lang w:eastAsia="en-US"/>
        </w:rPr>
        <w:t>, 2nd ed.; Editor 1, Editor 2, Eds.; Publisher: Publisher Location, Country, 2007; Volume 3, pp. 154–196.</w:t>
      </w:r>
    </w:p>
    <w:p w:rsidR="00176A50" w:rsidRPr="00AB66AE" w:rsidRDefault="00176A50" w:rsidP="00E0076F">
      <w:pPr>
        <w:pStyle w:val="MRefer"/>
        <w:ind w:left="461" w:hanging="461"/>
        <w:rPr>
          <w:lang w:eastAsia="en-US"/>
        </w:rPr>
      </w:pPr>
      <w:r w:rsidRPr="00AB66AE">
        <w:rPr>
          <w:lang w:eastAsia="en-US"/>
        </w:rPr>
        <w:t>3.</w:t>
      </w:r>
      <w:r w:rsidRPr="00AB66AE">
        <w:rPr>
          <w:lang w:eastAsia="en-US"/>
        </w:rPr>
        <w:tab/>
        <w:t xml:space="preserve">Author 1, A.; Author 2, B. </w:t>
      </w:r>
      <w:r w:rsidRPr="00AB66AE">
        <w:rPr>
          <w:i/>
          <w:lang w:eastAsia="en-US"/>
        </w:rPr>
        <w:t>Book Title</w:t>
      </w:r>
      <w:r w:rsidRPr="00AB66AE">
        <w:rPr>
          <w:lang w:eastAsia="en-US"/>
        </w:rPr>
        <w:t xml:space="preserve">, 3rd ed.; Publisher: Publisher Location, Country, 2008; </w:t>
      </w:r>
      <w:r w:rsidRPr="00AB66AE">
        <w:rPr>
          <w:lang w:eastAsia="en-US"/>
        </w:rPr>
        <w:br/>
        <w:t>pp. 154–196.</w:t>
      </w:r>
    </w:p>
    <w:p w:rsidR="00176A50" w:rsidRPr="00AB66AE" w:rsidRDefault="00176A50" w:rsidP="00E0076F">
      <w:pPr>
        <w:pStyle w:val="MRefer"/>
        <w:ind w:left="461" w:hanging="461"/>
        <w:rPr>
          <w:lang w:eastAsia="en-US"/>
        </w:rPr>
      </w:pPr>
      <w:r w:rsidRPr="00AB66AE">
        <w:rPr>
          <w:lang w:eastAsia="en-US"/>
        </w:rPr>
        <w:t>4.</w:t>
      </w:r>
      <w:r w:rsidRPr="00AB66AE">
        <w:rPr>
          <w:lang w:eastAsia="en-US"/>
        </w:rPr>
        <w:tab/>
        <w:t>Author 1,</w:t>
      </w:r>
      <w:r w:rsidRPr="00AB66AE">
        <w:t xml:space="preserve"> </w:t>
      </w:r>
      <w:r w:rsidRPr="00AB66AE">
        <w:rPr>
          <w:lang w:eastAsia="en-US"/>
        </w:rPr>
        <w:t>A.B.; Author 2, C. Title of Unpublished Work. Journal Abbreviation, phrase indicating stage of publication.</w:t>
      </w:r>
    </w:p>
    <w:p w:rsidR="00176A50" w:rsidRPr="00AB66AE" w:rsidRDefault="00176A50" w:rsidP="00E0076F">
      <w:pPr>
        <w:pStyle w:val="MRefer"/>
        <w:ind w:left="461" w:hanging="461"/>
        <w:rPr>
          <w:lang w:eastAsia="en-US"/>
        </w:rPr>
      </w:pPr>
      <w:r w:rsidRPr="00AB66AE">
        <w:rPr>
          <w:lang w:eastAsia="en-US"/>
        </w:rPr>
        <w:t>5.</w:t>
      </w:r>
      <w:r w:rsidRPr="00AB66AE">
        <w:rPr>
          <w:lang w:eastAsia="en-US"/>
        </w:rPr>
        <w:tab/>
        <w:t>Author 1,</w:t>
      </w:r>
      <w:r w:rsidRPr="00AB66AE">
        <w:t xml:space="preserve"> </w:t>
      </w:r>
      <w:r w:rsidRPr="00AB66AE">
        <w:rPr>
          <w:lang w:eastAsia="en-US"/>
        </w:rPr>
        <w:t>A.B.; Author 2,</w:t>
      </w:r>
      <w:r w:rsidRPr="00AB66AE">
        <w:t xml:space="preserve"> </w:t>
      </w:r>
      <w:r w:rsidRPr="00AB66AE">
        <w:rPr>
          <w:lang w:eastAsia="en-US"/>
        </w:rPr>
        <w:t xml:space="preserve">C.D.; Author 3, E.F. Title of Presentation. In </w:t>
      </w:r>
      <w:r w:rsidRPr="00AB66AE">
        <w:rPr>
          <w:i/>
          <w:lang w:eastAsia="en-US"/>
        </w:rPr>
        <w:t>Title of the Collected Work</w:t>
      </w:r>
      <w:r w:rsidRPr="00AB66AE">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rsidR="00176A50" w:rsidRPr="00AB66AE" w:rsidRDefault="00176A50" w:rsidP="00E0076F">
      <w:pPr>
        <w:pStyle w:val="MRefer"/>
        <w:ind w:left="461" w:hanging="461"/>
        <w:rPr>
          <w:lang w:eastAsia="en-US"/>
        </w:rPr>
      </w:pPr>
      <w:r w:rsidRPr="00AB66AE">
        <w:rPr>
          <w:lang w:eastAsia="en-US"/>
        </w:rPr>
        <w:t>6.</w:t>
      </w:r>
      <w:r w:rsidRPr="00AB66AE">
        <w:rPr>
          <w:lang w:eastAsia="en-US"/>
        </w:rPr>
        <w:tab/>
        <w:t>Author 1, A.B. Title of Thesis. Level of Thesis, Degree-Granting University, Location of University, Date of Completion.</w:t>
      </w:r>
    </w:p>
    <w:p w:rsidR="00176A50" w:rsidRPr="00AB66AE" w:rsidRDefault="00176A50" w:rsidP="00E0076F">
      <w:pPr>
        <w:pStyle w:val="MRefer"/>
        <w:ind w:left="461" w:hanging="461"/>
        <w:rPr>
          <w:lang w:eastAsia="en-US"/>
        </w:rPr>
      </w:pPr>
      <w:r w:rsidRPr="00AB66AE">
        <w:rPr>
          <w:lang w:eastAsia="en-US"/>
        </w:rPr>
        <w:t>7.</w:t>
      </w:r>
      <w:r w:rsidRPr="00AB66AE">
        <w:rPr>
          <w:lang w:eastAsia="en-US"/>
        </w:rPr>
        <w:tab/>
        <w:t xml:space="preserve">Author 1, A.B.; Author 2, C.D. Title of the article. </w:t>
      </w:r>
      <w:r w:rsidRPr="00AB66AE">
        <w:rPr>
          <w:i/>
          <w:lang w:eastAsia="en-US"/>
        </w:rPr>
        <w:t>Abbreviated Journal Name</w:t>
      </w:r>
      <w:r w:rsidRPr="00AB66AE">
        <w:rPr>
          <w:lang w:eastAsia="en-US"/>
        </w:rPr>
        <w:t>, Year, Volume, (Page range), doi or other identification number. Available online: http://URL (accessed on Day Month Year).</w:t>
      </w:r>
    </w:p>
    <w:p w:rsidR="00176A50" w:rsidRPr="00AB66AE" w:rsidRDefault="00176A50" w:rsidP="00E0076F">
      <w:pPr>
        <w:pStyle w:val="MRefer"/>
        <w:ind w:left="461" w:hanging="461"/>
        <w:rPr>
          <w:lang w:eastAsia="en-US"/>
        </w:rPr>
      </w:pPr>
      <w:r w:rsidRPr="00AB66AE">
        <w:rPr>
          <w:lang w:eastAsia="en-US"/>
        </w:rPr>
        <w:lastRenderedPageBreak/>
        <w:t>8.</w:t>
      </w:r>
      <w:r w:rsidRPr="00AB66AE">
        <w:rPr>
          <w:lang w:eastAsia="en-US"/>
        </w:rPr>
        <w:tab/>
        <w:t>Title of Site. Available online: http://URL (accessed on Day Month Year).</w:t>
      </w:r>
    </w:p>
    <w:p w:rsidR="00ED2DE7" w:rsidRPr="00AB66AE" w:rsidRDefault="00176A50" w:rsidP="00E0076F">
      <w:pPr>
        <w:spacing w:before="240" w:after="240"/>
        <w:rPr>
          <w:lang w:eastAsia="en-US"/>
        </w:rPr>
      </w:pPr>
      <w:r w:rsidRPr="00AB66AE">
        <w:rPr>
          <w:lang w:eastAsia="en-US"/>
        </w:rPr>
        <w:t>Reference list: We recommend the use of reference management software to prepare the references list (e.g., Endnote, http://www.mdpi.com/files/word-templates/MDPI.ens).</w:t>
      </w:r>
    </w:p>
    <w:p w:rsidR="0028764B" w:rsidRDefault="00BF13C2" w:rsidP="0028764B">
      <w:pPr>
        <w:pStyle w:val="MCopyright"/>
        <w:tabs>
          <w:tab w:val="left" w:pos="720"/>
        </w:tabs>
        <w:jc w:val="both"/>
        <w:rPr>
          <w:lang w:eastAsia="en-US"/>
        </w:rPr>
      </w:pPr>
      <w:r w:rsidRPr="00AB66AE">
        <w:rPr>
          <w:lang w:eastAsia="en-US"/>
        </w:rPr>
        <w:t>© 201</w:t>
      </w:r>
      <w:r w:rsidR="000C7327" w:rsidRPr="00AB66AE">
        <w:rPr>
          <w:rFonts w:eastAsia="SimSun"/>
          <w:lang w:eastAsia="zh-CN"/>
        </w:rPr>
        <w:t>4</w:t>
      </w:r>
      <w:r w:rsidR="004A639E" w:rsidRPr="00AB66AE">
        <w:rPr>
          <w:lang w:eastAsia="en-US"/>
        </w:rPr>
        <w:t xml:space="preserve"> by the authors; licensee </w:t>
      </w:r>
      <w:r w:rsidR="00A26CC1" w:rsidRPr="00AB66AE">
        <w:rPr>
          <w:lang w:eastAsia="en-US"/>
        </w:rPr>
        <w:t>MDPI</w:t>
      </w:r>
      <w:r w:rsidR="004A639E" w:rsidRPr="00AB66AE">
        <w:rPr>
          <w:lang w:eastAsia="en-US"/>
        </w:rPr>
        <w:t>, Basel, Switzerland</w:t>
      </w:r>
      <w:r w:rsidR="00105BAD" w:rsidRPr="00AB66AE">
        <w:rPr>
          <w:lang w:eastAsia="en-US"/>
        </w:rPr>
        <w:t xml:space="preserve">. This article is an open </w:t>
      </w:r>
      <w:r w:rsidR="004A639E" w:rsidRPr="00AB66AE">
        <w:rPr>
          <w:lang w:eastAsia="en-US"/>
        </w:rPr>
        <w:t>access article distributed under the terms and conditions of the Creative Commons Attribution license (</w:t>
      </w:r>
      <w:hyperlink r:id="rId6" w:history="1">
        <w:r w:rsidR="00AB66AE" w:rsidRPr="00AB66AE">
          <w:rPr>
            <w:rStyle w:val="Hyperlink"/>
            <w:lang w:eastAsia="en-US"/>
          </w:rPr>
          <w:t>http://creativecommons.org/licenses/by/3.0/</w:t>
        </w:r>
      </w:hyperlink>
      <w:r w:rsidR="004A639E" w:rsidRPr="00AB66AE">
        <w:rPr>
          <w:lang w:eastAsia="en-US"/>
        </w:rPr>
        <w:t>).</w:t>
      </w:r>
    </w:p>
    <w:p w:rsidR="0028764B" w:rsidRDefault="0028764B" w:rsidP="0028764B">
      <w:pPr>
        <w:pStyle w:val="MCopyright"/>
        <w:tabs>
          <w:tab w:val="left" w:pos="720"/>
        </w:tabs>
        <w:jc w:val="both"/>
        <w:rPr>
          <w:lang w:eastAsia="en-US"/>
        </w:rPr>
      </w:pPr>
    </w:p>
    <w:p w:rsidR="0028764B" w:rsidRPr="00894438" w:rsidRDefault="0028764B" w:rsidP="0028764B">
      <w:pPr>
        <w:pStyle w:val="MCopyright"/>
        <w:tabs>
          <w:tab w:val="left" w:pos="720"/>
        </w:tabs>
        <w:jc w:val="both"/>
        <w:rPr>
          <w:lang w:eastAsia="en-US"/>
        </w:rPr>
      </w:pPr>
      <w:r w:rsidRPr="00894438">
        <w:rPr>
          <w:lang w:eastAsia="en-US"/>
        </w:rPr>
        <w:t>[I ] National Research Council (1984) Toxicity Testing</w:t>
      </w:r>
      <w:r>
        <w:rPr>
          <w:lang w:eastAsia="en-US"/>
        </w:rPr>
        <w:t xml:space="preserve"> </w:t>
      </w:r>
      <w:r w:rsidRPr="00894438">
        <w:rPr>
          <w:lang w:eastAsia="en-US"/>
        </w:rPr>
        <w:t>Strategies to Determine Needs and Priorities, National</w:t>
      </w:r>
      <w:r>
        <w:rPr>
          <w:lang w:eastAsia="en-US"/>
        </w:rPr>
        <w:t xml:space="preserve"> </w:t>
      </w:r>
      <w:r w:rsidRPr="00894438">
        <w:rPr>
          <w:lang w:eastAsia="en-US"/>
        </w:rPr>
        <w:t>Academy Press, Washington, DC.</w:t>
      </w:r>
    </w:p>
    <w:p w:rsidR="0028764B" w:rsidRPr="00894438" w:rsidRDefault="0028764B" w:rsidP="0028764B">
      <w:pPr>
        <w:spacing w:before="240" w:after="240"/>
        <w:rPr>
          <w:lang w:eastAsia="en-US"/>
        </w:rPr>
      </w:pPr>
      <w:r w:rsidRPr="00894438">
        <w:rPr>
          <w:lang w:eastAsia="en-US"/>
        </w:rPr>
        <w:t>[2] Auer, CM., Nabholz, J.V. and Baetcke, K.P. (1990)</w:t>
      </w:r>
      <w:r>
        <w:rPr>
          <w:lang w:eastAsia="en-US"/>
        </w:rPr>
        <w:t xml:space="preserve"> </w:t>
      </w:r>
      <w:r w:rsidRPr="00894438">
        <w:rPr>
          <w:lang w:eastAsia="en-US"/>
        </w:rPr>
        <w:t>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relationships (SAR) under TSCA, Section 5. Environ.</w:t>
      </w:r>
      <w:r>
        <w:rPr>
          <w:lang w:eastAsia="en-US"/>
        </w:rPr>
        <w:t xml:space="preserve"> </w:t>
      </w:r>
      <w:r w:rsidRPr="00894438">
        <w:rPr>
          <w:lang w:eastAsia="en-US"/>
        </w:rPr>
        <w:t>Health Perspect. 87, 183-197.</w:t>
      </w:r>
    </w:p>
    <w:p w:rsidR="0028764B" w:rsidRDefault="0028764B" w:rsidP="0028764B">
      <w:pPr>
        <w:spacing w:before="240" w:after="240"/>
        <w:rPr>
          <w:lang w:eastAsia="en-US"/>
        </w:rPr>
      </w:pPr>
      <w:r w:rsidRPr="00894438">
        <w:rPr>
          <w:lang w:eastAsia="en-US"/>
        </w:rPr>
        <w:t>[3] Toxic Substances Control Act (TSCA) (1976) Public Law</w:t>
      </w:r>
      <w:r>
        <w:rPr>
          <w:lang w:eastAsia="en-US"/>
        </w:rPr>
        <w:t xml:space="preserve"> </w:t>
      </w:r>
      <w:r w:rsidRPr="00894438">
        <w:rPr>
          <w:lang w:eastAsia="en-US"/>
        </w:rPr>
        <w:t>94-469, 90 Stat. 2003, 11 October 1976</w:t>
      </w:r>
    </w:p>
    <w:p w:rsidR="0028764B" w:rsidRDefault="0028764B" w:rsidP="0028764B">
      <w:pPr>
        <w:spacing w:before="240" w:after="240"/>
        <w:rPr>
          <w:lang w:eastAsia="en-US"/>
        </w:rPr>
      </w:pPr>
      <w:r>
        <w:rPr>
          <w:lang w:eastAsia="en-US"/>
        </w:rPr>
        <w:t>[4]</w:t>
      </w:r>
      <w:r>
        <w:rPr>
          <w:lang w:eastAsia="en-US"/>
        </w:rPr>
        <w:tab/>
        <w:t>Cash, G., United States Environmental Protection Agency (USEPA,  Personal communication, 2014.</w:t>
      </w:r>
    </w:p>
    <w:p w:rsidR="0028764B" w:rsidRDefault="0028764B" w:rsidP="0028764B">
      <w:pPr>
        <w:spacing w:before="240" w:after="240"/>
        <w:rPr>
          <w:lang w:eastAsia="en-US"/>
        </w:rPr>
      </w:pPr>
      <w:r>
        <w:rPr>
          <w:lang w:eastAsia="en-US"/>
        </w:rPr>
        <w:t>[5] Adams, C.; Brantner, V. Estimating The Cost Of New Drug Development: Is It Really $802 Million? Health Aff. (Millwood), 2006, 25, 420-428.</w:t>
      </w:r>
    </w:p>
    <w:p w:rsidR="0028764B" w:rsidRDefault="0028764B" w:rsidP="0028764B">
      <w:pPr>
        <w:spacing w:before="240" w:after="240"/>
        <w:rPr>
          <w:lang w:eastAsia="en-US"/>
        </w:rPr>
      </w:pPr>
      <w:r>
        <w:rPr>
          <w:lang w:eastAsia="en-US"/>
        </w:rPr>
        <w:t>[6] DiMasi, J.; Hansen, R.; Grabowski, H. The price of innovation: new estimates of drug development costs. J. Health Eco., 2003, 22, 151-185.</w:t>
      </w:r>
    </w:p>
    <w:p w:rsidR="0028764B" w:rsidRDefault="0028764B" w:rsidP="0028764B">
      <w:pPr>
        <w:spacing w:before="240" w:after="240"/>
        <w:rPr>
          <w:lang w:eastAsia="en-US"/>
        </w:rPr>
      </w:pPr>
      <w:r>
        <w:rPr>
          <w:lang w:eastAsia="en-US"/>
        </w:rPr>
        <w:t>[7]</w:t>
      </w:r>
      <w:r>
        <w:rPr>
          <w:lang w:eastAsia="en-US"/>
        </w:rPr>
        <w:tab/>
        <w:t>M. Vracko, Mathematical (Structural) Descriptors in QSAR: Applications in Drug Design and Environmental Toxicology, In: Advances in Mathematical Chemistry and Applications, Subhash C. Basak, Guillermo Restrepo and J. L. Villaveces, Editors, Vol. 1,pp. 222-250, Bentham Science Publishers, in press, 2014.</w:t>
      </w:r>
    </w:p>
    <w:p w:rsidR="0028764B" w:rsidRDefault="0028764B" w:rsidP="0028764B">
      <w:pPr>
        <w:spacing w:before="240" w:after="240"/>
        <w:rPr>
          <w:lang w:eastAsia="en-US"/>
        </w:rPr>
      </w:pPr>
      <w:r>
        <w:rPr>
          <w:lang w:eastAsia="en-US"/>
        </w:rPr>
        <w:t xml:space="preserve"> [8]</w:t>
      </w:r>
      <w:r>
        <w:rPr>
          <w:lang w:eastAsia="en-US"/>
        </w:rPr>
        <w:tab/>
        <w:t xml:space="preserve">Basak, S. C., Mathematical Descriptors for the Prediction of Property, Bioactivity, and Toxicity of Chemicals from their Structure: A Chemical-Cum-Biochemical Approach, </w:t>
      </w:r>
      <w:r w:rsidRPr="00077836">
        <w:rPr>
          <w:lang w:eastAsia="en-US"/>
        </w:rPr>
        <w:t>Current Computer-Aided Drug Design, 2013, 9, 449-462</w:t>
      </w:r>
      <w:r>
        <w:rPr>
          <w:lang w:eastAsia="en-US"/>
        </w:rPr>
        <w:t>.</w:t>
      </w:r>
    </w:p>
    <w:p w:rsidR="0028764B" w:rsidRDefault="0028764B" w:rsidP="0028764B">
      <w:pPr>
        <w:spacing w:before="240" w:after="240"/>
        <w:rPr>
          <w:lang w:eastAsia="en-US"/>
        </w:rPr>
      </w:pPr>
      <w:r>
        <w:rPr>
          <w:lang w:eastAsia="en-US"/>
        </w:rPr>
        <w:t>[9]</w:t>
      </w:r>
      <w:r>
        <w:rPr>
          <w:lang w:eastAsia="en-US"/>
        </w:rPr>
        <w:tab/>
        <w:t>Basak, S.C. Role of mathematical chemodescriptors and proteomics-based biodescriptors in drug discovery. Drug Dev. Res., 2010, 72, 1-9.</w:t>
      </w:r>
    </w:p>
    <w:p w:rsidR="0028764B" w:rsidRDefault="0028764B" w:rsidP="0028764B">
      <w:pPr>
        <w:spacing w:before="240" w:after="240"/>
        <w:rPr>
          <w:lang w:eastAsia="en-US"/>
        </w:rPr>
      </w:pPr>
      <w:r>
        <w:rPr>
          <w:lang w:eastAsia="en-US"/>
        </w:rPr>
        <w:t xml:space="preserve">[10] PaDEL-Descriptor: </w:t>
      </w:r>
      <w:hyperlink r:id="rId7" w:history="1">
        <w:r w:rsidRPr="00616C5F">
          <w:rPr>
            <w:rStyle w:val="Hyperlink"/>
            <w:lang w:eastAsia="en-US"/>
          </w:rPr>
          <w:t>http://padel.nus.edu.sg/software/padeldescriptor/</w:t>
        </w:r>
      </w:hyperlink>
      <w:r>
        <w:rPr>
          <w:lang w:eastAsia="en-US"/>
        </w:rPr>
        <w:t xml:space="preserve"> </w:t>
      </w:r>
    </w:p>
    <w:p w:rsidR="0028764B" w:rsidRDefault="0028764B" w:rsidP="0028764B">
      <w:pPr>
        <w:spacing w:before="240" w:after="240"/>
        <w:rPr>
          <w:lang w:eastAsia="en-US"/>
        </w:rPr>
      </w:pPr>
      <w:r>
        <w:rPr>
          <w:lang w:eastAsia="en-US"/>
        </w:rPr>
        <w:t>[11] DRAGON - Software for the Calculation of Molecular Descriptors, Version 5.4, 2006; Todeschini, R.; Consonni, V.; Mauri, A. et al.; Talete srl.; Milan, Italy</w:t>
      </w:r>
    </w:p>
    <w:p w:rsidR="0028764B" w:rsidRDefault="0028764B" w:rsidP="0028764B">
      <w:pPr>
        <w:spacing w:before="240" w:after="240"/>
        <w:rPr>
          <w:lang w:eastAsia="en-US"/>
        </w:rPr>
      </w:pPr>
      <w:r>
        <w:rPr>
          <w:lang w:eastAsia="en-US"/>
        </w:rPr>
        <w:lastRenderedPageBreak/>
        <w:t>[12] MolconnZ, Version 4.05, 2003; Hall Ass. Consult.; Quincy, MA.</w:t>
      </w:r>
    </w:p>
    <w:p w:rsidR="0028764B" w:rsidRDefault="0028764B" w:rsidP="0028764B">
      <w:pPr>
        <w:spacing w:before="240" w:after="240"/>
        <w:rPr>
          <w:lang w:eastAsia="en-US"/>
        </w:rPr>
      </w:pPr>
      <w:r>
        <w:rPr>
          <w:lang w:eastAsia="en-US"/>
        </w:rPr>
        <w:t>[13] Basak, S.C.; Harriss, D.K.; Magnuson, V.R. POLLY v. 2.3: 1988; Copyright of the University of Minnesota, USA.</w:t>
      </w:r>
    </w:p>
    <w:p w:rsidR="0028764B" w:rsidRDefault="0028764B" w:rsidP="0028764B">
      <w:pPr>
        <w:spacing w:before="240" w:after="240"/>
        <w:rPr>
          <w:lang w:eastAsia="en-US"/>
        </w:rPr>
      </w:pPr>
      <w:r>
        <w:rPr>
          <w:lang w:eastAsia="en-US"/>
        </w:rPr>
        <w:t>[14] Basak, S.C.; Grunwald, G.D. APProbe. 1993; Copyright of the University of Minnesota, USA.</w:t>
      </w:r>
    </w:p>
    <w:p w:rsidR="006B7AAD" w:rsidRDefault="006B7AAD">
      <w:pPr>
        <w:spacing w:line="240" w:lineRule="auto"/>
        <w:jc w:val="left"/>
        <w:rPr>
          <w:b/>
        </w:rPr>
      </w:pPr>
    </w:p>
    <w:p w:rsidR="0028764B" w:rsidRDefault="0028764B">
      <w:pPr>
        <w:spacing w:line="240" w:lineRule="auto"/>
        <w:jc w:val="left"/>
        <w:rPr>
          <w:b/>
        </w:rPr>
      </w:pPr>
      <w:r>
        <w:rPr>
          <w:b/>
        </w:rPr>
        <w:br w:type="page"/>
      </w:r>
    </w:p>
    <w:p w:rsidR="00AB66AE" w:rsidRPr="00AB66AE" w:rsidRDefault="006B7AAD" w:rsidP="00E0076F">
      <w:pPr>
        <w:pStyle w:val="MCopyright"/>
        <w:tabs>
          <w:tab w:val="left" w:pos="720"/>
        </w:tabs>
        <w:jc w:val="both"/>
        <w:rPr>
          <w:b/>
        </w:rPr>
      </w:pPr>
      <w:r>
        <w:rPr>
          <w:b/>
        </w:rPr>
        <w:lastRenderedPageBreak/>
        <w:t>Supplementary materials</w:t>
      </w:r>
    </w:p>
    <w:p w:rsidR="006B7AAD" w:rsidRDefault="006B7AAD" w:rsidP="006B7AAD">
      <w:pPr>
        <w:outlineLvl w:val="0"/>
        <w:rPr>
          <w:color w:val="000000" w:themeColor="text1"/>
          <w:szCs w:val="24"/>
        </w:rPr>
      </w:pPr>
    </w:p>
    <w:p w:rsidR="00AB66AE" w:rsidRPr="00AB66AE" w:rsidRDefault="00AB66AE" w:rsidP="006B7AAD">
      <w:pPr>
        <w:outlineLvl w:val="0"/>
        <w:rPr>
          <w:color w:val="000000" w:themeColor="text1"/>
          <w:szCs w:val="24"/>
        </w:rPr>
      </w:pPr>
      <w:r w:rsidRPr="00AB66AE">
        <w:rPr>
          <w:color w:val="000000" w:themeColor="text1"/>
          <w:szCs w:val="24"/>
        </w:rPr>
        <w:t xml:space="preserve">Table </w:t>
      </w:r>
      <w:r w:rsidR="00A66604">
        <w:rPr>
          <w:color w:val="000000" w:themeColor="text1"/>
          <w:szCs w:val="24"/>
        </w:rPr>
        <w:t>S1</w:t>
      </w:r>
      <w:r w:rsidRPr="00AB66AE">
        <w:rPr>
          <w:color w:val="000000" w:themeColor="text1"/>
          <w:szCs w:val="24"/>
        </w:rPr>
        <w:t>.  Symbols, definitions and classification of topological indices</w:t>
      </w:r>
    </w:p>
    <w:p w:rsidR="00AB66AE" w:rsidRPr="00AB66AE" w:rsidRDefault="00AB66AE" w:rsidP="00E0076F">
      <w:pPr>
        <w:jc w:val="center"/>
        <w:outlineLvl w:val="0"/>
        <w:rPr>
          <w:color w:val="000000" w:themeColor="text1"/>
          <w:szCs w:val="24"/>
        </w:rPr>
      </w:pPr>
    </w:p>
    <w:tbl>
      <w:tblPr>
        <w:tblStyle w:val="LightShading1"/>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18"/>
        <w:gridCol w:w="6300"/>
        <w:gridCol w:w="1530"/>
        <w:gridCol w:w="1260"/>
      </w:tblGrid>
      <w:tr w:rsidR="00114C85" w:rsidRPr="00AB66AE" w:rsidTr="00114C85">
        <w:trPr>
          <w:cnfStyle w:val="100000000000" w:firstRow="1" w:lastRow="0" w:firstColumn="0" w:lastColumn="0" w:oddVBand="0" w:evenVBand="0" w:oddHBand="0" w:evenHBand="0" w:firstRowFirstColumn="0" w:firstRowLastColumn="0" w:lastRowFirstColumn="0" w:lastRowLastColumn="0"/>
        </w:trPr>
        <w:tc>
          <w:tcPr>
            <w:tcW w:w="918" w:type="dxa"/>
            <w:tcBorders>
              <w:top w:val="single" w:sz="12" w:space="0" w:color="auto"/>
              <w:bottom w:val="single" w:sz="12" w:space="0" w:color="auto"/>
            </w:tcBorders>
            <w:vAlign w:val="center"/>
          </w:tcPr>
          <w:p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val="0"/>
                <w:i/>
                <w:sz w:val="18"/>
                <w:szCs w:val="18"/>
              </w:rPr>
            </w:pPr>
          </w:p>
        </w:tc>
        <w:tc>
          <w:tcPr>
            <w:tcW w:w="6300" w:type="dxa"/>
            <w:tcBorders>
              <w:top w:val="single" w:sz="12" w:space="0" w:color="auto"/>
              <w:bottom w:val="single" w:sz="12" w:space="0" w:color="auto"/>
              <w:right w:val="single" w:sz="12" w:space="0" w:color="auto"/>
            </w:tcBorders>
            <w:vAlign w:val="center"/>
            <w:hideMark/>
          </w:tcPr>
          <w:p w:rsidR="00114C85" w:rsidRPr="00E0076F"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E0076F">
              <w:rPr>
                <w:rFonts w:ascii="Times New Roman" w:hAnsi="Times New Roman" w:cs="Times New Roman"/>
                <w:bCs w:val="0"/>
                <w:sz w:val="18"/>
                <w:szCs w:val="18"/>
              </w:rPr>
              <w:t>Topostructural (TS)</w:t>
            </w:r>
          </w:p>
        </w:tc>
        <w:tc>
          <w:tcPr>
            <w:tcW w:w="1530" w:type="dxa"/>
            <w:tcBorders>
              <w:top w:val="single" w:sz="12" w:space="0" w:color="auto"/>
              <w:left w:val="single" w:sz="12" w:space="0" w:color="auto"/>
              <w:bottom w:val="single" w:sz="12" w:space="0" w:color="auto"/>
              <w:right w:val="single" w:sz="12" w:space="0" w:color="auto"/>
            </w:tcBorders>
            <w:vAlign w:val="center"/>
          </w:tcPr>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508 compound data?</w:t>
            </w:r>
          </w:p>
        </w:tc>
        <w:tc>
          <w:tcPr>
            <w:tcW w:w="1260" w:type="dxa"/>
            <w:tcBorders>
              <w:top w:val="single" w:sz="12" w:space="0" w:color="auto"/>
              <w:left w:val="single" w:sz="12" w:space="0" w:color="auto"/>
              <w:bottom w:val="single" w:sz="12" w:space="0" w:color="auto"/>
            </w:tcBorders>
            <w:vAlign w:val="center"/>
          </w:tcPr>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95</w:t>
            </w:r>
          </w:p>
          <w:p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Amine data?</w:t>
            </w:r>
          </w:p>
        </w:tc>
      </w:tr>
      <w:tr w:rsidR="00B96791" w:rsidRPr="00AB66AE" w:rsidTr="00114C85">
        <w:tc>
          <w:tcPr>
            <w:tcW w:w="918" w:type="dxa"/>
            <w:tcBorders>
              <w:top w:val="single" w:sz="12" w:space="0" w:color="auto"/>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top w:val="single" w:sz="12" w:space="0" w:color="auto"/>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index for the magnitudes of distances between all possible pairs of vertices of a graph</w:t>
            </w:r>
          </w:p>
        </w:tc>
        <w:tc>
          <w:tcPr>
            <w:tcW w:w="1530" w:type="dxa"/>
            <w:tcBorders>
              <w:top w:val="single" w:sz="12" w:space="0" w:color="auto"/>
              <w:left w:val="single" w:sz="12" w:space="0" w:color="auto"/>
              <w:right w:val="single" w:sz="12" w:space="0" w:color="auto"/>
            </w:tcBorders>
            <w:vAlign w:val="center"/>
          </w:tcPr>
          <w:p w:rsidR="00B96791" w:rsidRPr="009847F1" w:rsidRDefault="00B96791"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Mean information index for the magnitude of distance</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w:t>
            </w:r>
          </w:p>
        </w:tc>
        <w:tc>
          <w:tcPr>
            <w:tcW w:w="6300" w:type="dxa"/>
            <w:tcBorders>
              <w:left w:val="nil"/>
              <w:right w:val="single" w:sz="12" w:space="0" w:color="auto"/>
            </w:tcBorders>
            <w:vAlign w:val="center"/>
            <w:hideMark/>
          </w:tcPr>
          <w:p w:rsidR="00B96791" w:rsidRPr="00E0076F" w:rsidRDefault="00B96791" w:rsidP="001B45F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Wiener index = half-sum of the off-diagonal elements of the distance matrix of a graph</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Degree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vertex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distance complexity</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IC</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Information content of the distance matrix partitioned by frequency of occurrences of distance </w:t>
            </w:r>
            <w:r w:rsidRPr="00E0076F">
              <w:rPr>
                <w:rFonts w:ascii="Times New Roman" w:hAnsi="Times New Roman" w:cs="Times New Roman"/>
                <w:i/>
                <w:sz w:val="18"/>
                <w:szCs w:val="18"/>
              </w:rPr>
              <w:t>h</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1</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square of degree over all vertices</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rsidTr="00114C85">
        <w:tc>
          <w:tcPr>
            <w:tcW w:w="918" w:type="dxa"/>
            <w:tcBorders>
              <w:left w:val="nil"/>
              <w:right w:val="nil"/>
            </w:tcBorders>
            <w:vAlign w:val="center"/>
            <w:hideMark/>
          </w:tcPr>
          <w:p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2</w:t>
            </w:r>
          </w:p>
        </w:tc>
        <w:tc>
          <w:tcPr>
            <w:tcW w:w="6300" w:type="dxa"/>
            <w:tcBorders>
              <w:left w:val="nil"/>
              <w:right w:val="single" w:sz="12" w:space="0" w:color="auto"/>
            </w:tcBorders>
            <w:vAlign w:val="center"/>
            <w:hideMark/>
          </w:tcPr>
          <w:p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cross-product of degrees over all neighboring (connected) vertices</w:t>
            </w:r>
          </w:p>
        </w:tc>
        <w:tc>
          <w:tcPr>
            <w:tcW w:w="1530" w:type="dxa"/>
            <w:tcBorders>
              <w:left w:val="single" w:sz="12" w:space="0" w:color="auto"/>
              <w:right w:val="single" w:sz="12" w:space="0" w:color="auto"/>
            </w:tcBorders>
            <w:vAlign w:val="center"/>
          </w:tcPr>
          <w:p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val="restart"/>
            <w:tcBorders>
              <w:left w:val="nil"/>
              <w:right w:val="nil"/>
            </w:tcBorders>
            <w:vAlign w:val="center"/>
            <w:hideMark/>
          </w:tcPr>
          <w:p w:rsidR="00784C3A" w:rsidRPr="00B96791"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784C3A" w:rsidRPr="00E0076F"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784C3A">
              <w:rPr>
                <w:rFonts w:ascii="Times New Roman" w:hAnsi="Times New Roman" w:cs="Times New Roman"/>
                <w:i/>
                <w:sz w:val="18"/>
                <w:szCs w:val="18"/>
              </w:rPr>
              <w:t>h</w:t>
            </w:r>
            <w:r>
              <w:rPr>
                <w:rFonts w:ascii="Times New Roman" w:hAnsi="Times New Roman" w:cs="Times New Roman"/>
                <w:sz w:val="18"/>
                <w:szCs w:val="18"/>
              </w:rPr>
              <w:t xml:space="preserve"> = </w:t>
            </w:r>
            <w:r>
              <w:rPr>
                <w:rFonts w:ascii="Times New Roman" w:hAnsi="Times New Roman" w:cs="Times New Roman"/>
                <w:i/>
                <w:sz w:val="18"/>
                <w:szCs w:val="18"/>
              </w:rPr>
              <w:t>6</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val="restart"/>
            <w:tcBorders>
              <w:left w:val="nil"/>
              <w:right w:val="nil"/>
            </w:tcBorders>
            <w:vAlign w:val="center"/>
            <w:hideMark/>
          </w:tcPr>
          <w:p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rsidR="00784C3A" w:rsidRPr="00E0076F" w:rsidRDefault="00784C3A" w:rsidP="00F56FC5">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Pr>
                <w:rFonts w:ascii="Times New Roman" w:hAnsi="Times New Roman" w:cs="Times New Roman"/>
                <w:sz w:val="18"/>
                <w:szCs w:val="18"/>
              </w:rPr>
              <w:t xml:space="preserve"> = 3, 4, 7, 8</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5, 6, 9, </w:t>
            </w:r>
            <w:r w:rsidRPr="00E0076F">
              <w:rPr>
                <w:rFonts w:ascii="Times New Roman" w:hAnsi="Times New Roman" w:cs="Times New Roman"/>
                <w:sz w:val="18"/>
                <w:szCs w:val="18"/>
              </w:rPr>
              <w:t>10</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rsidTr="00114C85">
        <w:tc>
          <w:tcPr>
            <w:tcW w:w="918" w:type="dxa"/>
            <w:tcBorders>
              <w:left w:val="nil"/>
              <w:right w:val="nil"/>
            </w:tcBorders>
            <w:vAlign w:val="center"/>
            <w:hideMark/>
          </w:tcPr>
          <w:p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w:t>
            </w:r>
            <w:r w:rsidRPr="00B96791">
              <w:rPr>
                <w:rFonts w:ascii="Times New Roman" w:hAnsi="Times New Roman" w:cs="Times New Roman"/>
                <w:i/>
                <w:sz w:val="18"/>
                <w:szCs w:val="18"/>
                <w:vertAlign w:val="subscript"/>
              </w:rPr>
              <w:t>h</w:t>
            </w:r>
          </w:p>
        </w:tc>
        <w:tc>
          <w:tcPr>
            <w:tcW w:w="6300" w:type="dxa"/>
            <w:tcBorders>
              <w:left w:val="nil"/>
              <w:right w:val="single" w:sz="12" w:space="0" w:color="auto"/>
            </w:tcBorders>
            <w:vAlign w:val="center"/>
            <w:hideMark/>
          </w:tcPr>
          <w:p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paths of length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Pr>
                <w:rFonts w:ascii="Times New Roman" w:hAnsi="Times New Roman" w:cs="Times New Roman"/>
                <w:sz w:val="18"/>
                <w:szCs w:val="18"/>
              </w:rPr>
              <w:t xml:space="preserve"> </w:t>
            </w:r>
            <w:r w:rsidRPr="00E0076F">
              <w:rPr>
                <w:rFonts w:ascii="Times New Roman" w:hAnsi="Times New Roman" w:cs="Times New Roman"/>
                <w:i/>
                <w:sz w:val="18"/>
                <w:szCs w:val="18"/>
              </w:rPr>
              <w:t>J</w:t>
            </w:r>
            <w:r w:rsidRPr="00E0076F">
              <w:rPr>
                <w:rFonts w:ascii="Times New Roman" w:hAnsi="Times New Roman" w:cs="Times New Roman"/>
                <w:sz w:val="18"/>
                <w:szCs w:val="18"/>
              </w:rPr>
              <w:t xml:space="preserve"> index based on topological distance </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nrings</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rings in a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ncirc</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circuits in a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331BFF">
        <w:tc>
          <w:tcPr>
            <w:tcW w:w="918" w:type="dxa"/>
            <w:vMerge w:val="restart"/>
            <w:tcBorders>
              <w:left w:val="nil"/>
              <w:right w:val="nil"/>
            </w:tcBorders>
            <w:vAlign w:val="center"/>
            <w:hideMark/>
          </w:tcPr>
          <w:p w:rsidR="00784C3A" w:rsidRPr="00B96791" w:rsidRDefault="00784C3A"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rsidTr="00114C85">
        <w:tc>
          <w:tcPr>
            <w:tcW w:w="918" w:type="dxa"/>
            <w:vMerge/>
            <w:tcBorders>
              <w:left w:val="nil"/>
              <w:right w:val="nil"/>
            </w:tcBorders>
            <w:vAlign w:val="center"/>
            <w:hideMark/>
          </w:tcPr>
          <w:p w:rsidR="00784C3A" w:rsidRPr="00B96791" w:rsidRDefault="00784C3A"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331BFF">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164C8C" w:rsidRPr="00E0076F" w:rsidRDefault="00164C8C"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tcPr>
          <w:p w:rsidR="00164C8C" w:rsidRPr="00B96791" w:rsidRDefault="00164C8C" w:rsidP="000F27D8">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tcPr>
          <w:p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164C8C">
              <w:rPr>
                <w:rFonts w:ascii="Times New Roman" w:hAnsi="Times New Roman" w:cs="Times New Roman"/>
                <w:i/>
                <w:sz w:val="18"/>
                <w:szCs w:val="18"/>
              </w:rPr>
              <w:t>y</w:t>
            </w:r>
            <w:r>
              <w:rPr>
                <w:rFonts w:ascii="Times New Roman" w:hAnsi="Times New Roman" w:cs="Times New Roman"/>
                <w:sz w:val="18"/>
                <w:szCs w:val="18"/>
              </w:rPr>
              <w:t xml:space="preserve"> = </w:t>
            </w:r>
            <w:r w:rsidRPr="00164C8C">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331BFF">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sidRPr="00E0076F">
              <w:rPr>
                <w:rFonts w:ascii="Times New Roman" w:hAnsi="Times New Roman" w:cs="Times New Roman"/>
                <w:sz w:val="18"/>
                <w:szCs w:val="18"/>
              </w:rPr>
              <w:lastRenderedPageBreak/>
              <w:t>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67025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0</w:t>
            </w:r>
          </w:p>
        </w:tc>
        <w:tc>
          <w:tcPr>
            <w:tcW w:w="6300" w:type="dxa"/>
            <w:tcBorders>
              <w:left w:val="nil"/>
              <w:right w:val="single" w:sz="12" w:space="0" w:color="auto"/>
            </w:tcBorders>
            <w:vAlign w:val="center"/>
            <w:hideMark/>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zero</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bottom w:val="single" w:sz="12" w:space="0" w:color="auto"/>
              <w:right w:val="nil"/>
            </w:tcBorders>
            <w:vAlign w:val="center"/>
            <w:hideMark/>
          </w:tcPr>
          <w:p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3</w:t>
            </w:r>
          </w:p>
        </w:tc>
        <w:tc>
          <w:tcPr>
            <w:tcW w:w="6300" w:type="dxa"/>
            <w:tcBorders>
              <w:left w:val="nil"/>
              <w:bottom w:val="single" w:sz="12" w:space="0" w:color="auto"/>
              <w:right w:val="single" w:sz="12" w:space="0" w:color="auto"/>
            </w:tcBorders>
            <w:vAlign w:val="center"/>
          </w:tcPr>
          <w:p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simple indices</w:t>
            </w:r>
          </w:p>
          <w:p w:rsidR="0067025D" w:rsidRPr="00E0076F" w:rsidRDefault="0067025D" w:rsidP="001B45F2">
            <w:pPr>
              <w:spacing w:line="240" w:lineRule="auto"/>
              <w:jc w:val="left"/>
              <w:rPr>
                <w:rFonts w:ascii="Times New Roman" w:hAnsi="Times New Roman" w:cs="Times New Roman"/>
                <w:sz w:val="18"/>
                <w:szCs w:val="18"/>
              </w:rPr>
            </w:pPr>
          </w:p>
        </w:tc>
        <w:tc>
          <w:tcPr>
            <w:tcW w:w="1530" w:type="dxa"/>
            <w:tcBorders>
              <w:left w:val="single" w:sz="12" w:space="0" w:color="auto"/>
              <w:bottom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tcPr>
          <w:p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845888" w:rsidTr="00114C85">
        <w:tc>
          <w:tcPr>
            <w:tcW w:w="918" w:type="dxa"/>
            <w:tcBorders>
              <w:top w:val="single" w:sz="12" w:space="0" w:color="auto"/>
              <w:left w:val="nil"/>
              <w:bottom w:val="single" w:sz="12" w:space="0" w:color="auto"/>
              <w:right w:val="nil"/>
            </w:tcBorders>
            <w:vAlign w:val="center"/>
            <w:hideMark/>
          </w:tcPr>
          <w:p w:rsidR="0067025D" w:rsidRPr="00B96791" w:rsidRDefault="0067025D" w:rsidP="00845888">
            <w:pPr>
              <w:spacing w:line="240" w:lineRule="auto"/>
              <w:jc w:val="center"/>
              <w:rPr>
                <w:b/>
                <w:i/>
                <w:sz w:val="18"/>
                <w:szCs w:val="18"/>
              </w:rPr>
            </w:pPr>
          </w:p>
        </w:tc>
        <w:tc>
          <w:tcPr>
            <w:tcW w:w="6300" w:type="dxa"/>
            <w:tcBorders>
              <w:top w:val="single" w:sz="12" w:space="0" w:color="auto"/>
              <w:left w:val="nil"/>
              <w:bottom w:val="single" w:sz="12" w:space="0" w:color="auto"/>
              <w:right w:val="single" w:sz="12" w:space="0" w:color="auto"/>
            </w:tcBorders>
            <w:vAlign w:val="center"/>
          </w:tcPr>
          <w:p w:rsidR="0067025D" w:rsidRPr="00845888" w:rsidRDefault="0067025D" w:rsidP="00845888">
            <w:pPr>
              <w:spacing w:line="240" w:lineRule="auto"/>
              <w:jc w:val="center"/>
              <w:rPr>
                <w:rFonts w:ascii="Times New Roman" w:hAnsi="Times New Roman" w:cs="Times New Roman"/>
                <w:b/>
                <w:sz w:val="18"/>
                <w:szCs w:val="18"/>
              </w:rPr>
            </w:pPr>
            <w:r w:rsidRPr="00845888">
              <w:rPr>
                <w:rFonts w:ascii="Times New Roman" w:hAnsi="Times New Roman" w:cs="Times New Roman"/>
                <w:b/>
                <w:sz w:val="18"/>
                <w:szCs w:val="18"/>
              </w:rPr>
              <w:t>Topochemical (TC)</w:t>
            </w:r>
          </w:p>
        </w:tc>
        <w:tc>
          <w:tcPr>
            <w:tcW w:w="1530" w:type="dxa"/>
            <w:tcBorders>
              <w:top w:val="single" w:sz="12" w:space="0" w:color="auto"/>
              <w:left w:val="single" w:sz="12" w:space="0" w:color="auto"/>
              <w:bottom w:val="single" w:sz="12" w:space="0" w:color="auto"/>
              <w:right w:val="single" w:sz="12" w:space="0" w:color="auto"/>
            </w:tcBorders>
            <w:vAlign w:val="center"/>
          </w:tcPr>
          <w:p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67025D" w:rsidRPr="00AB66AE" w:rsidTr="00114C85">
        <w:tc>
          <w:tcPr>
            <w:tcW w:w="918" w:type="dxa"/>
            <w:tcBorders>
              <w:top w:val="single" w:sz="12" w:space="0" w:color="auto"/>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O</w:t>
            </w:r>
          </w:p>
        </w:tc>
        <w:tc>
          <w:tcPr>
            <w:tcW w:w="6300" w:type="dxa"/>
            <w:tcBorders>
              <w:top w:val="single" w:sz="12" w:space="0" w:color="auto"/>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r w:rsidRPr="00E0076F">
              <w:rPr>
                <w:rFonts w:ascii="Times New Roman" w:hAnsi="Times New Roman" w:cs="Times New Roman"/>
                <w:sz w:val="18"/>
                <w:szCs w:val="18"/>
              </w:rPr>
              <w:t xml:space="preserve"> reaches its maximum value for the hydrogen-filled graph</w:t>
            </w:r>
          </w:p>
        </w:tc>
        <w:tc>
          <w:tcPr>
            <w:tcW w:w="1530" w:type="dxa"/>
            <w:tcBorders>
              <w:top w:val="single" w:sz="12" w:space="0" w:color="auto"/>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O</w:t>
            </w:r>
            <w:r w:rsidRPr="006E09D5">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r w:rsidRPr="00E0076F">
              <w:rPr>
                <w:rFonts w:ascii="Times New Roman" w:hAnsi="Times New Roman" w:cs="Times New Roman"/>
                <w:sz w:val="18"/>
                <w:szCs w:val="18"/>
              </w:rPr>
              <w:t xml:space="preserve"> reaches its maximum value for the hydrogen-suppressed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I</w:t>
            </w:r>
            <w:r w:rsidRPr="006E09D5">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content or complexity of the hydrogen-suppressed graph at its maximum neighborhood of vertices</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Mean information content or complexity of a graph based on the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SIC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Structural information content for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CIC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Complementary information content for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3, 5</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114C85">
        <w:tc>
          <w:tcPr>
            <w:tcW w:w="918" w:type="dxa"/>
            <w:vMerge w:val="restart"/>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rsidTr="00114C85">
        <w:tc>
          <w:tcPr>
            <w:tcW w:w="918" w:type="dxa"/>
            <w:vMerge/>
            <w:tcBorders>
              <w:left w:val="nil"/>
              <w:right w:val="nil"/>
            </w:tcBorders>
            <w:vAlign w:val="center"/>
            <w:hideMark/>
          </w:tcPr>
          <w:p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w:t>
            </w:r>
          </w:p>
        </w:tc>
        <w:tc>
          <w:tcPr>
            <w:tcW w:w="1530" w:type="dxa"/>
            <w:tcBorders>
              <w:left w:val="single" w:sz="12" w:space="0" w:color="auto"/>
              <w:right w:val="single" w:sz="12" w:space="0" w:color="auto"/>
            </w:tcBorders>
            <w:vAlign w:val="center"/>
          </w:tcPr>
          <w:p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rsidR="003F3D08" w:rsidRPr="00E0076F" w:rsidRDefault="003F3D08" w:rsidP="00CA1EF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w:t>
            </w:r>
            <w:r w:rsidR="00CA1EF5">
              <w:rPr>
                <w:rFonts w:ascii="Times New Roman" w:hAnsi="Times New Roman" w:cs="Times New Roman"/>
                <w:sz w:val="18"/>
                <w:szCs w:val="18"/>
              </w:rPr>
              <w:t>6</w:t>
            </w:r>
          </w:p>
        </w:tc>
        <w:tc>
          <w:tcPr>
            <w:tcW w:w="1530" w:type="dxa"/>
            <w:tcBorders>
              <w:left w:val="single" w:sz="12" w:space="0" w:color="auto"/>
              <w:right w:val="single" w:sz="12" w:space="0" w:color="auto"/>
            </w:tcBorders>
            <w:vAlign w:val="center"/>
          </w:tcPr>
          <w:p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rsidTr="00114C85">
        <w:tc>
          <w:tcPr>
            <w:tcW w:w="918" w:type="dxa"/>
            <w:vMerge w:val="restart"/>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rsidR="008A4FEF" w:rsidRPr="00E0076F" w:rsidRDefault="008A4FEF"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 5</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rsidTr="00114C85">
        <w:tc>
          <w:tcPr>
            <w:tcW w:w="918" w:type="dxa"/>
            <w:vMerge/>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rsidTr="00114C85">
        <w:tc>
          <w:tcPr>
            <w:tcW w:w="918" w:type="dxa"/>
            <w:vMerge w:val="restart"/>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rsidR="008A4FEF" w:rsidRPr="00E0076F" w:rsidRDefault="008A4FEF"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3, 4, 7, 8</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rsidTr="00114C85">
        <w:tc>
          <w:tcPr>
            <w:tcW w:w="918" w:type="dxa"/>
            <w:vMerge/>
            <w:tcBorders>
              <w:left w:val="nil"/>
              <w:right w:val="nil"/>
            </w:tcBorders>
            <w:vAlign w:val="center"/>
            <w:hideMark/>
          </w:tcPr>
          <w:p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5, 6, 9, 10</w:t>
            </w:r>
          </w:p>
        </w:tc>
        <w:tc>
          <w:tcPr>
            <w:tcW w:w="1530" w:type="dxa"/>
            <w:tcBorders>
              <w:left w:val="single" w:sz="12" w:space="0" w:color="auto"/>
              <w:right w:val="single" w:sz="12" w:space="0" w:color="auto"/>
            </w:tcBorders>
            <w:vAlign w:val="center"/>
          </w:tcPr>
          <w:p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004527DB">
              <w:rPr>
                <w:rFonts w:ascii="Times New Roman" w:hAnsi="Times New Roman" w:cs="Times New Roman"/>
                <w:sz w:val="18"/>
                <w:szCs w:val="18"/>
              </w:rPr>
              <w:t xml:space="preserve"> </w:t>
            </w:r>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bond types</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X</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004527DB">
              <w:rPr>
                <w:rFonts w:ascii="Times New Roman" w:hAnsi="Times New Roman" w:cs="Times New Roman"/>
                <w:sz w:val="18"/>
                <w:szCs w:val="18"/>
              </w:rPr>
              <w:t xml:space="preserve"> </w:t>
            </w:r>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relative electronegativities</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004527DB">
              <w:rPr>
                <w:rFonts w:ascii="Times New Roman" w:hAnsi="Times New Roman" w:cs="Times New Roman"/>
                <w:sz w:val="18"/>
                <w:szCs w:val="18"/>
              </w:rPr>
              <w:t xml:space="preserve"> </w:t>
            </w:r>
            <w:bookmarkStart w:id="0" w:name="_GoBack"/>
            <w:bookmarkEnd w:id="0"/>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relative covalent radii</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rsidTr="00331BFF">
        <w:tc>
          <w:tcPr>
            <w:tcW w:w="918" w:type="dxa"/>
            <w:vMerge w:val="restart"/>
            <w:tcBorders>
              <w:left w:val="nil"/>
              <w:right w:val="nil"/>
            </w:tcBorders>
            <w:vAlign w:val="center"/>
            <w:hideMark/>
          </w:tcPr>
          <w:p w:rsidR="00675E24" w:rsidRPr="00B96791" w:rsidRDefault="00675E24"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rsidTr="00114C85">
        <w:tc>
          <w:tcPr>
            <w:tcW w:w="918" w:type="dxa"/>
            <w:vMerge/>
            <w:tcBorders>
              <w:left w:val="nil"/>
              <w:right w:val="nil"/>
            </w:tcBorders>
            <w:vAlign w:val="center"/>
            <w:hideMark/>
          </w:tcPr>
          <w:p w:rsidR="00675E24" w:rsidRPr="00B96791" w:rsidRDefault="00675E24"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rsidTr="00114C85">
        <w:tc>
          <w:tcPr>
            <w:tcW w:w="918" w:type="dxa"/>
            <w:tcBorders>
              <w:left w:val="nil"/>
              <w:right w:val="nil"/>
            </w:tcBorders>
            <w:vAlign w:val="center"/>
            <w:hideMark/>
          </w:tcPr>
          <w:p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rsidTr="00331BFF">
        <w:tc>
          <w:tcPr>
            <w:tcW w:w="918" w:type="dxa"/>
            <w:vMerge w:val="restart"/>
            <w:tcBorders>
              <w:left w:val="nil"/>
              <w:right w:val="nil"/>
            </w:tcBorders>
            <w:vAlign w:val="center"/>
            <w:hideMark/>
          </w:tcPr>
          <w:p w:rsidR="00C9784D" w:rsidRPr="00B96791" w:rsidRDefault="00C9784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rsidTr="00114C85">
        <w:tc>
          <w:tcPr>
            <w:tcW w:w="918" w:type="dxa"/>
            <w:vMerge/>
            <w:tcBorders>
              <w:left w:val="nil"/>
              <w:right w:val="nil"/>
            </w:tcBorders>
            <w:vAlign w:val="center"/>
            <w:hideMark/>
          </w:tcPr>
          <w:p w:rsidR="00C9784D" w:rsidRPr="00B96791" w:rsidRDefault="00C9784D"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rsidTr="00114C85">
        <w:tc>
          <w:tcPr>
            <w:tcW w:w="918" w:type="dxa"/>
            <w:tcBorders>
              <w:left w:val="nil"/>
              <w:right w:val="nil"/>
            </w:tcBorders>
            <w:vAlign w:val="center"/>
            <w:hideMark/>
          </w:tcPr>
          <w:p w:rsidR="003F3D08" w:rsidRPr="00B96791" w:rsidRDefault="003F3D08" w:rsidP="00114C85">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1,2 </w:t>
            </w:r>
          </w:p>
        </w:tc>
        <w:tc>
          <w:tcPr>
            <w:tcW w:w="1530" w:type="dxa"/>
            <w:tcBorders>
              <w:left w:val="single" w:sz="12" w:space="0" w:color="auto"/>
              <w:right w:val="single" w:sz="12" w:space="0" w:color="auto"/>
            </w:tcBorders>
            <w:vAlign w:val="center"/>
          </w:tcPr>
          <w:p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492183" w:rsidRPr="00AB66AE" w:rsidTr="00114C85">
        <w:tc>
          <w:tcPr>
            <w:tcW w:w="918" w:type="dxa"/>
            <w:tcBorders>
              <w:left w:val="nil"/>
              <w:right w:val="nil"/>
            </w:tcBorders>
            <w:vAlign w:val="center"/>
            <w:hideMark/>
          </w:tcPr>
          <w:p w:rsidR="00492183" w:rsidRPr="00B96791" w:rsidRDefault="00492183" w:rsidP="00114C85">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lastRenderedPageBreak/>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492183" w:rsidRPr="00E0076F" w:rsidRDefault="00492183" w:rsidP="0097619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sidR="0097619D">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rsidR="00492183" w:rsidRPr="009847F1" w:rsidRDefault="00492183"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492183" w:rsidRPr="009847F1" w:rsidRDefault="00492183"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97619D" w:rsidRPr="00E0076F" w:rsidRDefault="0097619D"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Pr>
                <w:rFonts w:ascii="Times New Roman" w:hAnsi="Times New Roman" w:cs="Times New Roman"/>
                <w:sz w:val="18"/>
                <w:szCs w:val="18"/>
              </w:rPr>
              <w:t>3-</w:t>
            </w:r>
            <w:r w:rsidRPr="0097619D">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nvx</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non-hydrogen atoms in a molecule</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nelem</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elements in a molecule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fw</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Molecular weight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si</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Shannon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totop</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Index </w:t>
            </w:r>
            <w:r w:rsidRPr="00E0076F">
              <w:rPr>
                <w:rFonts w:ascii="Times New Roman" w:hAnsi="Times New Roman" w:cs="Times New Roman"/>
                <w:i/>
                <w:sz w:val="18"/>
                <w:szCs w:val="18"/>
              </w:rPr>
              <w:t>t</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sumI</w:t>
            </w:r>
          </w:p>
        </w:tc>
        <w:tc>
          <w:tcPr>
            <w:tcW w:w="6300" w:type="dxa"/>
            <w:tcBorders>
              <w:left w:val="nil"/>
              <w:right w:val="single" w:sz="12" w:space="0" w:color="auto"/>
            </w:tcBorders>
            <w:vAlign w:val="center"/>
            <w:hideMark/>
          </w:tcPr>
          <w:p w:rsidR="0097619D" w:rsidRPr="00E0076F" w:rsidRDefault="0097619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Sum of the intrinsic state values </w:t>
            </w:r>
            <w:r w:rsidRPr="00E0076F">
              <w:rPr>
                <w:rFonts w:ascii="Times New Roman" w:hAnsi="Times New Roman" w:cs="Times New Roman"/>
                <w:i/>
                <w:sz w:val="18"/>
                <w:szCs w:val="18"/>
              </w:rPr>
              <w:t>I</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sumdelI</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Sum of delta-</w:t>
            </w:r>
            <w:r w:rsidRPr="00E0076F">
              <w:rPr>
                <w:rFonts w:ascii="Times New Roman" w:hAnsi="Times New Roman" w:cs="Times New Roman"/>
                <w:i/>
                <w:sz w:val="18"/>
                <w:szCs w:val="18"/>
              </w:rPr>
              <w:t>I</w:t>
            </w:r>
            <w:r w:rsidRPr="00E0076F">
              <w:rPr>
                <w:rFonts w:ascii="Times New Roman" w:hAnsi="Times New Roman" w:cs="Times New Roman"/>
                <w:sz w:val="18"/>
                <w:szCs w:val="18"/>
              </w:rPr>
              <w:t xml:space="preserve"> values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tets2</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Total topological state index based on electrotopological state indices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phia</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Flexibility index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1</w:t>
            </w:r>
            <w:r w:rsidRPr="00E0076F">
              <w:rPr>
                <w:rFonts w:ascii="Times New Roman" w:hAnsi="Times New Roman" w:cs="Times New Roman"/>
                <w:sz w:val="18"/>
                <w:szCs w:val="18"/>
              </w:rPr>
              <w:t xml:space="preserve">*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2</w:t>
            </w:r>
            <w:r w:rsidRPr="00E0076F">
              <w:rPr>
                <w:rFonts w:ascii="Times New Roman" w:hAnsi="Times New Roman" w:cs="Times New Roman"/>
                <w:sz w:val="18"/>
                <w:szCs w:val="18"/>
              </w:rPr>
              <w:t>/</w:t>
            </w:r>
            <w:r w:rsidRPr="00E0076F">
              <w:rPr>
                <w:rFonts w:ascii="Times New Roman" w:hAnsi="Times New Roman" w:cs="Times New Roman"/>
                <w:i/>
                <w:sz w:val="18"/>
                <w:szCs w:val="18"/>
              </w:rPr>
              <w:t>nvx</w:t>
            </w:r>
            <w:r w:rsidRPr="00E0076F">
              <w:rPr>
                <w:rFonts w:ascii="Times New Roman" w:hAnsi="Times New Roman" w:cs="Times New Roman"/>
                <w:sz w:val="18"/>
                <w:szCs w:val="18"/>
              </w:rPr>
              <w:t xml:space="preserve">)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Idcbar</w:t>
            </w:r>
          </w:p>
        </w:tc>
        <w:tc>
          <w:tcPr>
            <w:tcW w:w="6300" w:type="dxa"/>
            <w:tcBorders>
              <w:left w:val="nil"/>
              <w:right w:val="single" w:sz="12" w:space="0" w:color="auto"/>
            </w:tcBorders>
            <w:vAlign w:val="center"/>
            <w:hideMark/>
          </w:tcPr>
          <w:p w:rsidR="0097619D" w:rsidRPr="00E0076F" w:rsidRDefault="0097619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Bonchev-Trinajstić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IdC</w:t>
            </w:r>
          </w:p>
        </w:tc>
        <w:tc>
          <w:tcPr>
            <w:tcW w:w="6300" w:type="dxa"/>
            <w:tcBorders>
              <w:left w:val="nil"/>
              <w:right w:val="single" w:sz="12" w:space="0" w:color="auto"/>
            </w:tcBorders>
            <w:vAlign w:val="center"/>
            <w:hideMark/>
          </w:tcPr>
          <w:p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Bonchev-Trinajstić information index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Wp</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Wiener</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p</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Pf</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Platt</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f</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Wt</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Total Wiener number</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knotp</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Difference of chi-cluster-3 and path/cluster-4</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knotpv</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Valence difference of chi-cluster-3 and path/cluster-4</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nclass</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classes of topologically (symmetry) equivalent graph vertices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NumHBd</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hydrogen bond donors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NumHBa</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Number of hydrogen bond acceptors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SHCsats</w:t>
            </w:r>
          </w:p>
        </w:tc>
        <w:tc>
          <w:tcPr>
            <w:tcW w:w="6300" w:type="dxa"/>
            <w:tcBorders>
              <w:left w:val="nil"/>
              <w:right w:val="single" w:sz="12" w:space="0" w:color="auto"/>
            </w:tcBorders>
            <w:vAlign w:val="center"/>
            <w:hideMark/>
          </w:tcPr>
          <w:p w:rsidR="0097619D" w:rsidRPr="00E0076F" w:rsidRDefault="0097619D" w:rsidP="00492183">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other saturated C atoms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SHCsatu</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unsaturated C atoms</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SHvin</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vinyl group,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SHtvin</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terminal vinyl group, </w:t>
            </w:r>
            <w:r w:rsidRPr="00E0076F">
              <w:rPr>
                <w:rFonts w:ascii="Times New Roman" w:hAnsi="Times New Roman" w:cs="Times New Roman"/>
                <w:b w:val="0"/>
                <w:i/>
                <w:iCs/>
                <w:sz w:val="18"/>
                <w:szCs w:val="18"/>
              </w:rPr>
              <w:t>=CH</w:t>
            </w:r>
            <w:r w:rsidRPr="00E0076F">
              <w:rPr>
                <w:rFonts w:ascii="Times New Roman" w:hAnsi="Times New Roman" w:cs="Times New Roman"/>
                <w:b w:val="0"/>
                <w:i/>
                <w:iCs/>
                <w:sz w:val="18"/>
                <w:szCs w:val="18"/>
                <w:vertAlign w:val="subscript"/>
              </w:rPr>
              <w:t>2</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SHarom</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2</w:t>
            </w:r>
            <w:r w:rsidRPr="00E0076F">
              <w:rPr>
                <w:rFonts w:ascii="Times New Roman" w:hAnsi="Times New Roman" w:cs="Times New Roman"/>
                <w:b w:val="0"/>
                <w:sz w:val="18"/>
                <w:szCs w:val="18"/>
              </w:rPr>
              <w:t xml:space="preserve"> which are part of an aromatic system</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SHHBd</w:t>
            </w:r>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donor index, sum of Hydrogen 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-NH-,-SH</w:t>
            </w:r>
            <w:r w:rsidRPr="00E0076F">
              <w:rPr>
                <w:rFonts w:ascii="Times New Roman" w:hAnsi="Times New Roman" w:cs="Times New Roman"/>
                <w:b w:val="0"/>
                <w:sz w:val="18"/>
                <w:szCs w:val="18"/>
              </w:rPr>
              <w:t xml:space="preserve">, and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SHwHBd</w:t>
            </w:r>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Weak hydrogen bond donor index, sum of </w:t>
            </w:r>
            <w:r w:rsidRPr="00E0076F">
              <w:rPr>
                <w:rFonts w:ascii="Times New Roman" w:hAnsi="Times New Roman" w:cs="Times New Roman"/>
                <w:b w:val="0"/>
                <w:i/>
                <w:iCs/>
                <w:sz w:val="18"/>
                <w:szCs w:val="18"/>
              </w:rPr>
              <w:t>C-H</w:t>
            </w:r>
            <w:r w:rsidRPr="00E0076F">
              <w:rPr>
                <w:rFonts w:ascii="Times New Roman" w:hAnsi="Times New Roman" w:cs="Times New Roman"/>
                <w:b w:val="0"/>
                <w:sz w:val="18"/>
                <w:szCs w:val="18"/>
              </w:rPr>
              <w:t xml:space="preserve"> Hydrogen E-State values for hydrogen atoms on a C to which a F and/or Cl are also bonded</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SHHBa</w:t>
            </w:r>
          </w:p>
        </w:tc>
        <w:tc>
          <w:tcPr>
            <w:tcW w:w="6300" w:type="dxa"/>
            <w:tcBorders>
              <w:left w:val="nil"/>
              <w:right w:val="single" w:sz="12" w:space="0" w:color="auto"/>
            </w:tcBorders>
            <w:vAlign w:val="center"/>
            <w:hideMark/>
          </w:tcPr>
          <w:p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acceptor index, sum of the </w:t>
            </w:r>
            <w:r w:rsidRPr="00E0076F">
              <w:rPr>
                <w:rFonts w:ascii="Times New Roman" w:hAnsi="Times New Roman" w:cs="Times New Roman"/>
                <w:b w:val="0"/>
                <w:i/>
                <w:iCs/>
                <w:sz w:val="18"/>
                <w:szCs w:val="18"/>
              </w:rPr>
              <w:t>E</w:t>
            </w:r>
            <w:r w:rsidRPr="00E0076F">
              <w:rPr>
                <w:rFonts w:ascii="Times New Roman" w:hAnsi="Times New Roman" w:cs="Times New Roman"/>
                <w:b w:val="0"/>
                <w:sz w:val="18"/>
                <w:szCs w:val="18"/>
              </w:rPr>
              <w:t xml:space="preserv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&gt;N</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-O-</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-S-</w:t>
            </w:r>
            <w:r w:rsidRPr="00E0076F">
              <w:rPr>
                <w:rFonts w:ascii="Times New Roman" w:hAnsi="Times New Roman" w:cs="Times New Roman"/>
                <w:b w:val="0"/>
                <w:sz w:val="18"/>
                <w:szCs w:val="18"/>
              </w:rPr>
              <w:t>, along with –F and –Cl</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 xml:space="preserve">Qv </w:t>
            </w:r>
          </w:p>
        </w:tc>
        <w:tc>
          <w:tcPr>
            <w:tcW w:w="6300" w:type="dxa"/>
            <w:tcBorders>
              <w:left w:val="nil"/>
              <w:right w:val="single" w:sz="12" w:space="0" w:color="auto"/>
            </w:tcBorders>
            <w:vAlign w:val="center"/>
            <w:hideMark/>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General Polarity descriptor </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rsidTr="00F546D8">
        <w:tc>
          <w:tcPr>
            <w:tcW w:w="918" w:type="dxa"/>
            <w:vMerge w:val="restart"/>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NHBint</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B7325A" w:rsidRPr="00E0076F" w:rsidRDefault="00B7325A" w:rsidP="00F546D8">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2)</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rsidTr="00114C85">
        <w:tc>
          <w:tcPr>
            <w:tcW w:w="918" w:type="dxa"/>
            <w:vMerge/>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B7325A" w:rsidRPr="00E0076F" w:rsidRDefault="00B7325A" w:rsidP="009847F1">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w:t>
            </w:r>
            <w:r>
              <w:rPr>
                <w:rFonts w:ascii="Times New Roman" w:hAnsi="Times New Roman" w:cs="Times New Roman"/>
                <w:b w:val="0"/>
                <w:sz w:val="18"/>
                <w:szCs w:val="18"/>
              </w:rPr>
              <w:t>3-10</w:t>
            </w:r>
            <w:r w:rsidRPr="00E0076F">
              <w:rPr>
                <w:rFonts w:ascii="Times New Roman" w:hAnsi="Times New Roman" w:cs="Times New Roman"/>
                <w:b w:val="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rsidTr="00F546D8">
        <w:tc>
          <w:tcPr>
            <w:tcW w:w="918" w:type="dxa"/>
            <w:vMerge w:val="restart"/>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SHBint</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rsidR="00B7325A" w:rsidRPr="00E0076F" w:rsidRDefault="00B7325A" w:rsidP="00B7645F">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2, 5-</w:t>
            </w:r>
            <w:r>
              <w:rPr>
                <w:rFonts w:ascii="Times New Roman" w:hAnsi="Times New Roman" w:cs="Times New Roman"/>
                <w:b w:val="0"/>
                <w:color w:val="000000"/>
                <w:sz w:val="18"/>
                <w:szCs w:val="18"/>
              </w:rPr>
              <w:t>9</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rsidTr="00114C85">
        <w:tc>
          <w:tcPr>
            <w:tcW w:w="918" w:type="dxa"/>
            <w:vMerge/>
            <w:tcBorders>
              <w:left w:val="nil"/>
              <w:right w:val="nil"/>
            </w:tcBorders>
            <w:vAlign w:val="center"/>
            <w:hideMark/>
          </w:tcPr>
          <w:p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rsidR="00B7325A" w:rsidRPr="00E0076F" w:rsidRDefault="00B7325A" w:rsidP="009847F1">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3, 4</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bottom w:val="single" w:sz="4" w:space="0" w:color="auto"/>
              <w:right w:val="nil"/>
            </w:tcBorders>
            <w:vAlign w:val="center"/>
            <w:hideMark/>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3</w:t>
            </w:r>
          </w:p>
        </w:tc>
        <w:tc>
          <w:tcPr>
            <w:tcW w:w="6300" w:type="dxa"/>
            <w:tcBorders>
              <w:left w:val="nil"/>
              <w:bottom w:val="single" w:sz="4" w:space="0" w:color="auto"/>
              <w:right w:val="single" w:sz="12" w:space="0" w:color="auto"/>
            </w:tcBorders>
            <w:vAlign w:val="center"/>
            <w:hideMark/>
          </w:tcPr>
          <w:p w:rsidR="0097619D" w:rsidRPr="00E0076F" w:rsidRDefault="0097619D" w:rsidP="00845888">
            <w:pPr>
              <w:pStyle w:val="Caption"/>
              <w:jc w:val="left"/>
              <w:rPr>
                <w:rFonts w:ascii="Times New Roman" w:hAnsi="Times New Roman" w:cs="Times New Roman"/>
                <w:b w:val="0"/>
                <w:sz w:val="18"/>
                <w:szCs w:val="18"/>
              </w:rPr>
            </w:pPr>
            <w:r>
              <w:rPr>
                <w:rFonts w:ascii="Times New Roman" w:hAnsi="Times New Roman" w:cs="Times New Roman"/>
                <w:b w:val="0"/>
                <w:sz w:val="18"/>
                <w:szCs w:val="18"/>
              </w:rPr>
              <w:t>Kappa alpha indices</w:t>
            </w:r>
          </w:p>
        </w:tc>
        <w:tc>
          <w:tcPr>
            <w:tcW w:w="1530" w:type="dxa"/>
            <w:tcBorders>
              <w:left w:val="single" w:sz="12" w:space="0" w:color="auto"/>
              <w:bottom w:val="single" w:sz="4"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rsidTr="00114C85">
        <w:tc>
          <w:tcPr>
            <w:tcW w:w="918" w:type="dxa"/>
            <w:tcBorders>
              <w:left w:val="nil"/>
              <w:bottom w:val="single" w:sz="8" w:space="0" w:color="auto"/>
              <w:right w:val="nil"/>
            </w:tcBorders>
            <w:vAlign w:val="center"/>
          </w:tcPr>
          <w:p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bottom w:val="single" w:sz="8" w:space="0" w:color="auto"/>
              <w:right w:val="single" w:sz="12" w:space="0" w:color="auto"/>
            </w:tcBorders>
            <w:vAlign w:val="center"/>
          </w:tcPr>
          <w:p w:rsidR="0097619D" w:rsidRPr="00E0076F" w:rsidRDefault="0097619D" w:rsidP="00114C85">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Electrotopological State index values for atom types:</w:t>
            </w:r>
          </w:p>
          <w:p w:rsidR="0097619D" w:rsidRPr="00E0076F" w:rsidRDefault="0097619D" w:rsidP="009847F1">
            <w:pPr>
              <w:spacing w:line="240" w:lineRule="auto"/>
              <w:ind w:left="330"/>
              <w:jc w:val="left"/>
              <w:rPr>
                <w:rFonts w:ascii="Times New Roman" w:hAnsi="Times New Roman" w:cs="Times New Roman"/>
                <w:i/>
                <w:sz w:val="18"/>
                <w:szCs w:val="18"/>
              </w:rPr>
            </w:pPr>
            <w:r w:rsidRPr="00E0076F">
              <w:rPr>
                <w:rFonts w:ascii="Times New Roman" w:hAnsi="Times New Roman" w:cs="Times New Roman"/>
                <w:i/>
                <w:sz w:val="18"/>
                <w:szCs w:val="18"/>
              </w:rPr>
              <w:t xml:space="preserve">SHdNH, SHsSH, </w:t>
            </w:r>
            <w:r w:rsidRPr="00E0076F">
              <w:rPr>
                <w:rFonts w:ascii="Times New Roman" w:hAnsi="Times New Roman" w:cs="Times New Roman"/>
                <w:i/>
                <w:snapToGrid w:val="0"/>
                <w:sz w:val="18"/>
                <w:szCs w:val="18"/>
              </w:rPr>
              <w:t xml:space="preserve">HssNH, SHtCH, SHCHnX, Hmaxpos, Hminneg, SsLi, SssBe, Sssss, Bem, SssBH ,SsssB, SssssBm, SdCH2, StCH, SddC, StsC, SdssC, SaasC, SsNH3p, SssNH2p, SdNH, StN, SsssNHp, SdsN, SsssN, SaasN, SssssNp, SaaO, SsSiH3, SssSiH2, SsssSiH, SssssSi, SsPH2, SssPH, SsssP, SdsssP, SsssssP, SsSH, SdS, SaaS, SdssS, SddssS, SssssssS, SsGeH3, SssGeH2, SsssGeH, SssssGe, SsAsH2, SssAsH, SsssAs, SdsssAs, SsssssAs, SsSeH, SdSe, SssSe, SaaSe, SdssSe, SddssSe, SsSnH3, SssSnH2, SsssSnH, SssssSn, SsI, SsPbH3, </w:t>
            </w:r>
            <w:r w:rsidRPr="00E0076F">
              <w:rPr>
                <w:rFonts w:ascii="Times New Roman" w:hAnsi="Times New Roman" w:cs="Times New Roman"/>
                <w:i/>
                <w:snapToGrid w:val="0"/>
                <w:sz w:val="18"/>
                <w:szCs w:val="18"/>
              </w:rPr>
              <w:lastRenderedPageBreak/>
              <w:t>SssPbH2, SsssPbH, SssssPb</w:t>
            </w:r>
          </w:p>
        </w:tc>
        <w:tc>
          <w:tcPr>
            <w:tcW w:w="1530" w:type="dxa"/>
            <w:tcBorders>
              <w:left w:val="single" w:sz="12" w:space="0" w:color="auto"/>
              <w:bottom w:val="single" w:sz="8"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bottom w:val="single" w:sz="8" w:space="0" w:color="auto"/>
              <w:right w:val="nil"/>
            </w:tcBorders>
            <w:vAlign w:val="center"/>
          </w:tcPr>
          <w:p w:rsidR="0097619D" w:rsidRPr="009847F1" w:rsidRDefault="0097619D" w:rsidP="00B7645F">
            <w:pPr>
              <w:spacing w:line="240" w:lineRule="auto"/>
              <w:jc w:val="center"/>
              <w:rPr>
                <w:rFonts w:ascii="Times New Roman" w:hAnsi="Times New Roman" w:cs="Times New Roman"/>
                <w:b/>
                <w:i/>
                <w:sz w:val="18"/>
                <w:szCs w:val="18"/>
              </w:rPr>
            </w:pPr>
            <w:r w:rsidRPr="009847F1">
              <w:rPr>
                <w:rFonts w:ascii="MS Gothic" w:eastAsia="MS Gothic" w:hAnsi="MS Gothic" w:cs="MS Gothic" w:hint="eastAsia"/>
                <w:b/>
                <w:color w:val="C00000"/>
                <w:sz w:val="16"/>
                <w:szCs w:val="16"/>
                <w:shd w:val="clear" w:color="auto" w:fill="FFFFFF"/>
              </w:rPr>
              <w:t>✗</w:t>
            </w:r>
          </w:p>
        </w:tc>
      </w:tr>
      <w:tr w:rsidR="0097619D" w:rsidRPr="00AB66AE" w:rsidTr="00114C85">
        <w:tc>
          <w:tcPr>
            <w:tcW w:w="918" w:type="dxa"/>
            <w:tcBorders>
              <w:top w:val="single" w:sz="8" w:space="0" w:color="auto"/>
              <w:left w:val="nil"/>
              <w:bottom w:val="single" w:sz="8" w:space="0" w:color="auto"/>
              <w:right w:val="nil"/>
            </w:tcBorders>
            <w:vAlign w:val="center"/>
          </w:tcPr>
          <w:p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top w:val="single" w:sz="8" w:space="0" w:color="auto"/>
              <w:left w:val="nil"/>
              <w:bottom w:val="single" w:sz="8" w:space="0" w:color="auto"/>
              <w:right w:val="single" w:sz="12" w:space="0" w:color="auto"/>
            </w:tcBorders>
            <w:vAlign w:val="center"/>
          </w:tcPr>
          <w:p w:rsidR="0097619D" w:rsidRPr="00E0076F" w:rsidRDefault="0097619D" w:rsidP="00114C85">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Electrotopological State index values for atom types:</w:t>
            </w:r>
          </w:p>
          <w:p w:rsidR="0097619D" w:rsidRPr="00E0076F" w:rsidRDefault="0097619D" w:rsidP="00114C85">
            <w:pPr>
              <w:spacing w:line="240" w:lineRule="auto"/>
              <w:ind w:left="330"/>
              <w:jc w:val="left"/>
              <w:rPr>
                <w:rFonts w:ascii="Times New Roman" w:hAnsi="Times New Roman" w:cs="Times New Roman"/>
                <w:i/>
                <w:sz w:val="18"/>
                <w:szCs w:val="18"/>
              </w:rPr>
            </w:pPr>
            <w:r w:rsidRPr="00E0076F">
              <w:rPr>
                <w:rFonts w:ascii="Times New Roman" w:hAnsi="Times New Roman" w:cs="Times New Roman"/>
                <w:i/>
                <w:sz w:val="18"/>
                <w:szCs w:val="18"/>
              </w:rPr>
              <w:t xml:space="preserve">SHsOH, </w:t>
            </w:r>
            <w:r>
              <w:rPr>
                <w:rFonts w:ascii="Times New Roman" w:hAnsi="Times New Roman" w:cs="Times New Roman"/>
                <w:i/>
                <w:sz w:val="18"/>
                <w:szCs w:val="18"/>
              </w:rPr>
              <w:t>SHsNH2, SHssNH,</w:t>
            </w:r>
            <w:r w:rsidRPr="00E0076F">
              <w:rPr>
                <w:rFonts w:ascii="Times New Roman" w:hAnsi="Times New Roman" w:cs="Times New Roman"/>
                <w:i/>
                <w:snapToGrid w:val="0"/>
                <w:sz w:val="18"/>
                <w:szCs w:val="18"/>
              </w:rPr>
              <w:t xml:space="preserve"> SHother, Hmax</w:t>
            </w:r>
            <w:r>
              <w:rPr>
                <w:rFonts w:ascii="Times New Roman" w:hAnsi="Times New Roman" w:cs="Times New Roman"/>
                <w:i/>
                <w:snapToGrid w:val="0"/>
                <w:sz w:val="18"/>
                <w:szCs w:val="18"/>
              </w:rPr>
              <w:t xml:space="preserve">, </w:t>
            </w:r>
            <w:r w:rsidRPr="00E0076F">
              <w:rPr>
                <w:rFonts w:ascii="Times New Roman" w:hAnsi="Times New Roman" w:cs="Times New Roman"/>
                <w:i/>
                <w:snapToGrid w:val="0"/>
                <w:sz w:val="18"/>
                <w:szCs w:val="18"/>
              </w:rPr>
              <w:t>Gmax, Hmin, Gmin, SsCH3,</w:t>
            </w:r>
            <w:r>
              <w:rPr>
                <w:rFonts w:ascii="Times New Roman" w:hAnsi="Times New Roman" w:cs="Times New Roman"/>
                <w:i/>
                <w:snapToGrid w:val="0"/>
                <w:sz w:val="18"/>
                <w:szCs w:val="18"/>
              </w:rPr>
              <w:t xml:space="preserve"> SssCH2, </w:t>
            </w:r>
            <w:r w:rsidRPr="00E0076F">
              <w:rPr>
                <w:rFonts w:ascii="Times New Roman" w:hAnsi="Times New Roman" w:cs="Times New Roman"/>
                <w:i/>
                <w:snapToGrid w:val="0"/>
                <w:sz w:val="18"/>
                <w:szCs w:val="18"/>
              </w:rPr>
              <w:t xml:space="preserve">SdsCH, SaaCH, SsssCH, SaaaC, SssssC, </w:t>
            </w:r>
            <w:r>
              <w:rPr>
                <w:rFonts w:ascii="Times New Roman" w:hAnsi="Times New Roman" w:cs="Times New Roman"/>
                <w:i/>
                <w:snapToGrid w:val="0"/>
                <w:sz w:val="18"/>
                <w:szCs w:val="18"/>
              </w:rPr>
              <w:t xml:space="preserve">SsNH2, SssNH, SaaNH, </w:t>
            </w:r>
            <w:r w:rsidRPr="00E0076F">
              <w:rPr>
                <w:rFonts w:ascii="Times New Roman" w:hAnsi="Times New Roman" w:cs="Times New Roman"/>
                <w:i/>
                <w:snapToGrid w:val="0"/>
                <w:sz w:val="18"/>
                <w:szCs w:val="18"/>
              </w:rPr>
              <w:t>SaaN, SddsN, SsOH, SdO, SssO, SsF, SssS, SsCl, SsBr,</w:t>
            </w:r>
          </w:p>
        </w:tc>
        <w:tc>
          <w:tcPr>
            <w:tcW w:w="1530" w:type="dxa"/>
            <w:tcBorders>
              <w:top w:val="single" w:sz="8" w:space="0" w:color="auto"/>
              <w:left w:val="single" w:sz="12" w:space="0" w:color="auto"/>
              <w:bottom w:val="single" w:sz="8"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8" w:space="0" w:color="auto"/>
              <w:left w:val="single" w:sz="12" w:space="0" w:color="auto"/>
              <w:bottom w:val="single" w:sz="8" w:space="0" w:color="auto"/>
              <w:right w:val="nil"/>
            </w:tcBorders>
            <w:vAlign w:val="center"/>
          </w:tcPr>
          <w:p w:rsidR="0097619D" w:rsidRPr="009847F1" w:rsidRDefault="0097619D" w:rsidP="00B7645F">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845888" w:rsidTr="00114C85">
        <w:tc>
          <w:tcPr>
            <w:tcW w:w="918" w:type="dxa"/>
            <w:tcBorders>
              <w:top w:val="single" w:sz="12" w:space="0" w:color="auto"/>
              <w:left w:val="nil"/>
              <w:bottom w:val="single" w:sz="12" w:space="0" w:color="auto"/>
              <w:right w:val="nil"/>
            </w:tcBorders>
            <w:vAlign w:val="center"/>
          </w:tcPr>
          <w:p w:rsidR="0097619D" w:rsidRPr="00B96791" w:rsidRDefault="0097619D" w:rsidP="00845888">
            <w:pPr>
              <w:spacing w:line="240" w:lineRule="auto"/>
              <w:jc w:val="center"/>
              <w:rPr>
                <w:rFonts w:ascii="Times New Roman" w:hAnsi="Times New Roman" w:cs="Times New Roman"/>
                <w:b/>
                <w:bCs/>
                <w:i/>
                <w:color w:val="000000" w:themeColor="text1"/>
                <w:sz w:val="18"/>
                <w:szCs w:val="18"/>
              </w:rPr>
            </w:pPr>
          </w:p>
        </w:tc>
        <w:tc>
          <w:tcPr>
            <w:tcW w:w="6300" w:type="dxa"/>
            <w:tcBorders>
              <w:top w:val="single" w:sz="12" w:space="0" w:color="auto"/>
              <w:left w:val="nil"/>
              <w:bottom w:val="single" w:sz="12" w:space="0" w:color="auto"/>
              <w:right w:val="single" w:sz="12" w:space="0" w:color="auto"/>
            </w:tcBorders>
            <w:vAlign w:val="center"/>
          </w:tcPr>
          <w:p w:rsidR="0097619D" w:rsidRPr="00845888" w:rsidRDefault="0097619D" w:rsidP="00845888">
            <w:pPr>
              <w:spacing w:line="240" w:lineRule="auto"/>
              <w:jc w:val="center"/>
              <w:rPr>
                <w:rFonts w:ascii="Times New Roman" w:hAnsi="Times New Roman" w:cs="Times New Roman"/>
                <w:b/>
                <w:bCs/>
                <w:color w:val="000000" w:themeColor="text1"/>
                <w:sz w:val="18"/>
                <w:szCs w:val="18"/>
              </w:rPr>
            </w:pPr>
            <w:r w:rsidRPr="00845888">
              <w:rPr>
                <w:rFonts w:ascii="Times New Roman" w:hAnsi="Times New Roman" w:cs="Times New Roman"/>
                <w:b/>
                <w:bCs/>
                <w:color w:val="000000" w:themeColor="text1"/>
                <w:sz w:val="18"/>
                <w:szCs w:val="18"/>
              </w:rPr>
              <w:t>Geometrical (3-D)</w:t>
            </w:r>
          </w:p>
        </w:tc>
        <w:tc>
          <w:tcPr>
            <w:tcW w:w="1530" w:type="dxa"/>
            <w:tcBorders>
              <w:top w:val="single" w:sz="12" w:space="0" w:color="auto"/>
              <w:left w:val="single" w:sz="12" w:space="0" w:color="auto"/>
              <w:bottom w:val="single" w:sz="12" w:space="0" w:color="auto"/>
              <w:right w:val="single" w:sz="12" w:space="0" w:color="auto"/>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rsidTr="00114C85">
        <w:tc>
          <w:tcPr>
            <w:tcW w:w="918" w:type="dxa"/>
            <w:tcBorders>
              <w:top w:val="single" w:sz="12" w:space="0" w:color="auto"/>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bCs/>
                <w:i/>
                <w:iCs/>
                <w:sz w:val="18"/>
                <w:szCs w:val="18"/>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p>
        </w:tc>
        <w:tc>
          <w:tcPr>
            <w:tcW w:w="6300" w:type="dxa"/>
            <w:tcBorders>
              <w:top w:val="single" w:sz="12" w:space="0" w:color="auto"/>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hydrogen-suppressed geometric distance matrix</w:t>
            </w:r>
          </w:p>
        </w:tc>
        <w:tc>
          <w:tcPr>
            <w:tcW w:w="1530" w:type="dxa"/>
            <w:tcBorders>
              <w:top w:val="single" w:sz="12" w:space="0" w:color="auto"/>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spacing w:line="480" w:lineRule="auto"/>
              <w:jc w:val="left"/>
              <w:rPr>
                <w:rFonts w:ascii="Times New Roman" w:hAnsi="Times New Roman" w:cs="Times New Roman"/>
                <w:bCs/>
                <w:i/>
                <w:iCs/>
                <w:color w:val="000000" w:themeColor="text1"/>
                <w:sz w:val="18"/>
                <w:szCs w:val="18"/>
                <w:vertAlign w:val="subscript"/>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r w:rsidRPr="00B96791">
              <w:rPr>
                <w:rFonts w:ascii="Times New Roman" w:hAnsi="Times New Roman" w:cs="Times New Roman"/>
                <w:bCs/>
                <w:i/>
                <w:iCs/>
                <w:color w:val="000000" w:themeColor="text1"/>
                <w:sz w:val="18"/>
                <w:szCs w:val="18"/>
                <w:vertAlign w:val="subscript"/>
              </w:rPr>
              <w:t xml:space="preserve"> H</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hydrogen-filled geometric distance matrix</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12"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iCs/>
                <w:sz w:val="18"/>
                <w:szCs w:val="18"/>
              </w:rPr>
            </w:pPr>
            <w:r w:rsidRPr="00B96791">
              <w:rPr>
                <w:rFonts w:ascii="Times New Roman" w:eastAsia="Calibri" w:hAnsi="Times New Roman" w:cs="Times New Roman"/>
                <w:i/>
                <w:iCs/>
                <w:sz w:val="18"/>
                <w:szCs w:val="18"/>
              </w:rPr>
              <w:t>V</w:t>
            </w:r>
            <w:r w:rsidRPr="00B96791">
              <w:rPr>
                <w:rFonts w:ascii="Times New Roman" w:eastAsia="Calibri" w:hAnsi="Times New Roman" w:cs="Times New Roman"/>
                <w:i/>
                <w:iCs/>
                <w:sz w:val="18"/>
                <w:szCs w:val="18"/>
                <w:vertAlign w:val="subscript"/>
              </w:rPr>
              <w:t>W</w:t>
            </w:r>
          </w:p>
        </w:tc>
        <w:tc>
          <w:tcPr>
            <w:tcW w:w="6300" w:type="dxa"/>
            <w:tcBorders>
              <w:left w:val="nil"/>
              <w:bottom w:val="single" w:sz="12"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color w:val="000000"/>
                <w:sz w:val="18"/>
                <w:szCs w:val="18"/>
              </w:rPr>
            </w:pPr>
            <w:r w:rsidRPr="00E0076F">
              <w:rPr>
                <w:rFonts w:ascii="Times New Roman" w:hAnsi="Times New Roman" w:cs="Times New Roman"/>
                <w:b w:val="0"/>
                <w:color w:val="000000"/>
                <w:sz w:val="18"/>
                <w:szCs w:val="18"/>
              </w:rPr>
              <w:t>Van der Waal’s volume</w:t>
            </w:r>
          </w:p>
        </w:tc>
        <w:tc>
          <w:tcPr>
            <w:tcW w:w="1530" w:type="dxa"/>
            <w:tcBorders>
              <w:left w:val="single" w:sz="12" w:space="0" w:color="auto"/>
              <w:bottom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top w:val="single" w:sz="12" w:space="0" w:color="auto"/>
              <w:left w:val="nil"/>
              <w:bottom w:val="single" w:sz="12" w:space="0" w:color="auto"/>
              <w:right w:val="nil"/>
            </w:tcBorders>
            <w:vAlign w:val="center"/>
          </w:tcPr>
          <w:p w:rsidR="0097619D" w:rsidRPr="00B96791" w:rsidRDefault="0097619D" w:rsidP="00845888">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eastAsia="Calibri" w:hAnsi="Times New Roman" w:cs="Times New Roman"/>
                <w:b/>
                <w:i/>
                <w:iCs/>
                <w:sz w:val="18"/>
                <w:szCs w:val="18"/>
              </w:rPr>
            </w:pPr>
          </w:p>
        </w:tc>
        <w:tc>
          <w:tcPr>
            <w:tcW w:w="6300" w:type="dxa"/>
            <w:tcBorders>
              <w:top w:val="single" w:sz="12" w:space="0" w:color="auto"/>
              <w:left w:val="nil"/>
              <w:bottom w:val="single" w:sz="12" w:space="0" w:color="auto"/>
              <w:right w:val="single" w:sz="12" w:space="0" w:color="auto"/>
            </w:tcBorders>
            <w:vAlign w:val="center"/>
          </w:tcPr>
          <w:p w:rsidR="0097619D" w:rsidRPr="00845888" w:rsidRDefault="0097619D" w:rsidP="00845888">
            <w:pPr>
              <w:pStyle w:val="Caption"/>
              <w:rPr>
                <w:rFonts w:ascii="Times New Roman" w:hAnsi="Times New Roman" w:cs="Times New Roman"/>
                <w:color w:val="000000"/>
                <w:sz w:val="18"/>
                <w:szCs w:val="18"/>
              </w:rPr>
            </w:pPr>
            <w:r w:rsidRPr="00845888">
              <w:rPr>
                <w:rFonts w:ascii="Times New Roman" w:hAnsi="Times New Roman" w:cs="Times New Roman"/>
                <w:bCs w:val="0"/>
                <w:color w:val="000000" w:themeColor="text1"/>
                <w:sz w:val="18"/>
                <w:szCs w:val="18"/>
              </w:rPr>
              <w:t>Quantum Chemical (QC)</w:t>
            </w:r>
          </w:p>
        </w:tc>
        <w:tc>
          <w:tcPr>
            <w:tcW w:w="1530" w:type="dxa"/>
            <w:tcBorders>
              <w:top w:val="single" w:sz="12" w:space="0" w:color="auto"/>
              <w:left w:val="single" w:sz="12" w:space="0" w:color="auto"/>
              <w:bottom w:val="single" w:sz="12" w:space="0" w:color="auto"/>
              <w:right w:val="single" w:sz="12" w:space="0" w:color="auto"/>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rsidTr="00114C85">
        <w:tc>
          <w:tcPr>
            <w:tcW w:w="918" w:type="dxa"/>
            <w:tcBorders>
              <w:top w:val="single" w:sz="12" w:space="0" w:color="auto"/>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w:t>
            </w:r>
          </w:p>
        </w:tc>
        <w:tc>
          <w:tcPr>
            <w:tcW w:w="6300" w:type="dxa"/>
            <w:tcBorders>
              <w:top w:val="single" w:sz="12" w:space="0" w:color="auto"/>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highest occupied molecular orbital</w:t>
            </w:r>
          </w:p>
        </w:tc>
        <w:tc>
          <w:tcPr>
            <w:tcW w:w="1530" w:type="dxa"/>
            <w:tcBorders>
              <w:top w:val="single" w:sz="12" w:space="0" w:color="auto"/>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HOMO-1</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highest occupied molecular</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lowest unoccupied molecular orbital</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LUMO+1</w:t>
            </w:r>
          </w:p>
        </w:tc>
        <w:tc>
          <w:tcPr>
            <w:tcW w:w="6300" w:type="dxa"/>
            <w:tcBorders>
              <w:left w:val="nil"/>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lowest unoccupied molecular orbital</w:t>
            </w:r>
          </w:p>
        </w:tc>
        <w:tc>
          <w:tcPr>
            <w:tcW w:w="1530" w:type="dxa"/>
            <w:tcBorders>
              <w:left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4"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44"/>
            </w:r>
            <w:r w:rsidRPr="00B96791">
              <w:rPr>
                <w:rFonts w:ascii="Times New Roman" w:eastAsia="Calibri" w:hAnsi="Times New Roman" w:cs="Times New Roman"/>
                <w:i/>
                <w:sz w:val="18"/>
                <w:szCs w:val="18"/>
              </w:rPr>
              <w:t>Hf</w:t>
            </w:r>
          </w:p>
        </w:tc>
        <w:tc>
          <w:tcPr>
            <w:tcW w:w="6300" w:type="dxa"/>
            <w:tcBorders>
              <w:left w:val="nil"/>
              <w:bottom w:val="single" w:sz="4"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Heat of formation</w:t>
            </w:r>
          </w:p>
        </w:tc>
        <w:tc>
          <w:tcPr>
            <w:tcW w:w="1530" w:type="dxa"/>
            <w:tcBorders>
              <w:left w:val="single" w:sz="12" w:space="0" w:color="auto"/>
              <w:bottom w:val="single" w:sz="4"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rsidTr="00114C85">
        <w:tc>
          <w:tcPr>
            <w:tcW w:w="918" w:type="dxa"/>
            <w:tcBorders>
              <w:left w:val="nil"/>
              <w:bottom w:val="single" w:sz="12" w:space="0" w:color="auto"/>
              <w:right w:val="nil"/>
            </w:tcBorders>
            <w:vAlign w:val="center"/>
          </w:tcPr>
          <w:p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6D"/>
            </w:r>
          </w:p>
        </w:tc>
        <w:tc>
          <w:tcPr>
            <w:tcW w:w="6300" w:type="dxa"/>
            <w:tcBorders>
              <w:left w:val="nil"/>
              <w:bottom w:val="single" w:sz="12" w:space="0" w:color="auto"/>
              <w:right w:val="single" w:sz="12" w:space="0" w:color="auto"/>
            </w:tcBorders>
            <w:vAlign w:val="center"/>
          </w:tcPr>
          <w:p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Dipole moment</w:t>
            </w:r>
          </w:p>
        </w:tc>
        <w:tc>
          <w:tcPr>
            <w:tcW w:w="1530" w:type="dxa"/>
            <w:tcBorders>
              <w:left w:val="single" w:sz="12" w:space="0" w:color="auto"/>
              <w:bottom w:val="single" w:sz="12" w:space="0" w:color="auto"/>
              <w:right w:val="single" w:sz="12" w:space="0" w:color="auto"/>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bl>
    <w:p w:rsidR="00AB66AE" w:rsidRPr="00AB66AE" w:rsidRDefault="00AB66AE" w:rsidP="00E0076F">
      <w:pPr>
        <w:pStyle w:val="MCopyright"/>
        <w:tabs>
          <w:tab w:val="left" w:pos="720"/>
        </w:tabs>
        <w:jc w:val="both"/>
        <w:rPr>
          <w:b/>
        </w:rPr>
      </w:pPr>
    </w:p>
    <w:sectPr w:rsidR="00AB66AE" w:rsidRPr="00AB66AE" w:rsidSect="009313C5">
      <w:headerReference w:type="even" r:id="rId8"/>
      <w:headerReference w:type="default" r:id="rId9"/>
      <w:footerReference w:type="even" r:id="rId10"/>
      <w:footerReference w:type="default" r:id="rId11"/>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B17" w:rsidRDefault="00B92B17">
      <w:pPr>
        <w:spacing w:line="240" w:lineRule="auto"/>
      </w:pPr>
      <w:r>
        <w:separator/>
      </w:r>
    </w:p>
  </w:endnote>
  <w:endnote w:type="continuationSeparator" w:id="0">
    <w:p w:rsidR="00B92B17" w:rsidRDefault="00B9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739" w:rsidRDefault="00E00739">
    <w:pPr>
      <w:framePr w:wrap="around" w:vAnchor="text" w:hAnchor="margin" w:xAlign="right" w:y="1"/>
    </w:pPr>
    <w:r>
      <w:fldChar w:fldCharType="begin"/>
    </w:r>
    <w:r>
      <w:instrText xml:space="preserve">PAGE  </w:instrText>
    </w:r>
    <w:r>
      <w:fldChar w:fldCharType="separate"/>
    </w:r>
    <w:r>
      <w:rPr>
        <w:noProof/>
      </w:rPr>
      <w:t>10</w:t>
    </w:r>
    <w:r>
      <w:fldChar w:fldCharType="end"/>
    </w:r>
  </w:p>
  <w:p w:rsidR="00E00739" w:rsidRDefault="00E00739">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739" w:rsidRDefault="00E00739">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B17" w:rsidRDefault="00B92B17">
      <w:pPr>
        <w:spacing w:line="240" w:lineRule="auto"/>
      </w:pPr>
      <w:r>
        <w:separator/>
      </w:r>
    </w:p>
  </w:footnote>
  <w:footnote w:type="continuationSeparator" w:id="0">
    <w:p w:rsidR="00B92B17" w:rsidRDefault="00B9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739" w:rsidRDefault="00E00739" w:rsidP="00CF2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0739" w:rsidRDefault="00E00739"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739" w:rsidRDefault="00E00739" w:rsidP="00176A50">
    <w:pPr>
      <w:pStyle w:val="Header"/>
      <w:tabs>
        <w:tab w:val="clear" w:pos="4153"/>
        <w:tab w:val="clear" w:pos="8306"/>
        <w:tab w:val="right" w:pos="9925"/>
      </w:tabs>
    </w:pPr>
    <w:r>
      <w:rPr>
        <w:i/>
      </w:rPr>
      <w:t>Int. J. Mol. Sci.</w:t>
    </w:r>
    <w:r>
      <w:t xml:space="preserve"> </w:t>
    </w:r>
    <w:r>
      <w:rPr>
        <w:b/>
      </w:rPr>
      <w:t>201</w:t>
    </w:r>
    <w:r>
      <w:rPr>
        <w:rFonts w:eastAsia="SimSun" w:hint="eastAsia"/>
        <w:b/>
        <w:lang w:eastAsia="zh-CN"/>
      </w:rPr>
      <w:t>4</w:t>
    </w:r>
    <w:r>
      <w:t xml:space="preserve">, </w:t>
    </w:r>
    <w:r w:rsidRPr="004C7564">
      <w:rPr>
        <w:i/>
      </w:rPr>
      <w:t>1</w:t>
    </w:r>
    <w:r>
      <w:rPr>
        <w:rFonts w:eastAsia="SimSun" w:hint="eastAsia"/>
        <w:i/>
        <w:lang w:eastAsia="zh-CN"/>
      </w:rPr>
      <w:t>5</w:t>
    </w:r>
    <w:r>
      <w:tab/>
    </w:r>
    <w:r w:rsidRPr="00176A50">
      <w:rPr>
        <w:b/>
      </w:rPr>
      <w:fldChar w:fldCharType="begin"/>
    </w:r>
    <w:r w:rsidRPr="00176A50">
      <w:rPr>
        <w:b/>
      </w:rPr>
      <w:instrText xml:space="preserve"> PAGE   \* MERGEFORMAT </w:instrText>
    </w:r>
    <w:r w:rsidRPr="00176A50">
      <w:rPr>
        <w:b/>
      </w:rPr>
      <w:fldChar w:fldCharType="separate"/>
    </w:r>
    <w:r w:rsidR="004527DB">
      <w:rPr>
        <w:b/>
        <w:noProof/>
      </w:rPr>
      <w:t>11</w:t>
    </w:r>
    <w:r w:rsidRPr="00176A50">
      <w:rPr>
        <w:b/>
      </w:rPr>
      <w:fldChar w:fldCharType="end"/>
    </w:r>
  </w:p>
  <w:p w:rsidR="00E00739" w:rsidRDefault="00E00739" w:rsidP="0017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intFractionalCharacterWidth/>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5408A"/>
    <w:rsid w:val="00060AE5"/>
    <w:rsid w:val="00074728"/>
    <w:rsid w:val="00077D8E"/>
    <w:rsid w:val="00086176"/>
    <w:rsid w:val="00086B05"/>
    <w:rsid w:val="0009312E"/>
    <w:rsid w:val="00095790"/>
    <w:rsid w:val="00097060"/>
    <w:rsid w:val="000A24DA"/>
    <w:rsid w:val="000C5049"/>
    <w:rsid w:val="000C7327"/>
    <w:rsid w:val="000F27D8"/>
    <w:rsid w:val="00105BAD"/>
    <w:rsid w:val="00114C85"/>
    <w:rsid w:val="0013340E"/>
    <w:rsid w:val="001462D3"/>
    <w:rsid w:val="00153C9F"/>
    <w:rsid w:val="0015565E"/>
    <w:rsid w:val="00155BFB"/>
    <w:rsid w:val="00162252"/>
    <w:rsid w:val="00164C8C"/>
    <w:rsid w:val="00170B55"/>
    <w:rsid w:val="00176A50"/>
    <w:rsid w:val="00183F70"/>
    <w:rsid w:val="00193B99"/>
    <w:rsid w:val="001B45F2"/>
    <w:rsid w:val="001B767B"/>
    <w:rsid w:val="001C30D9"/>
    <w:rsid w:val="001C6046"/>
    <w:rsid w:val="0022428C"/>
    <w:rsid w:val="002720EB"/>
    <w:rsid w:val="0028764B"/>
    <w:rsid w:val="00303A9C"/>
    <w:rsid w:val="00331BFF"/>
    <w:rsid w:val="00385292"/>
    <w:rsid w:val="00396C62"/>
    <w:rsid w:val="003E27ED"/>
    <w:rsid w:val="003F3D08"/>
    <w:rsid w:val="003F5445"/>
    <w:rsid w:val="004158B4"/>
    <w:rsid w:val="0042018A"/>
    <w:rsid w:val="0042609B"/>
    <w:rsid w:val="00427D0A"/>
    <w:rsid w:val="004527DB"/>
    <w:rsid w:val="004610C5"/>
    <w:rsid w:val="0047764C"/>
    <w:rsid w:val="00481B9F"/>
    <w:rsid w:val="004850ED"/>
    <w:rsid w:val="00492183"/>
    <w:rsid w:val="0049264B"/>
    <w:rsid w:val="004A0A93"/>
    <w:rsid w:val="004A639E"/>
    <w:rsid w:val="004B059C"/>
    <w:rsid w:val="004B672B"/>
    <w:rsid w:val="004C5DF5"/>
    <w:rsid w:val="004C7564"/>
    <w:rsid w:val="004D1B06"/>
    <w:rsid w:val="00507ECE"/>
    <w:rsid w:val="00527A58"/>
    <w:rsid w:val="00533BF7"/>
    <w:rsid w:val="00541DFA"/>
    <w:rsid w:val="005462A7"/>
    <w:rsid w:val="00577142"/>
    <w:rsid w:val="005E5646"/>
    <w:rsid w:val="00603F0E"/>
    <w:rsid w:val="00633109"/>
    <w:rsid w:val="0067025D"/>
    <w:rsid w:val="00675E24"/>
    <w:rsid w:val="006871D2"/>
    <w:rsid w:val="00693365"/>
    <w:rsid w:val="00697554"/>
    <w:rsid w:val="006A3DED"/>
    <w:rsid w:val="006B7AAD"/>
    <w:rsid w:val="006C2DFA"/>
    <w:rsid w:val="006D10D9"/>
    <w:rsid w:val="006E09D5"/>
    <w:rsid w:val="006E62B5"/>
    <w:rsid w:val="00700110"/>
    <w:rsid w:val="00706A63"/>
    <w:rsid w:val="00712296"/>
    <w:rsid w:val="0071610B"/>
    <w:rsid w:val="00750371"/>
    <w:rsid w:val="00784C3A"/>
    <w:rsid w:val="007A4C05"/>
    <w:rsid w:val="007C44F5"/>
    <w:rsid w:val="007F1468"/>
    <w:rsid w:val="007F5B92"/>
    <w:rsid w:val="008060F3"/>
    <w:rsid w:val="00825391"/>
    <w:rsid w:val="00831D4B"/>
    <w:rsid w:val="00845888"/>
    <w:rsid w:val="00855E7C"/>
    <w:rsid w:val="008A4FEF"/>
    <w:rsid w:val="00906387"/>
    <w:rsid w:val="0092095F"/>
    <w:rsid w:val="009265F3"/>
    <w:rsid w:val="009313C5"/>
    <w:rsid w:val="00933314"/>
    <w:rsid w:val="00940E25"/>
    <w:rsid w:val="00943A12"/>
    <w:rsid w:val="00950776"/>
    <w:rsid w:val="00971BDC"/>
    <w:rsid w:val="0097619D"/>
    <w:rsid w:val="009825CA"/>
    <w:rsid w:val="009847F1"/>
    <w:rsid w:val="009957A9"/>
    <w:rsid w:val="009D0BC3"/>
    <w:rsid w:val="009D5F2C"/>
    <w:rsid w:val="00A17640"/>
    <w:rsid w:val="00A26CC1"/>
    <w:rsid w:val="00A66604"/>
    <w:rsid w:val="00A95E24"/>
    <w:rsid w:val="00AA4B1B"/>
    <w:rsid w:val="00AA6012"/>
    <w:rsid w:val="00AA66AE"/>
    <w:rsid w:val="00AB66AE"/>
    <w:rsid w:val="00AF0596"/>
    <w:rsid w:val="00AF3CCF"/>
    <w:rsid w:val="00AF7AA2"/>
    <w:rsid w:val="00B153E9"/>
    <w:rsid w:val="00B32B8B"/>
    <w:rsid w:val="00B43DDB"/>
    <w:rsid w:val="00B474E5"/>
    <w:rsid w:val="00B7325A"/>
    <w:rsid w:val="00B7645F"/>
    <w:rsid w:val="00B92B17"/>
    <w:rsid w:val="00B96791"/>
    <w:rsid w:val="00BA290B"/>
    <w:rsid w:val="00BA6628"/>
    <w:rsid w:val="00BE7D25"/>
    <w:rsid w:val="00BF13C2"/>
    <w:rsid w:val="00BF1532"/>
    <w:rsid w:val="00BF73AE"/>
    <w:rsid w:val="00C33CEE"/>
    <w:rsid w:val="00C62027"/>
    <w:rsid w:val="00C748A6"/>
    <w:rsid w:val="00C9784D"/>
    <w:rsid w:val="00CA1EF5"/>
    <w:rsid w:val="00CA621E"/>
    <w:rsid w:val="00CD01E8"/>
    <w:rsid w:val="00CE265B"/>
    <w:rsid w:val="00CF24C3"/>
    <w:rsid w:val="00D35964"/>
    <w:rsid w:val="00D6756C"/>
    <w:rsid w:val="00D95E5C"/>
    <w:rsid w:val="00DA5614"/>
    <w:rsid w:val="00DB3588"/>
    <w:rsid w:val="00DD1AE8"/>
    <w:rsid w:val="00DD3016"/>
    <w:rsid w:val="00DD78DC"/>
    <w:rsid w:val="00E00739"/>
    <w:rsid w:val="00E0076F"/>
    <w:rsid w:val="00E04AD8"/>
    <w:rsid w:val="00E23898"/>
    <w:rsid w:val="00E56D2E"/>
    <w:rsid w:val="00E60C78"/>
    <w:rsid w:val="00ED1F3E"/>
    <w:rsid w:val="00ED2DE7"/>
    <w:rsid w:val="00F546D8"/>
    <w:rsid w:val="00F56FC5"/>
    <w:rsid w:val="00F640D3"/>
    <w:rsid w:val="00FA49EC"/>
    <w:rsid w:val="00F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 w:id="1069960256">
      <w:bodyDiv w:val="1"/>
      <w:marLeft w:val="0"/>
      <w:marRight w:val="0"/>
      <w:marTop w:val="0"/>
      <w:marBottom w:val="0"/>
      <w:divBdr>
        <w:top w:val="none" w:sz="0" w:space="0" w:color="auto"/>
        <w:left w:val="none" w:sz="0" w:space="0" w:color="auto"/>
        <w:bottom w:val="none" w:sz="0" w:space="0" w:color="auto"/>
        <w:right w:val="none" w:sz="0" w:space="0" w:color="auto"/>
      </w:divBdr>
    </w:div>
    <w:div w:id="15422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adel.nus.edu.sg/software/padeldescripto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3.0/"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12</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27774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2014-10-20T20:44:00Z</dcterms:created>
  <dcterms:modified xsi:type="dcterms:W3CDTF">2015-02-28T19:28:00Z</dcterms:modified>
</cp:coreProperties>
</file>