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jc w:val="center"/>
      </w:pPr>
      <w:r>
        <w:rPr>
          <w:b w:val="0"/>
          <w:i w:val="0"/>
          <w:sz w:val="44"/>
        </w:rPr>
        <w:t>Per-Disease Cytogenetic Progression Models from the Mitelman Database: Co-occurrence, Conjunctive Bayesian Networks and Mutual Hazard Networks</w:t>
      </w:r>
    </w:p>
    <w:p>
      <w:pPr>
        <w:spacing w:after="0"/>
        <w:ind w:firstLine="0"/>
        <w:jc w:val="center"/>
      </w:pPr>
      <w:r>
        <w:rPr>
          <w:b w:val="0"/>
          <w:i w:val="0"/>
          <w:sz w:val="22"/>
        </w:rPr>
        <w:t>Shubhodeep Chatterjee</w:t>
      </w:r>
    </w:p>
    <w:p>
      <w:pPr>
        <w:spacing w:after="0"/>
        <w:ind w:firstLine="0"/>
        <w:jc w:val="center"/>
      </w:pPr>
      <w:r>
        <w:rPr>
          <w:b w:val="0"/>
          <w:i/>
          <w:sz w:val="18"/>
        </w:rPr>
        <w:t>Independent research</w:t>
      </w:r>
    </w:p>
    <w:p>
      <w:pPr>
        <w:spacing w:after="0"/>
        <w:ind w:firstLine="0"/>
        <w:jc w:val="center"/>
      </w:pPr>
      <w:r>
        <w:rPr>
          <w:b w:val="0"/>
          <w:i/>
          <w:sz w:val="18"/>
        </w:rPr>
        <w:t>github.com/shubhodeepcx/MitelmanProgression</w:t>
      </w:r>
    </w:p>
    <w:p>
      <w:pPr>
        <w:spacing w:after="120"/>
        <w:ind w:firstLine="0"/>
        <w:jc w:val="both"/>
      </w:pPr>
    </w:p>
    <w:p>
      <w:pPr>
        <w:sectPr>
          <w:pgSz w:w="12240" w:h="15840"/>
          <w:pgMar w:top="1080" w:right="900" w:bottom="1440" w:left="900" w:header="720" w:footer="720" w:gutter="0"/>
          <w:cols w:space="720"/>
          <w:docGrid w:linePitch="360"/>
        </w:sectPr>
      </w:pPr>
    </w:p>
    <w:p>
      <w:pPr>
        <w:spacing w:after="80"/>
        <w:ind w:firstLine="0"/>
        <w:jc w:val="both"/>
      </w:pPr>
      <w:r>
        <w:rPr>
          <w:b/>
          <w:i/>
          <w:sz w:val="18"/>
        </w:rPr>
        <w:t>Abstract—</w:t>
      </w:r>
      <w:r>
        <w:rPr>
          <w:b/>
          <w:i w:val="0"/>
          <w:sz w:val="18"/>
        </w:rPr>
        <w:t>We built per-disease models of cytogenetic progression for seven haematological malignancies from 52,054 non-duplicate karyotypes in the Mitelman Database. Clone structure was parsed from ISCN notation, events were frozen per disease by a power calculation, and three existing methods were fitted to the same data: a co-occurrence baseline with a count-preserving permutation null, a conjunctive Bayesian network (CBN) and a Mutual Hazard Network (MHN), with a model-free Bradley-Terry timing from the within-patient clone orders as reference. Five diseases had at least 200 cases with a within-patient clone order; APL and myeloma were limited to the baseline. The MHN fitted held-out data better than independence and than the CBN in every disease and every one of 5 folds, its interactions were stable under 100 bootstrap refits, and they held in unselected series and in post-2000 publications. Simulation recovery was adequate in AML, ALL and CLL and failed in MDS and CML. The MHN's event orders, however, agreed with the within-patient clone orders only in CML; elsewhere they were close to chance, and they were wrong mainly when the later event has the higher base rate (55 of 68 such pairs), so events often seen alone, such as trisomy 8, are placed first. The sparse CBN posets agreed with the clone orders in 22 of 23 testable cases and with the clone timing in 23 of 24. The supported conclusions are therefore the interaction structure from the MHN and the orders backed by the clone data and the CBN, not the MHN's orders on their own. Code, event tables and figures are released.</w:t>
      </w:r>
    </w:p>
    <w:p>
      <w:pPr>
        <w:spacing w:after="160"/>
        <w:ind w:firstLine="0"/>
        <w:jc w:val="both"/>
      </w:pPr>
      <w:r>
        <w:rPr>
          <w:b/>
          <w:i/>
          <w:sz w:val="18"/>
        </w:rPr>
        <w:t>Index Terms—</w:t>
      </w:r>
      <w:r>
        <w:rPr>
          <w:b/>
          <w:i/>
          <w:sz w:val="18"/>
        </w:rPr>
        <w:t>Cancer cytogenetics, karyotype, ISCN, Mitelman Database, tumour progression, Mutual Hazard Networks, conjunctive Bayesian networks, haematological malignancy</w:t>
      </w:r>
    </w:p>
    <w:p>
      <w:pPr>
        <w:spacing w:after="60" w:before="160"/>
        <w:ind w:firstLine="0"/>
        <w:jc w:val="center"/>
      </w:pPr>
      <w:r>
        <w:rPr>
          <w:b w:val="0"/>
          <w:i w:val="0"/>
          <w:sz w:val="20"/>
        </w:rPr>
        <w:t>I. INTRODUCTION</w:t>
      </w:r>
    </w:p>
    <w:p>
      <w:pPr>
        <w:spacing w:after="0"/>
        <w:jc w:val="both"/>
      </w:pPr>
      <w:r>
        <w:rPr>
          <w:b w:val="0"/>
          <w:i w:val="0"/>
        </w:rPr>
        <w:t>Chromosomal aberrations in haematological malignancies are not acquired at once. A founding rearrangement such as t(8;21) or t(9;22) is followed by secondary gains and losses, and the secondary changes that accompany a given founder are characteristic rather than random [1, 2]. Knowing the usual order of events, and which events promote or suppress one another, is a description of clonal evolution that complements outcome-based classifications.</w:t>
      </w:r>
    </w:p>
    <w:p>
      <w:pPr>
        <w:spacing w:after="0"/>
        <w:jc w:val="both"/>
      </w:pPr>
      <w:r>
        <w:rPr>
          <w:b w:val="0"/>
          <w:i w:val="0"/>
        </w:rPr>
        <w:t>The Mitelman Database of Chromosome Aberrations and Gene Fusions in Cancer [3] collects every published cancer karyotype in ISCN notation [4]. Two kinds of ordering signal are available in it. Within a patient, a karyotype that lists a stemline and sidelines states which aberrations are shared by all abnormal cells and which were added later. Across patients, the joint distribution of events carries the information that cancer progression models such as oncogenetic trees [5], conjunctive Bayesian networks (CBN) [6, 7] and Mutual Hazard Networks (MHN) [8] turn into an order. Earlier multivariate analyses of Mitelman data described karyotypic pathways in solid tumours [9]; here the aim is a per-disease model for the haematological malignancies with explicit validation.</w:t>
      </w:r>
    </w:p>
    <w:p>
      <w:pPr>
        <w:spacing w:after="0"/>
        <w:jc w:val="both"/>
      </w:pPr>
      <w:r>
        <w:rPr>
          <w:b/>
          <w:i w:val="0"/>
        </w:rPr>
        <w:t>Claim and scope.</w:t>
      </w:r>
      <w:r>
        <w:rPr>
          <w:b w:val="0"/>
          <w:i w:val="0"/>
        </w:rPr>
        <w:t xml:space="preserve"> For each disease with enough multi-clone cases, the study asks which pairwise orderings and interactions between recurrent cytogenetic events are supported by the data, with an uncertainty estimate for each, and which are not. It fits existing methods only, and it makes no clinical claims: the orders describe the published case mix.</w:t>
      </w:r>
    </w:p>
    <w:p>
      <w:pPr>
        <w:spacing w:after="0"/>
        <w:jc w:val="both"/>
      </w:pPr>
      <w:r>
        <w:rPr>
          <w:b w:val="0"/>
          <w:i w:val="0"/>
        </w:rPr>
        <w:t>The contributions are: (i) an open pipeline with one entry point, from the Mitelman bulk files to per-disease event tables, models, validation tables and figures; (ii) a released tidy event table with inferred clone trees; (iii) a co-occurrence baseline, a CBN and an MHN fitted per disease on the same data; and (iv) six validation checks with pre-specified pass thresholds and stop rules.</w:t>
      </w:r>
    </w:p>
    <w:p>
      <w:pPr>
        <w:spacing w:after="60" w:before="160"/>
        <w:ind w:firstLine="0"/>
        <w:jc w:val="center"/>
      </w:pPr>
      <w:r>
        <w:rPr>
          <w:b w:val="0"/>
          <w:i w:val="0"/>
          <w:sz w:val="20"/>
        </w:rPr>
        <w:t>II. DATA AND BIASES</w:t>
      </w:r>
    </w:p>
    <w:p>
      <w:pPr>
        <w:spacing w:after="40" w:before="80"/>
        <w:ind w:firstLine="0"/>
        <w:jc w:val="left"/>
      </w:pPr>
      <w:r>
        <w:rPr>
          <w:b w:val="0"/>
          <w:i/>
          <w:sz w:val="20"/>
        </w:rPr>
        <w:t>A. Source and cohorts</w:t>
      </w:r>
    </w:p>
    <w:p>
      <w:pPr>
        <w:spacing w:after="0"/>
        <w:jc w:val="both"/>
      </w:pPr>
      <w:r>
        <w:rPr>
          <w:b w:val="0"/>
          <w:i w:val="0"/>
        </w:rPr>
        <w:t>The Mitelman bulk download (md5 434cf3759ba633e4d9d99e2bb8208283) holds 81,148 cases from 12,342 references. Diseases were assigned from morphology codes: acute myeloid leukaemia (AML, excluding acute promyelocytic leukaemia), acute promyelocytic leukaemia (APL, morphology code or t(15;17) in a myeloid case), myelodysplastic neoplasms (MDS), chronic myeloid leukaemia (CML), acute lymphoblastic leukaemia (ALL), chronic lymphocytic leukaemia (CLL) and multiple myeloma (MM). After removing likely duplicates, 52,054 cases remain (Table I).</w:t>
      </w:r>
    </w:p>
    <w:p>
      <w:pPr>
        <w:spacing w:after="0" w:before="120"/>
        <w:ind w:firstLine="0"/>
        <w:jc w:val="center"/>
      </w:pPr>
      <w:r>
        <w:rPr>
          <w:b w:val="0"/>
          <w:i w:val="0"/>
          <w:sz w:val="16"/>
        </w:rPr>
        <w:t>TABLE I</w:t>
      </w:r>
    </w:p>
    <w:p>
      <w:pPr>
        <w:spacing w:after="40"/>
        <w:ind w:firstLine="0"/>
        <w:jc w:val="center"/>
      </w:pPr>
      <w:r>
        <w:rPr>
          <w:b w:val="0"/>
          <w:i w:val="0"/>
          <w:sz w:val="16"/>
        </w:rPr>
        <w:t>Cohorts, vocabulary and ordering yield (non-duplicate cases). N: minimum event count from the power calculation. Clone order: cases with at least one parent-to-child event pair, of which Unsel. are from unselected series.</w:t>
      </w:r>
    </w:p>
    <w:tbl>
      <w:tblPr>
        <w:tblStyle w:val="TableGrid"/>
        <w:tblW w:type="dxa" w:w="4896"/>
        <w:tblLayout w:type="fixed"/>
        <w:tblLook w:firstColumn="1" w:firstRow="1" w:lastColumn="0" w:lastRow="0" w:noHBand="0" w:noVBand="1" w:val="04A0"/>
        <w:tblLayout w:type="fixed"/>
      </w:tblPr>
      <w:tblGrid>
        <w:gridCol w:w="699"/>
        <w:gridCol w:w="629"/>
        <w:gridCol w:w="489"/>
        <w:gridCol w:w="629"/>
        <w:gridCol w:w="979"/>
        <w:gridCol w:w="629"/>
        <w:gridCol w:w="839"/>
      </w:tblGrid>
      <w:tr>
        <w:tc>
          <w:tcPr>
            <w:tcW w:type="dxa" w:w="699"/>
          </w:tcPr>
          <w:p>
            <w:pPr>
              <w:ind w:firstLine="0"/>
              <w:jc w:val="left"/>
            </w:pPr>
            <w:r/>
            <w:r>
              <w:rPr>
                <w:b/>
                <w:i w:val="0"/>
                <w:sz w:val="14"/>
              </w:rPr>
              <w:t>Disease</w:t>
            </w:r>
          </w:p>
        </w:tc>
        <w:tc>
          <w:tcPr>
            <w:tcW w:type="dxa" w:w="629"/>
          </w:tcPr>
          <w:p>
            <w:pPr>
              <w:ind w:firstLine="0"/>
              <w:jc w:val="left"/>
            </w:pPr>
            <w:r/>
            <w:r>
              <w:rPr>
                <w:b/>
                <w:i w:val="0"/>
                <w:sz w:val="14"/>
              </w:rPr>
              <w:t>Cases</w:t>
            </w:r>
          </w:p>
        </w:tc>
        <w:tc>
          <w:tcPr>
            <w:tcW w:type="dxa" w:w="490"/>
          </w:tcPr>
          <w:p>
            <w:pPr>
              <w:ind w:firstLine="0"/>
              <w:jc w:val="left"/>
            </w:pPr>
            <w:r/>
            <w:r>
              <w:rPr>
                <w:b/>
                <w:i w:val="0"/>
                <w:sz w:val="14"/>
              </w:rPr>
              <w:t>N</w:t>
            </w:r>
          </w:p>
        </w:tc>
        <w:tc>
          <w:tcPr>
            <w:tcW w:type="dxa" w:w="629"/>
          </w:tcPr>
          <w:p>
            <w:pPr>
              <w:ind w:firstLine="0"/>
              <w:jc w:val="left"/>
            </w:pPr>
            <w:r/>
            <w:r>
              <w:rPr>
                <w:b/>
                <w:i w:val="0"/>
                <w:sz w:val="14"/>
              </w:rPr>
              <w:t>Events</w:t>
            </w:r>
          </w:p>
        </w:tc>
        <w:tc>
          <w:tcPr>
            <w:tcW w:type="dxa" w:w="979"/>
          </w:tcPr>
          <w:p>
            <w:pPr>
              <w:ind w:firstLine="0"/>
              <w:jc w:val="left"/>
            </w:pPr>
            <w:r/>
            <w:r>
              <w:rPr>
                <w:b/>
                <w:i w:val="0"/>
                <w:sz w:val="14"/>
              </w:rPr>
              <w:t>Clone order</w:t>
            </w:r>
          </w:p>
        </w:tc>
        <w:tc>
          <w:tcPr>
            <w:tcW w:type="dxa" w:w="629"/>
          </w:tcPr>
          <w:p>
            <w:pPr>
              <w:ind w:firstLine="0"/>
              <w:jc w:val="left"/>
            </w:pPr>
            <w:r/>
            <w:r>
              <w:rPr>
                <w:b/>
                <w:i w:val="0"/>
                <w:sz w:val="14"/>
              </w:rPr>
              <w:t>Unsel.</w:t>
            </w:r>
          </w:p>
        </w:tc>
        <w:tc>
          <w:tcPr>
            <w:tcW w:type="dxa" w:w="839"/>
          </w:tcPr>
          <w:p>
            <w:pPr>
              <w:ind w:firstLine="0"/>
              <w:jc w:val="left"/>
            </w:pPr>
            <w:r/>
            <w:r>
              <w:rPr>
                <w:b/>
                <w:i w:val="0"/>
                <w:sz w:val="14"/>
              </w:rPr>
              <w:t>Models</w:t>
            </w:r>
          </w:p>
        </w:tc>
      </w:tr>
      <w:tr>
        <w:tc>
          <w:tcPr>
            <w:tcW w:type="dxa" w:w="699"/>
          </w:tcPr>
          <w:p>
            <w:pPr>
              <w:ind w:firstLine="0"/>
              <w:jc w:val="left"/>
            </w:pPr>
            <w:r/>
            <w:r>
              <w:rPr>
                <w:b w:val="0"/>
                <w:i w:val="0"/>
                <w:sz w:val="14"/>
              </w:rPr>
              <w:t>AML</w:t>
            </w:r>
          </w:p>
        </w:tc>
        <w:tc>
          <w:tcPr>
            <w:tcW w:type="dxa" w:w="629"/>
          </w:tcPr>
          <w:p>
            <w:pPr>
              <w:ind w:firstLine="0"/>
              <w:jc w:val="left"/>
            </w:pPr>
            <w:r/>
            <w:r>
              <w:rPr>
                <w:b w:val="0"/>
                <w:i w:val="0"/>
                <w:sz w:val="14"/>
              </w:rPr>
              <w:t>20,753</w:t>
            </w:r>
          </w:p>
        </w:tc>
        <w:tc>
          <w:tcPr>
            <w:tcW w:type="dxa" w:w="490"/>
          </w:tcPr>
          <w:p>
            <w:pPr>
              <w:ind w:firstLine="0"/>
              <w:jc w:val="left"/>
            </w:pPr>
            <w:r/>
            <w:r>
              <w:rPr>
                <w:b w:val="0"/>
                <w:i w:val="0"/>
                <w:sz w:val="14"/>
              </w:rPr>
              <w:t>201</w:t>
            </w:r>
          </w:p>
        </w:tc>
        <w:tc>
          <w:tcPr>
            <w:tcW w:type="dxa" w:w="629"/>
          </w:tcPr>
          <w:p>
            <w:pPr>
              <w:ind w:firstLine="0"/>
              <w:jc w:val="left"/>
            </w:pPr>
            <w:r/>
            <w:r>
              <w:rPr>
                <w:b w:val="0"/>
                <w:i w:val="0"/>
                <w:sz w:val="14"/>
              </w:rPr>
              <w:t>20</w:t>
            </w:r>
          </w:p>
        </w:tc>
        <w:tc>
          <w:tcPr>
            <w:tcW w:type="dxa" w:w="979"/>
          </w:tcPr>
          <w:p>
            <w:pPr>
              <w:ind w:firstLine="0"/>
              <w:jc w:val="left"/>
            </w:pPr>
            <w:r/>
            <w:r>
              <w:rPr>
                <w:b w:val="0"/>
                <w:i w:val="0"/>
                <w:sz w:val="14"/>
              </w:rPr>
              <w:t>1,471</w:t>
            </w:r>
          </w:p>
        </w:tc>
        <w:tc>
          <w:tcPr>
            <w:tcW w:type="dxa" w:w="629"/>
          </w:tcPr>
          <w:p>
            <w:pPr>
              <w:ind w:firstLine="0"/>
              <w:jc w:val="left"/>
            </w:pPr>
            <w:r/>
            <w:r>
              <w:rPr>
                <w:b w:val="0"/>
                <w:i w:val="0"/>
                <w:sz w:val="14"/>
              </w:rPr>
              <w:t>567</w:t>
            </w:r>
          </w:p>
        </w:tc>
        <w:tc>
          <w:tcPr>
            <w:tcW w:type="dxa" w:w="839"/>
          </w:tcPr>
          <w:p>
            <w:pPr>
              <w:ind w:firstLine="0"/>
              <w:jc w:val="left"/>
            </w:pPr>
            <w:r/>
            <w:r>
              <w:rPr>
                <w:b w:val="0"/>
                <w:i w:val="0"/>
                <w:sz w:val="14"/>
              </w:rPr>
              <w:t>all three</w:t>
            </w:r>
          </w:p>
        </w:tc>
      </w:tr>
      <w:tr>
        <w:tc>
          <w:tcPr>
            <w:tcW w:type="dxa" w:w="699"/>
          </w:tcPr>
          <w:p>
            <w:pPr>
              <w:ind w:firstLine="0"/>
              <w:jc w:val="left"/>
            </w:pPr>
            <w:r/>
            <w:r>
              <w:rPr>
                <w:b w:val="0"/>
                <w:i w:val="0"/>
                <w:sz w:val="14"/>
              </w:rPr>
              <w:t>APL</w:t>
            </w:r>
          </w:p>
        </w:tc>
        <w:tc>
          <w:tcPr>
            <w:tcW w:type="dxa" w:w="629"/>
          </w:tcPr>
          <w:p>
            <w:pPr>
              <w:ind w:firstLine="0"/>
              <w:jc w:val="left"/>
            </w:pPr>
            <w:r/>
            <w:r>
              <w:rPr>
                <w:b w:val="0"/>
                <w:i w:val="0"/>
                <w:sz w:val="14"/>
              </w:rPr>
              <w:t>2,341</w:t>
            </w:r>
          </w:p>
        </w:tc>
        <w:tc>
          <w:tcPr>
            <w:tcW w:type="dxa" w:w="490"/>
          </w:tcPr>
          <w:p>
            <w:pPr>
              <w:ind w:firstLine="0"/>
              <w:jc w:val="left"/>
            </w:pPr>
            <w:r/>
            <w:r>
              <w:rPr>
                <w:b w:val="0"/>
                <w:i w:val="0"/>
                <w:sz w:val="14"/>
              </w:rPr>
              <w:t>196</w:t>
            </w:r>
          </w:p>
        </w:tc>
        <w:tc>
          <w:tcPr>
            <w:tcW w:type="dxa" w:w="629"/>
          </w:tcPr>
          <w:p>
            <w:pPr>
              <w:ind w:firstLine="0"/>
              <w:jc w:val="left"/>
            </w:pPr>
            <w:r/>
            <w:r>
              <w:rPr>
                <w:b w:val="0"/>
                <w:i w:val="0"/>
                <w:sz w:val="14"/>
              </w:rPr>
              <w:t>2</w:t>
            </w:r>
          </w:p>
        </w:tc>
        <w:tc>
          <w:tcPr>
            <w:tcW w:type="dxa" w:w="979"/>
          </w:tcPr>
          <w:p>
            <w:pPr>
              <w:ind w:firstLine="0"/>
              <w:jc w:val="left"/>
            </w:pPr>
            <w:r/>
            <w:r>
              <w:rPr>
                <w:b w:val="0"/>
                <w:i w:val="0"/>
                <w:sz w:val="14"/>
              </w:rPr>
              <w:t>64</w:t>
            </w:r>
          </w:p>
        </w:tc>
        <w:tc>
          <w:tcPr>
            <w:tcW w:type="dxa" w:w="629"/>
          </w:tcPr>
          <w:p>
            <w:pPr>
              <w:ind w:firstLine="0"/>
              <w:jc w:val="left"/>
            </w:pPr>
            <w:r/>
            <w:r>
              <w:rPr>
                <w:b w:val="0"/>
                <w:i w:val="0"/>
                <w:sz w:val="14"/>
              </w:rPr>
              <w:t>31</w:t>
            </w:r>
          </w:p>
        </w:tc>
        <w:tc>
          <w:tcPr>
            <w:tcW w:type="dxa" w:w="839"/>
          </w:tcPr>
          <w:p>
            <w:pPr>
              <w:ind w:firstLine="0"/>
              <w:jc w:val="left"/>
            </w:pPr>
            <w:r/>
            <w:r>
              <w:rPr>
                <w:b w:val="0"/>
                <w:i w:val="0"/>
                <w:sz w:val="14"/>
              </w:rPr>
              <w:t>baseline</w:t>
            </w:r>
          </w:p>
        </w:tc>
      </w:tr>
      <w:tr>
        <w:tc>
          <w:tcPr>
            <w:tcW w:type="dxa" w:w="699"/>
          </w:tcPr>
          <w:p>
            <w:pPr>
              <w:ind w:firstLine="0"/>
              <w:jc w:val="left"/>
            </w:pPr>
            <w:r/>
            <w:r>
              <w:rPr>
                <w:b w:val="0"/>
                <w:i w:val="0"/>
                <w:sz w:val="14"/>
              </w:rPr>
              <w:t>MDS</w:t>
            </w:r>
          </w:p>
        </w:tc>
        <w:tc>
          <w:tcPr>
            <w:tcW w:type="dxa" w:w="629"/>
          </w:tcPr>
          <w:p>
            <w:pPr>
              <w:ind w:firstLine="0"/>
              <w:jc w:val="left"/>
            </w:pPr>
            <w:r/>
            <w:r>
              <w:rPr>
                <w:b w:val="0"/>
                <w:i w:val="0"/>
                <w:sz w:val="14"/>
              </w:rPr>
              <w:t>5,734</w:t>
            </w:r>
          </w:p>
        </w:tc>
        <w:tc>
          <w:tcPr>
            <w:tcW w:type="dxa" w:w="490"/>
          </w:tcPr>
          <w:p>
            <w:pPr>
              <w:ind w:firstLine="0"/>
              <w:jc w:val="left"/>
            </w:pPr>
            <w:r/>
            <w:r>
              <w:rPr>
                <w:b w:val="0"/>
                <w:i w:val="0"/>
                <w:sz w:val="14"/>
              </w:rPr>
              <w:t>200</w:t>
            </w:r>
          </w:p>
        </w:tc>
        <w:tc>
          <w:tcPr>
            <w:tcW w:type="dxa" w:w="629"/>
          </w:tcPr>
          <w:p>
            <w:pPr>
              <w:ind w:firstLine="0"/>
              <w:jc w:val="left"/>
            </w:pPr>
            <w:r/>
            <w:r>
              <w:rPr>
                <w:b w:val="0"/>
                <w:i w:val="0"/>
                <w:sz w:val="14"/>
              </w:rPr>
              <w:t>13</w:t>
            </w:r>
          </w:p>
        </w:tc>
        <w:tc>
          <w:tcPr>
            <w:tcW w:type="dxa" w:w="979"/>
          </w:tcPr>
          <w:p>
            <w:pPr>
              <w:ind w:firstLine="0"/>
              <w:jc w:val="left"/>
            </w:pPr>
            <w:r/>
            <w:r>
              <w:rPr>
                <w:b w:val="0"/>
                <w:i w:val="0"/>
                <w:sz w:val="14"/>
              </w:rPr>
              <w:t>403</w:t>
            </w:r>
          </w:p>
        </w:tc>
        <w:tc>
          <w:tcPr>
            <w:tcW w:type="dxa" w:w="629"/>
          </w:tcPr>
          <w:p>
            <w:pPr>
              <w:ind w:firstLine="0"/>
              <w:jc w:val="left"/>
            </w:pPr>
            <w:r/>
            <w:r>
              <w:rPr>
                <w:b w:val="0"/>
                <w:i w:val="0"/>
                <w:sz w:val="14"/>
              </w:rPr>
              <w:t>112</w:t>
            </w:r>
          </w:p>
        </w:tc>
        <w:tc>
          <w:tcPr>
            <w:tcW w:type="dxa" w:w="839"/>
          </w:tcPr>
          <w:p>
            <w:pPr>
              <w:ind w:firstLine="0"/>
              <w:jc w:val="left"/>
            </w:pPr>
            <w:r/>
            <w:r>
              <w:rPr>
                <w:b w:val="0"/>
                <w:i w:val="0"/>
                <w:sz w:val="14"/>
              </w:rPr>
              <w:t>all three</w:t>
            </w:r>
          </w:p>
        </w:tc>
      </w:tr>
      <w:tr>
        <w:tc>
          <w:tcPr>
            <w:tcW w:type="dxa" w:w="699"/>
          </w:tcPr>
          <w:p>
            <w:pPr>
              <w:ind w:firstLine="0"/>
              <w:jc w:val="left"/>
            </w:pPr>
            <w:r/>
            <w:r>
              <w:rPr>
                <w:b w:val="0"/>
                <w:i w:val="0"/>
                <w:sz w:val="14"/>
              </w:rPr>
              <w:t>CML</w:t>
            </w:r>
          </w:p>
        </w:tc>
        <w:tc>
          <w:tcPr>
            <w:tcW w:type="dxa" w:w="629"/>
          </w:tcPr>
          <w:p>
            <w:pPr>
              <w:ind w:firstLine="0"/>
              <w:jc w:val="left"/>
            </w:pPr>
            <w:r/>
            <w:r>
              <w:rPr>
                <w:b w:val="0"/>
                <w:i w:val="0"/>
                <w:sz w:val="14"/>
              </w:rPr>
              <w:t>4,819</w:t>
            </w:r>
          </w:p>
        </w:tc>
        <w:tc>
          <w:tcPr>
            <w:tcW w:type="dxa" w:w="490"/>
          </w:tcPr>
          <w:p>
            <w:pPr>
              <w:ind w:firstLine="0"/>
              <w:jc w:val="left"/>
            </w:pPr>
            <w:r/>
            <w:r>
              <w:rPr>
                <w:b w:val="0"/>
                <w:i w:val="0"/>
                <w:sz w:val="14"/>
              </w:rPr>
              <w:t>199</w:t>
            </w:r>
          </w:p>
        </w:tc>
        <w:tc>
          <w:tcPr>
            <w:tcW w:type="dxa" w:w="629"/>
          </w:tcPr>
          <w:p>
            <w:pPr>
              <w:ind w:firstLine="0"/>
              <w:jc w:val="left"/>
            </w:pPr>
            <w:r/>
            <w:r>
              <w:rPr>
                <w:b w:val="0"/>
                <w:i w:val="0"/>
                <w:sz w:val="14"/>
              </w:rPr>
              <w:t>9</w:t>
            </w:r>
          </w:p>
        </w:tc>
        <w:tc>
          <w:tcPr>
            <w:tcW w:type="dxa" w:w="979"/>
          </w:tcPr>
          <w:p>
            <w:pPr>
              <w:ind w:firstLine="0"/>
              <w:jc w:val="left"/>
            </w:pPr>
            <w:r/>
            <w:r>
              <w:rPr>
                <w:b w:val="0"/>
                <w:i w:val="0"/>
                <w:sz w:val="14"/>
              </w:rPr>
              <w:t>251</w:t>
            </w:r>
          </w:p>
        </w:tc>
        <w:tc>
          <w:tcPr>
            <w:tcW w:type="dxa" w:w="629"/>
          </w:tcPr>
          <w:p>
            <w:pPr>
              <w:ind w:firstLine="0"/>
              <w:jc w:val="left"/>
            </w:pPr>
            <w:r/>
            <w:r>
              <w:rPr>
                <w:b w:val="0"/>
                <w:i w:val="0"/>
                <w:sz w:val="14"/>
              </w:rPr>
              <w:t>156</w:t>
            </w:r>
          </w:p>
        </w:tc>
        <w:tc>
          <w:tcPr>
            <w:tcW w:type="dxa" w:w="839"/>
          </w:tcPr>
          <w:p>
            <w:pPr>
              <w:ind w:firstLine="0"/>
              <w:jc w:val="left"/>
            </w:pPr>
            <w:r/>
            <w:r>
              <w:rPr>
                <w:b w:val="0"/>
                <w:i w:val="0"/>
                <w:sz w:val="14"/>
              </w:rPr>
              <w:t>all three</w:t>
            </w:r>
          </w:p>
        </w:tc>
      </w:tr>
      <w:tr>
        <w:tc>
          <w:tcPr>
            <w:tcW w:type="dxa" w:w="699"/>
          </w:tcPr>
          <w:p>
            <w:pPr>
              <w:ind w:firstLine="0"/>
              <w:jc w:val="left"/>
            </w:pPr>
            <w:r/>
            <w:r>
              <w:rPr>
                <w:b w:val="0"/>
                <w:i w:val="0"/>
                <w:sz w:val="14"/>
              </w:rPr>
              <w:t>ALL</w:t>
            </w:r>
          </w:p>
        </w:tc>
        <w:tc>
          <w:tcPr>
            <w:tcW w:type="dxa" w:w="629"/>
          </w:tcPr>
          <w:p>
            <w:pPr>
              <w:ind w:firstLine="0"/>
              <w:jc w:val="left"/>
            </w:pPr>
            <w:r/>
            <w:r>
              <w:rPr>
                <w:b w:val="0"/>
                <w:i w:val="0"/>
                <w:sz w:val="14"/>
              </w:rPr>
              <w:t>12,842</w:t>
            </w:r>
          </w:p>
        </w:tc>
        <w:tc>
          <w:tcPr>
            <w:tcW w:type="dxa" w:w="490"/>
          </w:tcPr>
          <w:p>
            <w:pPr>
              <w:ind w:firstLine="0"/>
              <w:jc w:val="left"/>
            </w:pPr>
            <w:r/>
            <w:r>
              <w:rPr>
                <w:b w:val="0"/>
                <w:i w:val="0"/>
                <w:sz w:val="14"/>
              </w:rPr>
              <w:t>201</w:t>
            </w:r>
          </w:p>
        </w:tc>
        <w:tc>
          <w:tcPr>
            <w:tcW w:type="dxa" w:w="629"/>
          </w:tcPr>
          <w:p>
            <w:pPr>
              <w:ind w:firstLine="0"/>
              <w:jc w:val="left"/>
            </w:pPr>
            <w:r/>
            <w:r>
              <w:rPr>
                <w:b w:val="0"/>
                <w:i w:val="0"/>
                <w:sz w:val="14"/>
              </w:rPr>
              <w:t>20</w:t>
            </w:r>
          </w:p>
        </w:tc>
        <w:tc>
          <w:tcPr>
            <w:tcW w:type="dxa" w:w="979"/>
          </w:tcPr>
          <w:p>
            <w:pPr>
              <w:ind w:firstLine="0"/>
              <w:jc w:val="left"/>
            </w:pPr>
            <w:r/>
            <w:r>
              <w:rPr>
                <w:b w:val="0"/>
                <w:i w:val="0"/>
                <w:sz w:val="14"/>
              </w:rPr>
              <w:t>609</w:t>
            </w:r>
          </w:p>
        </w:tc>
        <w:tc>
          <w:tcPr>
            <w:tcW w:type="dxa" w:w="629"/>
          </w:tcPr>
          <w:p>
            <w:pPr>
              <w:ind w:firstLine="0"/>
              <w:jc w:val="left"/>
            </w:pPr>
            <w:r/>
            <w:r>
              <w:rPr>
                <w:b w:val="0"/>
                <w:i w:val="0"/>
                <w:sz w:val="14"/>
              </w:rPr>
              <w:t>136</w:t>
            </w:r>
          </w:p>
        </w:tc>
        <w:tc>
          <w:tcPr>
            <w:tcW w:type="dxa" w:w="839"/>
          </w:tcPr>
          <w:p>
            <w:pPr>
              <w:ind w:firstLine="0"/>
              <w:jc w:val="left"/>
            </w:pPr>
            <w:r/>
            <w:r>
              <w:rPr>
                <w:b w:val="0"/>
                <w:i w:val="0"/>
                <w:sz w:val="14"/>
              </w:rPr>
              <w:t>all three</w:t>
            </w:r>
          </w:p>
        </w:tc>
      </w:tr>
      <w:tr>
        <w:tc>
          <w:tcPr>
            <w:tcW w:type="dxa" w:w="699"/>
          </w:tcPr>
          <w:p>
            <w:pPr>
              <w:ind w:firstLine="0"/>
              <w:jc w:val="left"/>
            </w:pPr>
            <w:r/>
            <w:r>
              <w:rPr>
                <w:b w:val="0"/>
                <w:i w:val="0"/>
                <w:sz w:val="14"/>
              </w:rPr>
              <w:t>CLL</w:t>
            </w:r>
          </w:p>
        </w:tc>
        <w:tc>
          <w:tcPr>
            <w:tcW w:type="dxa" w:w="629"/>
          </w:tcPr>
          <w:p>
            <w:pPr>
              <w:ind w:firstLine="0"/>
              <w:jc w:val="left"/>
            </w:pPr>
            <w:r/>
            <w:r>
              <w:rPr>
                <w:b w:val="0"/>
                <w:i w:val="0"/>
                <w:sz w:val="14"/>
              </w:rPr>
              <w:t>3,469</w:t>
            </w:r>
          </w:p>
        </w:tc>
        <w:tc>
          <w:tcPr>
            <w:tcW w:type="dxa" w:w="490"/>
          </w:tcPr>
          <w:p>
            <w:pPr>
              <w:ind w:firstLine="0"/>
              <w:jc w:val="left"/>
            </w:pPr>
            <w:r/>
            <w:r>
              <w:rPr>
                <w:b w:val="0"/>
                <w:i w:val="0"/>
                <w:sz w:val="14"/>
              </w:rPr>
              <w:t>198</w:t>
            </w:r>
          </w:p>
        </w:tc>
        <w:tc>
          <w:tcPr>
            <w:tcW w:type="dxa" w:w="629"/>
          </w:tcPr>
          <w:p>
            <w:pPr>
              <w:ind w:firstLine="0"/>
              <w:jc w:val="left"/>
            </w:pPr>
            <w:r/>
            <w:r>
              <w:rPr>
                <w:b w:val="0"/>
                <w:i w:val="0"/>
                <w:sz w:val="14"/>
              </w:rPr>
              <w:t>6</w:t>
            </w:r>
          </w:p>
        </w:tc>
        <w:tc>
          <w:tcPr>
            <w:tcW w:type="dxa" w:w="979"/>
          </w:tcPr>
          <w:p>
            <w:pPr>
              <w:ind w:firstLine="0"/>
              <w:jc w:val="left"/>
            </w:pPr>
            <w:r/>
            <w:r>
              <w:rPr>
                <w:b w:val="0"/>
                <w:i w:val="0"/>
                <w:sz w:val="14"/>
              </w:rPr>
              <w:t>226</w:t>
            </w:r>
          </w:p>
        </w:tc>
        <w:tc>
          <w:tcPr>
            <w:tcW w:type="dxa" w:w="629"/>
          </w:tcPr>
          <w:p>
            <w:pPr>
              <w:ind w:firstLine="0"/>
              <w:jc w:val="left"/>
            </w:pPr>
            <w:r/>
            <w:r>
              <w:rPr>
                <w:b w:val="0"/>
                <w:i w:val="0"/>
                <w:sz w:val="14"/>
              </w:rPr>
              <w:t>113</w:t>
            </w:r>
          </w:p>
        </w:tc>
        <w:tc>
          <w:tcPr>
            <w:tcW w:type="dxa" w:w="839"/>
          </w:tcPr>
          <w:p>
            <w:pPr>
              <w:ind w:firstLine="0"/>
              <w:jc w:val="left"/>
            </w:pPr>
            <w:r/>
            <w:r>
              <w:rPr>
                <w:b w:val="0"/>
                <w:i w:val="0"/>
                <w:sz w:val="14"/>
              </w:rPr>
              <w:t>all three</w:t>
            </w:r>
          </w:p>
        </w:tc>
      </w:tr>
      <w:tr>
        <w:tc>
          <w:tcPr>
            <w:tcW w:type="dxa" w:w="699"/>
          </w:tcPr>
          <w:p>
            <w:pPr>
              <w:ind w:firstLine="0"/>
              <w:jc w:val="left"/>
            </w:pPr>
            <w:r/>
            <w:r>
              <w:rPr>
                <w:b w:val="0"/>
                <w:i w:val="0"/>
                <w:sz w:val="14"/>
              </w:rPr>
              <w:t>MM</w:t>
            </w:r>
          </w:p>
        </w:tc>
        <w:tc>
          <w:tcPr>
            <w:tcW w:type="dxa" w:w="629"/>
          </w:tcPr>
          <w:p>
            <w:pPr>
              <w:ind w:firstLine="0"/>
              <w:jc w:val="left"/>
            </w:pPr>
            <w:r/>
            <w:r>
              <w:rPr>
                <w:b w:val="0"/>
                <w:i w:val="0"/>
                <w:sz w:val="14"/>
              </w:rPr>
              <w:t>2,096</w:t>
            </w:r>
          </w:p>
        </w:tc>
        <w:tc>
          <w:tcPr>
            <w:tcW w:type="dxa" w:w="490"/>
          </w:tcPr>
          <w:p>
            <w:pPr>
              <w:ind w:firstLine="0"/>
              <w:jc w:val="left"/>
            </w:pPr>
            <w:r/>
            <w:r>
              <w:rPr>
                <w:b w:val="0"/>
                <w:i w:val="0"/>
                <w:sz w:val="14"/>
              </w:rPr>
              <w:t>195</w:t>
            </w:r>
          </w:p>
        </w:tc>
        <w:tc>
          <w:tcPr>
            <w:tcW w:type="dxa" w:w="629"/>
          </w:tcPr>
          <w:p>
            <w:pPr>
              <w:ind w:firstLine="0"/>
              <w:jc w:val="left"/>
            </w:pPr>
            <w:r/>
            <w:r>
              <w:rPr>
                <w:b w:val="0"/>
                <w:i w:val="0"/>
                <w:sz w:val="14"/>
              </w:rPr>
              <w:t>16</w:t>
            </w:r>
          </w:p>
        </w:tc>
        <w:tc>
          <w:tcPr>
            <w:tcW w:type="dxa" w:w="979"/>
          </w:tcPr>
          <w:p>
            <w:pPr>
              <w:ind w:firstLine="0"/>
              <w:jc w:val="left"/>
            </w:pPr>
            <w:r/>
            <w:r>
              <w:rPr>
                <w:b w:val="0"/>
                <w:i w:val="0"/>
                <w:sz w:val="14"/>
              </w:rPr>
              <w:t>55</w:t>
            </w:r>
          </w:p>
        </w:tc>
        <w:tc>
          <w:tcPr>
            <w:tcW w:type="dxa" w:w="629"/>
          </w:tcPr>
          <w:p>
            <w:pPr>
              <w:ind w:firstLine="0"/>
              <w:jc w:val="left"/>
            </w:pPr>
            <w:r/>
            <w:r>
              <w:rPr>
                <w:b w:val="0"/>
                <w:i w:val="0"/>
                <w:sz w:val="14"/>
              </w:rPr>
              <w:t>34</w:t>
            </w:r>
          </w:p>
        </w:tc>
        <w:tc>
          <w:tcPr>
            <w:tcW w:type="dxa" w:w="839"/>
          </w:tcPr>
          <w:p>
            <w:pPr>
              <w:ind w:firstLine="0"/>
              <w:jc w:val="left"/>
            </w:pPr>
            <w:r/>
            <w:r>
              <w:rPr>
                <w:b w:val="0"/>
                <w:i w:val="0"/>
                <w:sz w:val="14"/>
              </w:rPr>
              <w:t>baseline</w:t>
            </w:r>
          </w:p>
        </w:tc>
      </w:tr>
    </w:tbl>
    <w:p>
      <w:pPr>
        <w:spacing w:after="80"/>
        <w:ind w:firstLine="0"/>
        <w:jc w:val="both"/>
      </w:pPr>
    </w:p>
    <w:p>
      <w:pPr>
        <w:spacing w:after="40" w:before="80"/>
        <w:ind w:firstLine="0"/>
        <w:jc w:val="left"/>
      </w:pPr>
      <w:r>
        <w:rPr>
          <w:b w:val="0"/>
          <w:i/>
          <w:sz w:val="20"/>
        </w:rPr>
        <w:t>B. Biases</w:t>
      </w:r>
    </w:p>
    <w:p>
      <w:pPr>
        <w:spacing w:after="0"/>
        <w:ind w:firstLine="0" w:left="227"/>
        <w:jc w:val="both"/>
      </w:pPr>
      <w:r>
        <w:rPr>
          <w:b w:val="0"/>
          <w:i w:val="0"/>
        </w:rPr>
        <w:t xml:space="preserve">• </w:t>
      </w:r>
      <w:r>
        <w:rPr>
          <w:b/>
          <w:i w:val="0"/>
        </w:rPr>
        <w:t>Publication and selection bias.</w:t>
      </w:r>
      <w:r>
        <w:rPr>
          <w:b w:val="0"/>
          <w:i w:val="0"/>
        </w:rPr>
        <w:t xml:space="preserve"> Mitelman marks each series as Unselected (consecutive cases) or Selected (published for an unusual feature). Selected series over-represent rare rearrangements: in AML, for example, t(8;21) and KMT2A rearrangements are about 1.3 to 1.4 times as frequent in Selected as in Unselected series. Every MHN was refitted on Unselected cases only.</w:t>
      </w:r>
    </w:p>
    <w:p>
      <w:pPr>
        <w:spacing w:after="0"/>
        <w:ind w:firstLine="0" w:left="227"/>
        <w:jc w:val="both"/>
      </w:pPr>
      <w:r>
        <w:rPr>
          <w:b w:val="0"/>
          <w:i w:val="0"/>
        </w:rPr>
        <w:t xml:space="preserve">• </w:t>
      </w:r>
      <w:r>
        <w:rPr>
          <w:b/>
          <w:i w:val="0"/>
        </w:rPr>
        <w:t>Era.</w:t>
      </w:r>
      <w:r>
        <w:rPr>
          <w:b w:val="0"/>
          <w:i w:val="0"/>
        </w:rPr>
        <w:t xml:space="preserve"> Banding resolution and reporting practice changed over five decades; MHNs were refitted on cases published from 2000.</w:t>
      </w:r>
    </w:p>
    <w:p>
      <w:pPr>
        <w:spacing w:after="0"/>
        <w:ind w:firstLine="0" w:left="227"/>
        <w:jc w:val="both"/>
      </w:pPr>
      <w:r>
        <w:rPr>
          <w:b w:val="0"/>
          <w:i w:val="0"/>
        </w:rPr>
        <w:t xml:space="preserve">• </w:t>
      </w:r>
      <w:r>
        <w:rPr>
          <w:b/>
          <w:i w:val="0"/>
        </w:rPr>
        <w:t>Duplicate patients.</w:t>
      </w:r>
      <w:r>
        <w:rPr>
          <w:b w:val="0"/>
          <w:i w:val="0"/>
        </w:rPr>
        <w:t xml:space="preserve"> There is no usable patient identifier. Cases from different references with the same disease, sex, age and an identical karyotype string seen at most three times in the database were treated as one patient; 245 cases were flagged and excluded.</w:t>
      </w:r>
    </w:p>
    <w:p>
      <w:pPr>
        <w:spacing w:after="0"/>
        <w:ind w:firstLine="0" w:left="227"/>
        <w:jc w:val="both"/>
      </w:pPr>
      <w:r>
        <w:rPr>
          <w:b w:val="0"/>
          <w:i w:val="0"/>
        </w:rPr>
        <w:t xml:space="preserve">• </w:t>
      </w:r>
      <w:r>
        <w:rPr>
          <w:b/>
          <w:i w:val="0"/>
        </w:rPr>
        <w:t>Cryptic lesions.</w:t>
      </w:r>
      <w:r>
        <w:rPr>
          <w:b w:val="0"/>
          <w:i w:val="0"/>
        </w:rPr>
        <w:t xml:space="preserve"> Karyotyping misses cryptic rearrangements (for example t(12;21) in ALL) and small copy-number changes, so frequencies understate them.</w:t>
      </w:r>
    </w:p>
    <w:p>
      <w:pPr>
        <w:spacing w:after="0"/>
        <w:ind w:firstLine="0" w:left="227"/>
        <w:jc w:val="both"/>
      </w:pPr>
      <w:r>
        <w:rPr>
          <w:b w:val="0"/>
          <w:i w:val="0"/>
        </w:rPr>
        <w:t xml:space="preserve">• </w:t>
      </w:r>
      <w:r>
        <w:rPr>
          <w:b/>
          <w:i w:val="0"/>
        </w:rPr>
        <w:t>Cross-sectional sampling.</w:t>
      </w:r>
      <w:r>
        <w:rPr>
          <w:b w:val="0"/>
          <w:i w:val="0"/>
        </w:rPr>
        <w:t xml:space="preserve"> Most cases contribute one investigation; ordering is inferred from patterns across cases plus the clone structure within cases.</w:t>
      </w:r>
    </w:p>
    <w:p>
      <w:pPr>
        <w:spacing w:after="60" w:before="160"/>
        <w:ind w:firstLine="0"/>
        <w:jc w:val="center"/>
      </w:pPr>
      <w:r>
        <w:rPr>
          <w:b w:val="0"/>
          <w:i w:val="0"/>
          <w:sz w:val="20"/>
        </w:rPr>
        <w:t>III. METHOD</w:t>
      </w:r>
    </w:p>
    <w:p>
      <w:pPr>
        <w:spacing w:after="40" w:before="80"/>
        <w:ind w:firstLine="0"/>
        <w:jc w:val="left"/>
      </w:pPr>
      <w:r>
        <w:rPr>
          <w:b w:val="0"/>
          <w:i/>
          <w:sz w:val="20"/>
        </w:rPr>
        <w:t>A. Parsing clones and building events</w:t>
      </w:r>
    </w:p>
    <w:p>
      <w:pPr>
        <w:spacing w:after="0"/>
        <w:jc w:val="both"/>
      </w:pPr>
      <w:r>
        <w:rPr>
          <w:b w:val="0"/>
          <w:i w:val="0"/>
        </w:rPr>
        <w:t>Each karyotype is split into clones, and each clone into aberration tokens. The idem shorthand is expanded to the stemline's aberrations (and multiplied for idemx2 polyploid sidelines), opposite numerical changes cancel, sex-chromosome complements and uncounted markers are ignored. A clone's parent is the largest abnormal clone in the same investigation whose aberrations are a proper subset of its own (ties go to the earlier-listed clone); every event in a parent precedes every event the child adds. Copy-number events are the union of what the ISCN text states and arm-level calls from the CytoConverter [10] segments shipped with Mitelman, computed relative to each clone's own baseline ploidy (≥ 50% of an arm, ≥ 90% of a chromosome). The complex-karyotype flag follows ELN 2022 [11].</w:t>
      </w:r>
    </w:p>
    <w:p>
      <w:pPr>
        <w:spacing w:after="0"/>
        <w:jc w:val="both"/>
      </w:pPr>
      <w:r>
        <w:rPr>
          <w:b w:val="0"/>
          <w:i w:val="0"/>
        </w:rPr>
        <w:t>The parser was tested on 50 karyotypes drawn by stratified sampling (single clone, idem sidelines, three or more clones, idemx2, unrelated clones, constitutional and uncertain aberrations, KMT2A variants, CML and MDS multi-clone cases) and annotated by hand in an independent review pass. The parser reproduces every annotated feature set, parent and ordered pair; the full suite has 86 tests, run with a linter on every push.</w:t>
      </w:r>
    </w:p>
    <w:p>
      <w:pPr>
        <w:spacing w:after="40" w:before="80"/>
        <w:ind w:firstLine="0"/>
        <w:jc w:val="left"/>
      </w:pPr>
      <w:r>
        <w:rPr>
          <w:b w:val="0"/>
          <w:i/>
          <w:sz w:val="20"/>
        </w:rPr>
        <w:t>B. Event vocabulary and power</w:t>
      </w:r>
    </w:p>
    <w:p>
      <w:pPr>
        <w:spacing w:after="0"/>
        <w:jc w:val="both"/>
      </w:pPr>
      <w:r>
        <w:rPr>
          <w:b w:val="0"/>
          <w:i w:val="0"/>
        </w:rPr>
        <w:t>Candidate events per disease were listed from the cytogenetics literature before any ordering result was looked at. An event enters the vocabulary if at least N non-duplicate cases carry it, where N is the smallest count giving 80% power for Fisher's exact test at a Bonferroni level of 0.05/190 (20 events) to detect both an odds ratio of 3 and one of 0.2 against a partner of 10% frequency. This gives N ≈ 200 in every disease. At most 20 events are kept per disease and defining events are always kept. The vocabulary was then frozen. Count-derived events (complex, high hyperdiploid, hypodiploid) are functions of the others and enter the baseline only.</w:t>
      </w:r>
    </w:p>
    <w:p>
      <w:pPr>
        <w:spacing w:after="40" w:before="80"/>
        <w:ind w:firstLine="0"/>
        <w:jc w:val="left"/>
      </w:pPr>
      <w:r>
        <w:rPr>
          <w:b w:val="0"/>
          <w:i/>
          <w:sz w:val="20"/>
        </w:rPr>
        <w:t>C. Co-occurrence baseline</w:t>
      </w:r>
    </w:p>
    <w:p>
      <w:pPr>
        <w:spacing w:after="0"/>
        <w:jc w:val="both"/>
      </w:pPr>
      <w:r>
        <w:rPr>
          <w:b w:val="0"/>
          <w:i w:val="0"/>
        </w:rPr>
        <w:t>For every event pair, Fisher's exact test is compared with a permutation null that keeps each case's number of events fixed and the event frequencies approximately matched (weighted sampling without replacement through Gumbel top-k draws, weights calibrated by iterative scaling, 2,000 permutations). This removes the busy-karyotype effect, where complex cases make every pair look co-occurring. Both p-value sets are corrected by Benjamini-Hochberg [12]; a pair is significant if both q &lt; 0.05 and both tests agree on the direction.</w:t>
      </w:r>
    </w:p>
    <w:p>
      <w:pPr>
        <w:spacing w:after="40" w:before="80"/>
        <w:ind w:firstLine="0"/>
        <w:jc w:val="left"/>
      </w:pPr>
      <w:r>
        <w:rPr>
          <w:b w:val="0"/>
          <w:i/>
          <w:sz w:val="20"/>
        </w:rPr>
        <w:t>D. Conjunctive Bayesian network</w:t>
      </w:r>
    </w:p>
    <w:p>
      <w:pPr>
        <w:spacing w:after="0"/>
        <w:jc w:val="both"/>
      </w:pPr>
      <w:r>
        <w:rPr>
          <w:b w:val="0"/>
          <w:i w:val="0"/>
        </w:rPr>
        <w:t xml:space="preserve">A CBN is a partial order on events: an event can occur only after all its parents [6]. Hidden genotypes compatible with the poset are generated with per-event probabilities </w:t>
      </w:r>
      <w:r>
        <w:rPr>
          <w:b w:val="0"/>
          <w:i/>
        </w:rPr>
        <w:t>θ</w:t>
      </w:r>
      <w:r>
        <w:rPr>
          <w:b w:val="0"/>
          <w:i w:val="0"/>
          <w:vertAlign w:val="subscript"/>
        </w:rPr>
        <w:t>i</w:t>
      </w:r>
      <w:r>
        <w:rPr>
          <w:b w:val="0"/>
          <w:i w:val="0"/>
        </w:rPr>
        <w:t>, and each observed bit is flipped with probability ε, as in H-CBN [7]. θ and ε are fitted by expectation maximisation over the enumerated genotypes, and the poset by greedy BIC search with add, remove and reverse moves. The reference C implementations could not be obtained in the analysis environment, so the published discrete-time model was implemented and checked on simulated posets. Because genotypes are enumerated, the CBN uses the 10 most frequent model events per disease.</w:t>
      </w:r>
    </w:p>
    <w:p>
      <w:pPr>
        <w:spacing w:after="40" w:before="80"/>
        <w:ind w:firstLine="0"/>
        <w:jc w:val="left"/>
      </w:pPr>
      <w:r>
        <w:rPr>
          <w:b w:val="0"/>
          <w:i/>
          <w:sz w:val="20"/>
        </w:rPr>
        <w:t>E. Mutual Hazard Network</w:t>
      </w:r>
    </w:p>
    <w:p>
      <w:pPr>
        <w:spacing w:after="0"/>
        <w:jc w:val="both"/>
      </w:pPr>
      <w:r>
        <w:rPr>
          <w:b w:val="0"/>
          <w:i w:val="0"/>
        </w:rPr>
        <w:t>An MHN [8] models progression as a continuous-time Markov chain on the 2ⁿ event states. With event set x already present, event i occurs at rate</w:t>
      </w:r>
    </w:p>
    <w:p>
      <w:pPr>
        <w:spacing w:after="60"/>
        <w:ind w:firstLine="0"/>
        <w:jc w:val="center"/>
      </w:pPr>
      <w:r>
        <w:rPr>
          <w:b w:val="0"/>
          <w:i/>
        </w:rPr>
        <w:t>λ</w:t>
      </w:r>
      <w:r>
        <w:rPr>
          <w:b w:val="0"/>
          <w:i/>
          <w:vertAlign w:val="subscript"/>
        </w:rPr>
        <w:t>i</w:t>
      </w:r>
      <w:r>
        <w:rPr>
          <w:b w:val="0"/>
          <w:i/>
        </w:rPr>
        <w:t xml:space="preserve">(x) = </w:t>
      </w:r>
      <w:r>
        <w:rPr>
          <w:b w:val="0"/>
          <w:i/>
        </w:rPr>
        <w:t>Θ</w:t>
      </w:r>
      <w:r>
        <w:rPr>
          <w:b w:val="0"/>
          <w:i/>
          <w:vertAlign w:val="subscript"/>
        </w:rPr>
        <w:t>ii</w:t>
      </w:r>
      <w:r>
        <w:rPr>
          <w:b w:val="0"/>
          <w:i/>
        </w:rPr>
        <w:t xml:space="preserve"> · ∏_{j ∈ x} </w:t>
      </w:r>
      <w:r>
        <w:rPr>
          <w:b w:val="0"/>
          <w:i/>
        </w:rPr>
        <w:t>Θ</w:t>
      </w:r>
      <w:r>
        <w:rPr>
          <w:b w:val="0"/>
          <w:i/>
          <w:vertAlign w:val="subscript"/>
        </w:rPr>
        <w:t>ij</w:t>
      </w:r>
    </w:p>
    <w:p>
      <w:pPr>
        <w:spacing w:after="0"/>
        <w:jc w:val="both"/>
      </w:pPr>
      <w:r>
        <w:rPr>
          <w:b w:val="0"/>
          <w:i w:val="0"/>
        </w:rPr>
        <w:t xml:space="preserve">so log </w:t>
      </w:r>
      <w:r>
        <w:rPr>
          <w:b w:val="0"/>
          <w:i/>
        </w:rPr>
        <w:t>Θ</w:t>
      </w:r>
      <w:r>
        <w:rPr>
          <w:b w:val="0"/>
          <w:i w:val="0"/>
          <w:vertAlign w:val="subscript"/>
        </w:rPr>
        <w:t>ij</w:t>
      </w:r>
      <w:r>
        <w:rPr>
          <w:b w:val="0"/>
          <w:i w:val="0"/>
        </w:rPr>
        <w:t xml:space="preserve"> &gt; 0 means event j, once present, promotes event i, and log </w:t>
      </w:r>
      <w:r>
        <w:rPr>
          <w:b w:val="0"/>
          <w:i/>
        </w:rPr>
        <w:t>Θ</w:t>
      </w:r>
      <w:r>
        <w:rPr>
          <w:b w:val="0"/>
          <w:i w:val="0"/>
          <w:vertAlign w:val="subscript"/>
        </w:rPr>
        <w:t>ij</w:t>
      </w:r>
      <w:r>
        <w:rPr>
          <w:b w:val="0"/>
          <w:i w:val="0"/>
        </w:rPr>
        <w:t xml:space="preserve"> &lt; 0 means it inhibits it. Tumours are observed at an Exp(1) time. Because every event shares that observation time, events with no interaction are still positively associated in the observed data, so log θ is relative to this shared-time association, not to independence. The likelihood and its gradient were computed with state-space restriction (only states below an observed state are visited). The reference mhn package returned non-finite scores for states with five or six events in this environment, so the likelihood was reimplemented and checked against the package on smaller states, against a closed form for diagonal Θ and against finite differences. Θ is fitted by L-BFGS-B on the mean log-likelihood minus λ times a smooth L1 penalty on the off-diagonal entries, with λ = c/N and c ∈ {0.03, 0.1, 0.3, 1, 3} chosen by 5-fold held-out likelihood. Order probabilities P(a before b | both present) come from 20,000 simulated trajectories.</w:t>
      </w:r>
    </w:p>
    <w:p>
      <w:pPr>
        <w:spacing w:after="40" w:before="80"/>
        <w:ind w:firstLine="0"/>
        <w:jc w:val="left"/>
      </w:pPr>
      <w:r>
        <w:rPr>
          <w:b w:val="0"/>
          <w:i/>
          <w:sz w:val="20"/>
        </w:rPr>
        <w:t>F. Model-free timing from clone orders</w:t>
      </w:r>
    </w:p>
    <w:p>
      <w:pPr>
        <w:spacing w:after="0"/>
        <w:jc w:val="both"/>
      </w:pPr>
      <w:r>
        <w:rPr>
          <w:b w:val="0"/>
          <w:i w:val="0"/>
        </w:rPr>
        <w:t>The clone trees also support an ordering that needs no progression model. Pooling the parent-to-child pairs of one disease, the Bradley-Terry paired-comparison model [13] gives every event an earliness score s, with P(a before b) = 1/(1 + exp(-(s_a - s_b))), fitted by penalised maximum likelihood (ridge 0.01, centred scores). Only events in at least 10 ordered pairs enter. Intervals come from 500 bootstrap resamples of cases, so a case that contributes many pairs is resampled as a unit. These scores are the reference against which the MHN and CBN orders are compared.</w:t>
      </w:r>
    </w:p>
    <w:p>
      <w:pPr>
        <w:spacing w:after="40" w:before="80"/>
        <w:ind w:firstLine="0"/>
        <w:jc w:val="left"/>
      </w:pPr>
      <w:r>
        <w:rPr>
          <w:b w:val="0"/>
          <w:i/>
          <w:sz w:val="20"/>
        </w:rPr>
        <w:t>G. Validation and stop rules</w:t>
      </w:r>
    </w:p>
    <w:p>
      <w:pPr>
        <w:spacing w:after="0"/>
        <w:jc w:val="both"/>
      </w:pPr>
      <w:r>
        <w:rPr>
          <w:b w:val="0"/>
          <w:i w:val="0"/>
        </w:rPr>
        <w:t>Six checks were specified before the fits: (1) bootstrap stability (100 MHN and 50 CBN refits); (2) 5-fold held-out likelihood against an independence model, with the spread across folds; (3) simulation recovery (10 data sets drawn from each fitted model at the real sample size and refitted); (4) concordance with a written test set of established relationships; (5) agreement with the within-patient clone orders and the clone timing, which the cross-sectional models never see; and (6) publication-bias and era sensitivity refits. An MHN interaction is an edge if |log θ| ≥ 0.5 and stable if it keeps its sign in ≥ 80% of bootstrap refits. Simulation recovery is adequate if mean precision ≥ 0.8 and recall ≥ 0.5. All thresholds, counts and seeds are fixed in one configuration file. Stop rules: a disease with fewer than 200 cases with a clone order gets the co-occurrence baseline only; failed simulation recovery is reported as the finding; when fewer than half the edges are stable, only the stable subset is presented.</w:t>
      </w:r>
    </w:p>
    <w:p>
      <w:pPr>
        <w:spacing w:after="60" w:before="160"/>
        <w:ind w:firstLine="0"/>
        <w:jc w:val="center"/>
      </w:pPr>
      <w:r>
        <w:rPr>
          <w:b w:val="0"/>
          <w:i w:val="0"/>
          <w:sz w:val="20"/>
        </w:rPr>
        <w:t>IV. RESULTS</w:t>
      </w:r>
    </w:p>
    <w:p>
      <w:pPr>
        <w:spacing w:after="40" w:before="80"/>
        <w:ind w:firstLine="0"/>
        <w:jc w:val="left"/>
      </w:pPr>
      <w:r>
        <w:rPr>
          <w:b w:val="0"/>
          <w:i/>
          <w:sz w:val="20"/>
        </w:rPr>
        <w:t>A. Co-occurrence baseline</w:t>
      </w:r>
    </w:p>
    <w:p>
      <w:pPr>
        <w:spacing w:after="0"/>
        <w:jc w:val="both"/>
      </w:pPr>
      <w:r>
        <w:rPr>
          <w:b w:val="0"/>
          <w:i w:val="0"/>
        </w:rPr>
        <w:t>Table II counts the significant pairs. Mutual exclusivity dominates wherever founding rearrangements are in the vocabulary: in AML, t(8;21), inv(16), KMT2A rearrangements and inv(3)/t(3;3) exclude one another and the secondary changes of complex karyotypes, and in ALL the founding translocations exclude the trisomies of high hyperdiploidy. Requiring Fisher's test and the permutation null to agree on the direction mattered: some pairs, 31 of them in ALL, co-occur more often than under independence but less often than busy karyotypes alone would predict, and they are no longer called.</w:t>
      </w:r>
    </w:p>
    <w:p>
      <w:pPr>
        <w:spacing w:after="0" w:before="120"/>
        <w:ind w:firstLine="0"/>
        <w:jc w:val="center"/>
      </w:pPr>
      <w:r>
        <w:rPr>
          <w:b w:val="0"/>
          <w:i w:val="0"/>
          <w:sz w:val="16"/>
        </w:rPr>
        <w:t>TABLE II</w:t>
      </w:r>
    </w:p>
    <w:p>
      <w:pPr>
        <w:spacing w:after="40"/>
        <w:ind w:firstLine="0"/>
        <w:jc w:val="center"/>
      </w:pPr>
      <w:r>
        <w:rPr>
          <w:b w:val="0"/>
          <w:i w:val="0"/>
          <w:sz w:val="16"/>
        </w:rPr>
        <w:t>Pairwise baseline: pairs significant under both Fisher's test and the count-preserving null (BH q &lt; 0.05, same direction).</w:t>
      </w:r>
    </w:p>
    <w:tbl>
      <w:tblPr>
        <w:tblStyle w:val="TableGrid"/>
        <w:tblW w:type="dxa" w:w="4896"/>
        <w:tblLayout w:type="fixed"/>
        <w:tblLook w:firstColumn="1" w:firstRow="1" w:lastColumn="0" w:lastRow="0" w:noHBand="0" w:noVBand="1" w:val="04A0"/>
        <w:tblLayout w:type="fixed"/>
      </w:tblPr>
      <w:tblGrid>
        <w:gridCol w:w="829"/>
        <w:gridCol w:w="663"/>
        <w:gridCol w:w="1161"/>
        <w:gridCol w:w="1244"/>
        <w:gridCol w:w="995"/>
      </w:tblGrid>
      <w:tr>
        <w:tc>
          <w:tcPr>
            <w:tcW w:type="dxa" w:w="830"/>
          </w:tcPr>
          <w:p>
            <w:pPr>
              <w:ind w:firstLine="0"/>
              <w:jc w:val="left"/>
            </w:pPr>
            <w:r/>
            <w:r>
              <w:rPr>
                <w:b/>
                <w:i w:val="0"/>
                <w:sz w:val="14"/>
              </w:rPr>
              <w:t>Disease</w:t>
            </w:r>
          </w:p>
        </w:tc>
        <w:tc>
          <w:tcPr>
            <w:tcW w:type="dxa" w:w="664"/>
          </w:tcPr>
          <w:p>
            <w:pPr>
              <w:ind w:firstLine="0"/>
              <w:jc w:val="left"/>
            </w:pPr>
            <w:r/>
            <w:r>
              <w:rPr>
                <w:b/>
                <w:i w:val="0"/>
                <w:sz w:val="14"/>
              </w:rPr>
              <w:t>Pairs</w:t>
            </w:r>
          </w:p>
        </w:tc>
        <w:tc>
          <w:tcPr>
            <w:tcW w:type="dxa" w:w="1162"/>
          </w:tcPr>
          <w:p>
            <w:pPr>
              <w:ind w:firstLine="0"/>
              <w:jc w:val="left"/>
            </w:pPr>
            <w:r/>
            <w:r>
              <w:rPr>
                <w:b/>
                <w:i w:val="0"/>
                <w:sz w:val="14"/>
              </w:rPr>
              <w:t>Significant</w:t>
            </w:r>
          </w:p>
        </w:tc>
        <w:tc>
          <w:tcPr>
            <w:tcW w:type="dxa" w:w="1245"/>
          </w:tcPr>
          <w:p>
            <w:pPr>
              <w:ind w:firstLine="0"/>
              <w:jc w:val="left"/>
            </w:pPr>
            <w:r/>
            <w:r>
              <w:rPr>
                <w:b/>
                <w:i w:val="0"/>
                <w:sz w:val="14"/>
              </w:rPr>
              <w:t>Co-occurring</w:t>
            </w:r>
          </w:p>
        </w:tc>
        <w:tc>
          <w:tcPr>
            <w:tcW w:type="dxa" w:w="996"/>
          </w:tcPr>
          <w:p>
            <w:pPr>
              <w:ind w:firstLine="0"/>
              <w:jc w:val="left"/>
            </w:pPr>
            <w:r/>
            <w:r>
              <w:rPr>
                <w:b/>
                <w:i w:val="0"/>
                <w:sz w:val="14"/>
              </w:rPr>
              <w:t>Exclusive</w:t>
            </w:r>
          </w:p>
        </w:tc>
      </w:tr>
      <w:tr>
        <w:tc>
          <w:tcPr>
            <w:tcW w:type="dxa" w:w="830"/>
          </w:tcPr>
          <w:p>
            <w:pPr>
              <w:ind w:firstLine="0"/>
              <w:jc w:val="left"/>
            </w:pPr>
            <w:r/>
            <w:r>
              <w:rPr>
                <w:b w:val="0"/>
                <w:i w:val="0"/>
                <w:sz w:val="14"/>
              </w:rPr>
              <w:t>AML</w:t>
            </w:r>
          </w:p>
        </w:tc>
        <w:tc>
          <w:tcPr>
            <w:tcW w:type="dxa" w:w="664"/>
          </w:tcPr>
          <w:p>
            <w:pPr>
              <w:ind w:firstLine="0"/>
              <w:jc w:val="left"/>
            </w:pPr>
            <w:r/>
            <w:r>
              <w:rPr>
                <w:b w:val="0"/>
                <w:i w:val="0"/>
                <w:sz w:val="14"/>
              </w:rPr>
              <w:t>190</w:t>
            </w:r>
          </w:p>
        </w:tc>
        <w:tc>
          <w:tcPr>
            <w:tcW w:type="dxa" w:w="1162"/>
          </w:tcPr>
          <w:p>
            <w:pPr>
              <w:ind w:firstLine="0"/>
              <w:jc w:val="left"/>
            </w:pPr>
            <w:r/>
            <w:r>
              <w:rPr>
                <w:b w:val="0"/>
                <w:i w:val="0"/>
                <w:sz w:val="14"/>
              </w:rPr>
              <w:t>141</w:t>
            </w:r>
          </w:p>
        </w:tc>
        <w:tc>
          <w:tcPr>
            <w:tcW w:type="dxa" w:w="1245"/>
          </w:tcPr>
          <w:p>
            <w:pPr>
              <w:ind w:firstLine="0"/>
              <w:jc w:val="left"/>
            </w:pPr>
            <w:r/>
            <w:r>
              <w:rPr>
                <w:b w:val="0"/>
                <w:i w:val="0"/>
                <w:sz w:val="14"/>
              </w:rPr>
              <w:t>58</w:t>
            </w:r>
          </w:p>
        </w:tc>
        <w:tc>
          <w:tcPr>
            <w:tcW w:type="dxa" w:w="996"/>
          </w:tcPr>
          <w:p>
            <w:pPr>
              <w:ind w:firstLine="0"/>
              <w:jc w:val="left"/>
            </w:pPr>
            <w:r/>
            <w:r>
              <w:rPr>
                <w:b w:val="0"/>
                <w:i w:val="0"/>
                <w:sz w:val="14"/>
              </w:rPr>
              <w:t>83</w:t>
            </w:r>
          </w:p>
        </w:tc>
      </w:tr>
      <w:tr>
        <w:tc>
          <w:tcPr>
            <w:tcW w:type="dxa" w:w="830"/>
          </w:tcPr>
          <w:p>
            <w:pPr>
              <w:ind w:firstLine="0"/>
              <w:jc w:val="left"/>
            </w:pPr>
            <w:r/>
            <w:r>
              <w:rPr>
                <w:b w:val="0"/>
                <w:i w:val="0"/>
                <w:sz w:val="14"/>
              </w:rPr>
              <w:t>APL</w:t>
            </w:r>
          </w:p>
        </w:tc>
        <w:tc>
          <w:tcPr>
            <w:tcW w:type="dxa" w:w="664"/>
          </w:tcPr>
          <w:p>
            <w:pPr>
              <w:ind w:firstLine="0"/>
              <w:jc w:val="left"/>
            </w:pPr>
            <w:r/>
            <w:r>
              <w:rPr>
                <w:b w:val="0"/>
                <w:i w:val="0"/>
                <w:sz w:val="14"/>
              </w:rPr>
              <w:t>1</w:t>
            </w:r>
          </w:p>
        </w:tc>
        <w:tc>
          <w:tcPr>
            <w:tcW w:type="dxa" w:w="1162"/>
          </w:tcPr>
          <w:p>
            <w:pPr>
              <w:ind w:firstLine="0"/>
              <w:jc w:val="left"/>
            </w:pPr>
            <w:r/>
            <w:r>
              <w:rPr>
                <w:b w:val="0"/>
                <w:i w:val="0"/>
                <w:sz w:val="14"/>
              </w:rPr>
              <w:t>0</w:t>
            </w:r>
          </w:p>
        </w:tc>
        <w:tc>
          <w:tcPr>
            <w:tcW w:type="dxa" w:w="1245"/>
          </w:tcPr>
          <w:p>
            <w:pPr>
              <w:ind w:firstLine="0"/>
              <w:jc w:val="left"/>
            </w:pPr>
            <w:r/>
            <w:r>
              <w:rPr>
                <w:b w:val="0"/>
                <w:i w:val="0"/>
                <w:sz w:val="14"/>
              </w:rPr>
              <w:t>0</w:t>
            </w:r>
          </w:p>
        </w:tc>
        <w:tc>
          <w:tcPr>
            <w:tcW w:type="dxa" w:w="996"/>
          </w:tcPr>
          <w:p>
            <w:pPr>
              <w:ind w:firstLine="0"/>
              <w:jc w:val="left"/>
            </w:pPr>
            <w:r/>
            <w:r>
              <w:rPr>
                <w:b w:val="0"/>
                <w:i w:val="0"/>
                <w:sz w:val="14"/>
              </w:rPr>
              <w:t>0</w:t>
            </w:r>
          </w:p>
        </w:tc>
      </w:tr>
      <w:tr>
        <w:tc>
          <w:tcPr>
            <w:tcW w:type="dxa" w:w="830"/>
          </w:tcPr>
          <w:p>
            <w:pPr>
              <w:ind w:firstLine="0"/>
              <w:jc w:val="left"/>
            </w:pPr>
            <w:r/>
            <w:r>
              <w:rPr>
                <w:b w:val="0"/>
                <w:i w:val="0"/>
                <w:sz w:val="14"/>
              </w:rPr>
              <w:t>MDS</w:t>
            </w:r>
          </w:p>
        </w:tc>
        <w:tc>
          <w:tcPr>
            <w:tcW w:type="dxa" w:w="664"/>
          </w:tcPr>
          <w:p>
            <w:pPr>
              <w:ind w:firstLine="0"/>
              <w:jc w:val="left"/>
            </w:pPr>
            <w:r/>
            <w:r>
              <w:rPr>
                <w:b w:val="0"/>
                <w:i w:val="0"/>
                <w:sz w:val="14"/>
              </w:rPr>
              <w:t>78</w:t>
            </w:r>
          </w:p>
        </w:tc>
        <w:tc>
          <w:tcPr>
            <w:tcW w:type="dxa" w:w="1162"/>
          </w:tcPr>
          <w:p>
            <w:pPr>
              <w:ind w:firstLine="0"/>
              <w:jc w:val="left"/>
            </w:pPr>
            <w:r/>
            <w:r>
              <w:rPr>
                <w:b w:val="0"/>
                <w:i w:val="0"/>
                <w:sz w:val="14"/>
              </w:rPr>
              <w:t>36</w:t>
            </w:r>
          </w:p>
        </w:tc>
        <w:tc>
          <w:tcPr>
            <w:tcW w:type="dxa" w:w="1245"/>
          </w:tcPr>
          <w:p>
            <w:pPr>
              <w:ind w:firstLine="0"/>
              <w:jc w:val="left"/>
            </w:pPr>
            <w:r/>
            <w:r>
              <w:rPr>
                <w:b w:val="0"/>
                <w:i w:val="0"/>
                <w:sz w:val="14"/>
              </w:rPr>
              <w:t>19</w:t>
            </w:r>
          </w:p>
        </w:tc>
        <w:tc>
          <w:tcPr>
            <w:tcW w:type="dxa" w:w="996"/>
          </w:tcPr>
          <w:p>
            <w:pPr>
              <w:ind w:firstLine="0"/>
              <w:jc w:val="left"/>
            </w:pPr>
            <w:r/>
            <w:r>
              <w:rPr>
                <w:b w:val="0"/>
                <w:i w:val="0"/>
                <w:sz w:val="14"/>
              </w:rPr>
              <w:t>17</w:t>
            </w:r>
          </w:p>
        </w:tc>
      </w:tr>
      <w:tr>
        <w:tc>
          <w:tcPr>
            <w:tcW w:type="dxa" w:w="830"/>
          </w:tcPr>
          <w:p>
            <w:pPr>
              <w:ind w:firstLine="0"/>
              <w:jc w:val="left"/>
            </w:pPr>
            <w:r/>
            <w:r>
              <w:rPr>
                <w:b w:val="0"/>
                <w:i w:val="0"/>
                <w:sz w:val="14"/>
              </w:rPr>
              <w:t>CML</w:t>
            </w:r>
          </w:p>
        </w:tc>
        <w:tc>
          <w:tcPr>
            <w:tcW w:type="dxa" w:w="664"/>
          </w:tcPr>
          <w:p>
            <w:pPr>
              <w:ind w:firstLine="0"/>
              <w:jc w:val="left"/>
            </w:pPr>
            <w:r/>
            <w:r>
              <w:rPr>
                <w:b w:val="0"/>
                <w:i w:val="0"/>
                <w:sz w:val="14"/>
              </w:rPr>
              <w:t>36</w:t>
            </w:r>
          </w:p>
        </w:tc>
        <w:tc>
          <w:tcPr>
            <w:tcW w:type="dxa" w:w="1162"/>
          </w:tcPr>
          <w:p>
            <w:pPr>
              <w:ind w:firstLine="0"/>
              <w:jc w:val="left"/>
            </w:pPr>
            <w:r/>
            <w:r>
              <w:rPr>
                <w:b w:val="0"/>
                <w:i w:val="0"/>
                <w:sz w:val="14"/>
              </w:rPr>
              <w:t>22</w:t>
            </w:r>
          </w:p>
        </w:tc>
        <w:tc>
          <w:tcPr>
            <w:tcW w:type="dxa" w:w="1245"/>
          </w:tcPr>
          <w:p>
            <w:pPr>
              <w:ind w:firstLine="0"/>
              <w:jc w:val="left"/>
            </w:pPr>
            <w:r/>
            <w:r>
              <w:rPr>
                <w:b w:val="0"/>
                <w:i w:val="0"/>
                <w:sz w:val="14"/>
              </w:rPr>
              <w:t>10</w:t>
            </w:r>
          </w:p>
        </w:tc>
        <w:tc>
          <w:tcPr>
            <w:tcW w:type="dxa" w:w="996"/>
          </w:tcPr>
          <w:p>
            <w:pPr>
              <w:ind w:firstLine="0"/>
              <w:jc w:val="left"/>
            </w:pPr>
            <w:r/>
            <w:r>
              <w:rPr>
                <w:b w:val="0"/>
                <w:i w:val="0"/>
                <w:sz w:val="14"/>
              </w:rPr>
              <w:t>12</w:t>
            </w:r>
          </w:p>
        </w:tc>
      </w:tr>
      <w:tr>
        <w:tc>
          <w:tcPr>
            <w:tcW w:type="dxa" w:w="830"/>
          </w:tcPr>
          <w:p>
            <w:pPr>
              <w:ind w:firstLine="0"/>
              <w:jc w:val="left"/>
            </w:pPr>
            <w:r/>
            <w:r>
              <w:rPr>
                <w:b w:val="0"/>
                <w:i w:val="0"/>
                <w:sz w:val="14"/>
              </w:rPr>
              <w:t>ALL</w:t>
            </w:r>
          </w:p>
        </w:tc>
        <w:tc>
          <w:tcPr>
            <w:tcW w:type="dxa" w:w="664"/>
          </w:tcPr>
          <w:p>
            <w:pPr>
              <w:ind w:firstLine="0"/>
              <w:jc w:val="left"/>
            </w:pPr>
            <w:r/>
            <w:r>
              <w:rPr>
                <w:b w:val="0"/>
                <w:i w:val="0"/>
                <w:sz w:val="14"/>
              </w:rPr>
              <w:t>190</w:t>
            </w:r>
          </w:p>
        </w:tc>
        <w:tc>
          <w:tcPr>
            <w:tcW w:type="dxa" w:w="1162"/>
          </w:tcPr>
          <w:p>
            <w:pPr>
              <w:ind w:firstLine="0"/>
              <w:jc w:val="left"/>
            </w:pPr>
            <w:r/>
            <w:r>
              <w:rPr>
                <w:b w:val="0"/>
                <w:i w:val="0"/>
                <w:sz w:val="14"/>
              </w:rPr>
              <w:t>130</w:t>
            </w:r>
          </w:p>
        </w:tc>
        <w:tc>
          <w:tcPr>
            <w:tcW w:type="dxa" w:w="1245"/>
          </w:tcPr>
          <w:p>
            <w:pPr>
              <w:ind w:firstLine="0"/>
              <w:jc w:val="left"/>
            </w:pPr>
            <w:r/>
            <w:r>
              <w:rPr>
                <w:b w:val="0"/>
                <w:i w:val="0"/>
                <w:sz w:val="14"/>
              </w:rPr>
              <w:t>47</w:t>
            </w:r>
          </w:p>
        </w:tc>
        <w:tc>
          <w:tcPr>
            <w:tcW w:type="dxa" w:w="996"/>
          </w:tcPr>
          <w:p>
            <w:pPr>
              <w:ind w:firstLine="0"/>
              <w:jc w:val="left"/>
            </w:pPr>
            <w:r/>
            <w:r>
              <w:rPr>
                <w:b w:val="0"/>
                <w:i w:val="0"/>
                <w:sz w:val="14"/>
              </w:rPr>
              <w:t>83</w:t>
            </w:r>
          </w:p>
        </w:tc>
      </w:tr>
      <w:tr>
        <w:tc>
          <w:tcPr>
            <w:tcW w:type="dxa" w:w="830"/>
          </w:tcPr>
          <w:p>
            <w:pPr>
              <w:ind w:firstLine="0"/>
              <w:jc w:val="left"/>
            </w:pPr>
            <w:r/>
            <w:r>
              <w:rPr>
                <w:b w:val="0"/>
                <w:i w:val="0"/>
                <w:sz w:val="14"/>
              </w:rPr>
              <w:t>CLL</w:t>
            </w:r>
          </w:p>
        </w:tc>
        <w:tc>
          <w:tcPr>
            <w:tcW w:type="dxa" w:w="664"/>
          </w:tcPr>
          <w:p>
            <w:pPr>
              <w:ind w:firstLine="0"/>
              <w:jc w:val="left"/>
            </w:pPr>
            <w:r/>
            <w:r>
              <w:rPr>
                <w:b w:val="0"/>
                <w:i w:val="0"/>
                <w:sz w:val="14"/>
              </w:rPr>
              <w:t>15</w:t>
            </w:r>
          </w:p>
        </w:tc>
        <w:tc>
          <w:tcPr>
            <w:tcW w:type="dxa" w:w="1162"/>
          </w:tcPr>
          <w:p>
            <w:pPr>
              <w:ind w:firstLine="0"/>
              <w:jc w:val="left"/>
            </w:pPr>
            <w:r/>
            <w:r>
              <w:rPr>
                <w:b w:val="0"/>
                <w:i w:val="0"/>
                <w:sz w:val="14"/>
              </w:rPr>
              <w:t>9</w:t>
            </w:r>
          </w:p>
        </w:tc>
        <w:tc>
          <w:tcPr>
            <w:tcW w:type="dxa" w:w="1245"/>
          </w:tcPr>
          <w:p>
            <w:pPr>
              <w:ind w:firstLine="0"/>
              <w:jc w:val="left"/>
            </w:pPr>
            <w:r/>
            <w:r>
              <w:rPr>
                <w:b w:val="0"/>
                <w:i w:val="0"/>
                <w:sz w:val="14"/>
              </w:rPr>
              <w:t>5</w:t>
            </w:r>
          </w:p>
        </w:tc>
        <w:tc>
          <w:tcPr>
            <w:tcW w:type="dxa" w:w="996"/>
          </w:tcPr>
          <w:p>
            <w:pPr>
              <w:ind w:firstLine="0"/>
              <w:jc w:val="left"/>
            </w:pPr>
            <w:r/>
            <w:r>
              <w:rPr>
                <w:b w:val="0"/>
                <w:i w:val="0"/>
                <w:sz w:val="14"/>
              </w:rPr>
              <w:t>4</w:t>
            </w:r>
          </w:p>
        </w:tc>
      </w:tr>
      <w:tr>
        <w:tc>
          <w:tcPr>
            <w:tcW w:type="dxa" w:w="830"/>
          </w:tcPr>
          <w:p>
            <w:pPr>
              <w:ind w:firstLine="0"/>
              <w:jc w:val="left"/>
            </w:pPr>
            <w:r/>
            <w:r>
              <w:rPr>
                <w:b w:val="0"/>
                <w:i w:val="0"/>
                <w:sz w:val="14"/>
              </w:rPr>
              <w:t>MM</w:t>
            </w:r>
          </w:p>
        </w:tc>
        <w:tc>
          <w:tcPr>
            <w:tcW w:type="dxa" w:w="664"/>
          </w:tcPr>
          <w:p>
            <w:pPr>
              <w:ind w:firstLine="0"/>
              <w:jc w:val="left"/>
            </w:pPr>
            <w:r/>
            <w:r>
              <w:rPr>
                <w:b w:val="0"/>
                <w:i w:val="0"/>
                <w:sz w:val="14"/>
              </w:rPr>
              <w:t>120</w:t>
            </w:r>
          </w:p>
        </w:tc>
        <w:tc>
          <w:tcPr>
            <w:tcW w:type="dxa" w:w="1162"/>
          </w:tcPr>
          <w:p>
            <w:pPr>
              <w:ind w:firstLine="0"/>
              <w:jc w:val="left"/>
            </w:pPr>
            <w:r/>
            <w:r>
              <w:rPr>
                <w:b w:val="0"/>
                <w:i w:val="0"/>
                <w:sz w:val="14"/>
              </w:rPr>
              <w:t>51</w:t>
            </w:r>
          </w:p>
        </w:tc>
        <w:tc>
          <w:tcPr>
            <w:tcW w:type="dxa" w:w="1245"/>
          </w:tcPr>
          <w:p>
            <w:pPr>
              <w:ind w:firstLine="0"/>
              <w:jc w:val="left"/>
            </w:pPr>
            <w:r/>
            <w:r>
              <w:rPr>
                <w:b w:val="0"/>
                <w:i w:val="0"/>
                <w:sz w:val="14"/>
              </w:rPr>
              <w:t>33</w:t>
            </w:r>
          </w:p>
        </w:tc>
        <w:tc>
          <w:tcPr>
            <w:tcW w:type="dxa" w:w="996"/>
          </w:tcPr>
          <w:p>
            <w:pPr>
              <w:ind w:firstLine="0"/>
              <w:jc w:val="left"/>
            </w:pPr>
            <w:r/>
            <w:r>
              <w:rPr>
                <w:b w:val="0"/>
                <w:i w:val="0"/>
                <w:sz w:val="14"/>
              </w:rPr>
              <w:t>18</w:t>
            </w:r>
          </w:p>
        </w:tc>
      </w:tr>
    </w:tbl>
    <w:p>
      <w:pPr>
        <w:spacing w:after="80"/>
        <w:ind w:firstLine="0"/>
        <w:jc w:val="both"/>
      </w:pPr>
    </w:p>
    <w:p>
      <w:pPr>
        <w:spacing w:after="40" w:before="80"/>
        <w:ind w:firstLine="0"/>
        <w:jc w:val="left"/>
      </w:pPr>
      <w:r>
        <w:rPr>
          <w:b w:val="0"/>
          <w:i/>
          <w:sz w:val="20"/>
        </w:rPr>
        <w:t>B. Model-free clone orders</w:t>
      </w:r>
    </w:p>
    <w:p>
      <w:pPr>
        <w:spacing w:after="0"/>
        <w:jc w:val="both"/>
      </w:pPr>
      <w:r>
        <w:rPr>
          <w:b w:val="0"/>
          <w:i w:val="0"/>
        </w:rPr>
        <w:t>The clone trees give direct within-patient evidence (Table III). The orders are lopsided and match the established biology: 5q loss precedes 17p loss (96:5) and -7 in AML, t(8;21) precedes -Y and -X, inv(16) precedes +22, t(9;22) precedes the extra Ph and +8 in CML, and 5q loss precedes 17p loss in MDS. Trisomy 8 is a secondary event in nearly every case where it shares a karyotype with a founding change (KMT2A 61:4, inv(16) 44:1).</w:t>
      </w:r>
    </w:p>
    <w:p>
      <w:pPr>
        <w:spacing w:after="0" w:before="120"/>
        <w:ind w:firstLine="0"/>
        <w:jc w:val="center"/>
      </w:pPr>
      <w:r>
        <w:rPr>
          <w:b w:val="0"/>
          <w:i w:val="0"/>
          <w:sz w:val="16"/>
        </w:rPr>
        <w:t>TABLE III</w:t>
      </w:r>
    </w:p>
    <w:p>
      <w:pPr>
        <w:spacing w:after="40"/>
        <w:ind w:firstLine="0"/>
        <w:jc w:val="center"/>
      </w:pPr>
      <w:r>
        <w:rPr>
          <w:b w:val="0"/>
          <w:i w:val="0"/>
          <w:sz w:val="16"/>
        </w:rPr>
        <w:t>Model-free orders: the event pairs most often split between a parent clone and its child (non-duplicate cases), with a two-sided sign test.</w:t>
      </w:r>
    </w:p>
    <w:tbl>
      <w:tblPr>
        <w:tblStyle w:val="TableGrid"/>
        <w:tblW w:type="dxa" w:w="4896"/>
        <w:tblLayout w:type="fixed"/>
        <w:tblLook w:firstColumn="1" w:firstRow="1" w:lastColumn="0" w:lastRow="0" w:noHBand="0" w:noVBand="1" w:val="04A0"/>
        <w:tblLayout w:type="fixed"/>
      </w:tblPr>
      <w:tblGrid>
        <w:gridCol w:w="960"/>
        <w:gridCol w:w="2015"/>
        <w:gridCol w:w="1151"/>
        <w:gridCol w:w="768"/>
      </w:tblGrid>
      <w:tr>
        <w:tc>
          <w:tcPr>
            <w:tcW w:type="dxa" w:w="960"/>
          </w:tcPr>
          <w:p>
            <w:pPr>
              <w:ind w:firstLine="0"/>
              <w:jc w:val="left"/>
            </w:pPr>
            <w:r/>
            <w:r>
              <w:rPr>
                <w:b/>
                <w:i w:val="0"/>
                <w:sz w:val="14"/>
              </w:rPr>
              <w:t>Disease</w:t>
            </w:r>
          </w:p>
        </w:tc>
        <w:tc>
          <w:tcPr>
            <w:tcW w:type="dxa" w:w="2016"/>
          </w:tcPr>
          <w:p>
            <w:pPr>
              <w:ind w:firstLine="0"/>
              <w:jc w:val="left"/>
            </w:pPr>
            <w:r/>
            <w:r>
              <w:rPr>
                <w:b/>
                <w:i w:val="0"/>
                <w:sz w:val="14"/>
              </w:rPr>
              <w:t>Order</w:t>
            </w:r>
          </w:p>
        </w:tc>
        <w:tc>
          <w:tcPr>
            <w:tcW w:type="dxa" w:w="1152"/>
          </w:tcPr>
          <w:p>
            <w:pPr>
              <w:ind w:firstLine="0"/>
              <w:jc w:val="left"/>
            </w:pPr>
            <w:r/>
            <w:r>
              <w:rPr>
                <w:b/>
                <w:i w:val="0"/>
                <w:sz w:val="14"/>
              </w:rPr>
              <w:t>a→b : b→a</w:t>
            </w:r>
          </w:p>
        </w:tc>
        <w:tc>
          <w:tcPr>
            <w:tcW w:type="dxa" w:w="768"/>
          </w:tcPr>
          <w:p>
            <w:pPr>
              <w:ind w:firstLine="0"/>
              <w:jc w:val="left"/>
            </w:pPr>
            <w:r/>
            <w:r>
              <w:rPr>
                <w:b/>
                <w:i w:val="0"/>
                <w:sz w:val="14"/>
              </w:rPr>
              <w:t>p</w:t>
            </w:r>
          </w:p>
        </w:tc>
      </w:tr>
      <w:tr>
        <w:tc>
          <w:tcPr>
            <w:tcW w:type="dxa" w:w="960"/>
          </w:tcPr>
          <w:p>
            <w:pPr>
              <w:ind w:firstLine="0"/>
              <w:jc w:val="left"/>
            </w:pPr>
            <w:r/>
            <w:r>
              <w:rPr>
                <w:b w:val="0"/>
                <w:i w:val="0"/>
                <w:sz w:val="14"/>
              </w:rPr>
              <w:t>AML</w:t>
            </w:r>
          </w:p>
        </w:tc>
        <w:tc>
          <w:tcPr>
            <w:tcW w:type="dxa" w:w="2016"/>
          </w:tcPr>
          <w:p>
            <w:pPr>
              <w:ind w:firstLine="0"/>
              <w:jc w:val="left"/>
            </w:pPr>
            <w:r/>
            <w:r>
              <w:rPr>
                <w:b w:val="0"/>
                <w:i w:val="0"/>
                <w:sz w:val="14"/>
              </w:rPr>
              <w:t>5q loss → 17p loss</w:t>
            </w:r>
          </w:p>
        </w:tc>
        <w:tc>
          <w:tcPr>
            <w:tcW w:type="dxa" w:w="1152"/>
          </w:tcPr>
          <w:p>
            <w:pPr>
              <w:ind w:firstLine="0"/>
              <w:jc w:val="left"/>
            </w:pPr>
            <w:r/>
            <w:r>
              <w:rPr>
                <w:b w:val="0"/>
                <w:i w:val="0"/>
                <w:sz w:val="14"/>
              </w:rPr>
              <w:t>96:5</w:t>
            </w:r>
          </w:p>
        </w:tc>
        <w:tc>
          <w:tcPr>
            <w:tcW w:type="dxa" w:w="768"/>
          </w:tcPr>
          <w:p>
            <w:pPr>
              <w:ind w:firstLine="0"/>
              <w:jc w:val="left"/>
            </w:pPr>
            <w:r/>
            <w:r>
              <w:rPr>
                <w:b w:val="0"/>
                <w:i w:val="0"/>
                <w:sz w:val="14"/>
              </w:rPr>
              <w:t>7e-23</w:t>
            </w:r>
          </w:p>
        </w:tc>
      </w:tr>
      <w:tr>
        <w:tc>
          <w:tcPr>
            <w:tcW w:type="dxa" w:w="960"/>
          </w:tcPr>
          <w:p>
            <w:pPr>
              <w:ind w:firstLine="0"/>
              <w:jc w:val="left"/>
            </w:pPr>
            <w:r/>
          </w:p>
        </w:tc>
        <w:tc>
          <w:tcPr>
            <w:tcW w:type="dxa" w:w="2016"/>
          </w:tcPr>
          <w:p>
            <w:pPr>
              <w:ind w:firstLine="0"/>
              <w:jc w:val="left"/>
            </w:pPr>
            <w:r/>
            <w:r>
              <w:rPr>
                <w:b w:val="0"/>
                <w:i w:val="0"/>
                <w:sz w:val="14"/>
              </w:rPr>
              <w:t>5q loss → +8</w:t>
            </w:r>
          </w:p>
        </w:tc>
        <w:tc>
          <w:tcPr>
            <w:tcW w:type="dxa" w:w="1152"/>
          </w:tcPr>
          <w:p>
            <w:pPr>
              <w:ind w:firstLine="0"/>
              <w:jc w:val="left"/>
            </w:pPr>
            <w:r/>
            <w:r>
              <w:rPr>
                <w:b w:val="0"/>
                <w:i w:val="0"/>
                <w:sz w:val="14"/>
              </w:rPr>
              <w:t>96:10</w:t>
            </w:r>
          </w:p>
        </w:tc>
        <w:tc>
          <w:tcPr>
            <w:tcW w:type="dxa" w:w="768"/>
          </w:tcPr>
          <w:p>
            <w:pPr>
              <w:ind w:firstLine="0"/>
              <w:jc w:val="left"/>
            </w:pPr>
            <w:r/>
            <w:r>
              <w:rPr>
                <w:b w:val="0"/>
                <w:i w:val="0"/>
                <w:sz w:val="14"/>
              </w:rPr>
              <w:t>9e-19</w:t>
            </w:r>
          </w:p>
        </w:tc>
      </w:tr>
      <w:tr>
        <w:tc>
          <w:tcPr>
            <w:tcW w:type="dxa" w:w="960"/>
          </w:tcPr>
          <w:p>
            <w:pPr>
              <w:ind w:firstLine="0"/>
              <w:jc w:val="left"/>
            </w:pPr>
            <w:r/>
          </w:p>
        </w:tc>
        <w:tc>
          <w:tcPr>
            <w:tcW w:type="dxa" w:w="2016"/>
          </w:tcPr>
          <w:p>
            <w:pPr>
              <w:ind w:firstLine="0"/>
              <w:jc w:val="left"/>
            </w:pPr>
            <w:r/>
            <w:r>
              <w:rPr>
                <w:b w:val="0"/>
                <w:i w:val="0"/>
                <w:sz w:val="14"/>
              </w:rPr>
              <w:t>t(8;21) → -Y</w:t>
            </w:r>
          </w:p>
        </w:tc>
        <w:tc>
          <w:tcPr>
            <w:tcW w:type="dxa" w:w="1152"/>
          </w:tcPr>
          <w:p>
            <w:pPr>
              <w:ind w:firstLine="0"/>
              <w:jc w:val="left"/>
            </w:pPr>
            <w:r/>
            <w:r>
              <w:rPr>
                <w:b w:val="0"/>
                <w:i w:val="0"/>
                <w:sz w:val="14"/>
              </w:rPr>
              <w:t>75:2</w:t>
            </w:r>
          </w:p>
        </w:tc>
        <w:tc>
          <w:tcPr>
            <w:tcW w:type="dxa" w:w="768"/>
          </w:tcPr>
          <w:p>
            <w:pPr>
              <w:ind w:firstLine="0"/>
              <w:jc w:val="left"/>
            </w:pPr>
            <w:r/>
            <w:r>
              <w:rPr>
                <w:b w:val="0"/>
                <w:i w:val="0"/>
                <w:sz w:val="14"/>
              </w:rPr>
              <w:t>4e-20</w:t>
            </w:r>
          </w:p>
        </w:tc>
      </w:tr>
      <w:tr>
        <w:tc>
          <w:tcPr>
            <w:tcW w:type="dxa" w:w="960"/>
          </w:tcPr>
          <w:p>
            <w:pPr>
              <w:ind w:firstLine="0"/>
              <w:jc w:val="left"/>
            </w:pPr>
            <w:r/>
          </w:p>
        </w:tc>
        <w:tc>
          <w:tcPr>
            <w:tcW w:type="dxa" w:w="2016"/>
          </w:tcPr>
          <w:p>
            <w:pPr>
              <w:ind w:firstLine="0"/>
              <w:jc w:val="left"/>
            </w:pPr>
            <w:r/>
            <w:r>
              <w:rPr>
                <w:b w:val="0"/>
                <w:i w:val="0"/>
                <w:sz w:val="14"/>
              </w:rPr>
              <w:t>5q loss → -7</w:t>
            </w:r>
          </w:p>
        </w:tc>
        <w:tc>
          <w:tcPr>
            <w:tcW w:type="dxa" w:w="1152"/>
          </w:tcPr>
          <w:p>
            <w:pPr>
              <w:ind w:firstLine="0"/>
              <w:jc w:val="left"/>
            </w:pPr>
            <w:r/>
            <w:r>
              <w:rPr>
                <w:b w:val="0"/>
                <w:i w:val="0"/>
                <w:sz w:val="14"/>
              </w:rPr>
              <w:t>71:14</w:t>
            </w:r>
          </w:p>
        </w:tc>
        <w:tc>
          <w:tcPr>
            <w:tcW w:type="dxa" w:w="768"/>
          </w:tcPr>
          <w:p>
            <w:pPr>
              <w:ind w:firstLine="0"/>
              <w:jc w:val="left"/>
            </w:pPr>
            <w:r/>
            <w:r>
              <w:rPr>
                <w:b w:val="0"/>
                <w:i w:val="0"/>
                <w:sz w:val="14"/>
              </w:rPr>
              <w:t>2e-10</w:t>
            </w:r>
          </w:p>
        </w:tc>
      </w:tr>
      <w:tr>
        <w:tc>
          <w:tcPr>
            <w:tcW w:type="dxa" w:w="960"/>
          </w:tcPr>
          <w:p>
            <w:pPr>
              <w:ind w:firstLine="0"/>
              <w:jc w:val="left"/>
            </w:pPr>
            <w:r/>
            <w:r>
              <w:rPr>
                <w:b w:val="0"/>
                <w:i w:val="0"/>
                <w:sz w:val="14"/>
              </w:rPr>
              <w:t>MDS</w:t>
            </w:r>
          </w:p>
        </w:tc>
        <w:tc>
          <w:tcPr>
            <w:tcW w:type="dxa" w:w="2016"/>
          </w:tcPr>
          <w:p>
            <w:pPr>
              <w:ind w:firstLine="0"/>
              <w:jc w:val="left"/>
            </w:pPr>
            <w:r/>
            <w:r>
              <w:rPr>
                <w:b w:val="0"/>
                <w:i w:val="0"/>
                <w:sz w:val="14"/>
              </w:rPr>
              <w:t>5q loss → +8</w:t>
            </w:r>
          </w:p>
        </w:tc>
        <w:tc>
          <w:tcPr>
            <w:tcW w:type="dxa" w:w="1152"/>
          </w:tcPr>
          <w:p>
            <w:pPr>
              <w:ind w:firstLine="0"/>
              <w:jc w:val="left"/>
            </w:pPr>
            <w:r/>
            <w:r>
              <w:rPr>
                <w:b w:val="0"/>
                <w:i w:val="0"/>
                <w:sz w:val="14"/>
              </w:rPr>
              <w:t>51:8</w:t>
            </w:r>
          </w:p>
        </w:tc>
        <w:tc>
          <w:tcPr>
            <w:tcW w:type="dxa" w:w="768"/>
          </w:tcPr>
          <w:p>
            <w:pPr>
              <w:ind w:firstLine="0"/>
              <w:jc w:val="left"/>
            </w:pPr>
            <w:r/>
            <w:r>
              <w:rPr>
                <w:b w:val="0"/>
                <w:i w:val="0"/>
                <w:sz w:val="14"/>
              </w:rPr>
              <w:t>9e-09</w:t>
            </w:r>
          </w:p>
        </w:tc>
      </w:tr>
      <w:tr>
        <w:tc>
          <w:tcPr>
            <w:tcW w:type="dxa" w:w="960"/>
          </w:tcPr>
          <w:p>
            <w:pPr>
              <w:ind w:firstLine="0"/>
              <w:jc w:val="left"/>
            </w:pPr>
            <w:r/>
          </w:p>
        </w:tc>
        <w:tc>
          <w:tcPr>
            <w:tcW w:type="dxa" w:w="2016"/>
          </w:tcPr>
          <w:p>
            <w:pPr>
              <w:ind w:firstLine="0"/>
              <w:jc w:val="left"/>
            </w:pPr>
            <w:r/>
            <w:r>
              <w:rPr>
                <w:b w:val="0"/>
                <w:i w:val="0"/>
                <w:sz w:val="14"/>
              </w:rPr>
              <w:t>5q loss → -7</w:t>
            </w:r>
          </w:p>
        </w:tc>
        <w:tc>
          <w:tcPr>
            <w:tcW w:type="dxa" w:w="1152"/>
          </w:tcPr>
          <w:p>
            <w:pPr>
              <w:ind w:firstLine="0"/>
              <w:jc w:val="left"/>
            </w:pPr>
            <w:r/>
            <w:r>
              <w:rPr>
                <w:b w:val="0"/>
                <w:i w:val="0"/>
                <w:sz w:val="14"/>
              </w:rPr>
              <w:t>39:9</w:t>
            </w:r>
          </w:p>
        </w:tc>
        <w:tc>
          <w:tcPr>
            <w:tcW w:type="dxa" w:w="768"/>
          </w:tcPr>
          <w:p>
            <w:pPr>
              <w:ind w:firstLine="0"/>
              <w:jc w:val="left"/>
            </w:pPr>
            <w:r/>
            <w:r>
              <w:rPr>
                <w:b w:val="0"/>
                <w:i w:val="0"/>
                <w:sz w:val="14"/>
              </w:rPr>
              <w:t>2e-05</w:t>
            </w:r>
          </w:p>
        </w:tc>
      </w:tr>
      <w:tr>
        <w:tc>
          <w:tcPr>
            <w:tcW w:type="dxa" w:w="960"/>
          </w:tcPr>
          <w:p>
            <w:pPr>
              <w:ind w:firstLine="0"/>
              <w:jc w:val="left"/>
            </w:pPr>
            <w:r/>
          </w:p>
        </w:tc>
        <w:tc>
          <w:tcPr>
            <w:tcW w:type="dxa" w:w="2016"/>
          </w:tcPr>
          <w:p>
            <w:pPr>
              <w:ind w:firstLine="0"/>
              <w:jc w:val="left"/>
            </w:pPr>
            <w:r/>
            <w:r>
              <w:rPr>
                <w:b w:val="0"/>
                <w:i w:val="0"/>
                <w:sz w:val="14"/>
              </w:rPr>
              <w:t>5q loss → 18 loss</w:t>
            </w:r>
          </w:p>
        </w:tc>
        <w:tc>
          <w:tcPr>
            <w:tcW w:type="dxa" w:w="1152"/>
          </w:tcPr>
          <w:p>
            <w:pPr>
              <w:ind w:firstLine="0"/>
              <w:jc w:val="left"/>
            </w:pPr>
            <w:r/>
            <w:r>
              <w:rPr>
                <w:b w:val="0"/>
                <w:i w:val="0"/>
                <w:sz w:val="14"/>
              </w:rPr>
              <w:t>28:6</w:t>
            </w:r>
          </w:p>
        </w:tc>
        <w:tc>
          <w:tcPr>
            <w:tcW w:type="dxa" w:w="768"/>
          </w:tcPr>
          <w:p>
            <w:pPr>
              <w:ind w:firstLine="0"/>
              <w:jc w:val="left"/>
            </w:pPr>
            <w:r/>
            <w:r>
              <w:rPr>
                <w:b w:val="0"/>
                <w:i w:val="0"/>
                <w:sz w:val="14"/>
              </w:rPr>
              <w:t>2e-04</w:t>
            </w:r>
          </w:p>
        </w:tc>
      </w:tr>
      <w:tr>
        <w:tc>
          <w:tcPr>
            <w:tcW w:type="dxa" w:w="960"/>
          </w:tcPr>
          <w:p>
            <w:pPr>
              <w:ind w:firstLine="0"/>
              <w:jc w:val="left"/>
            </w:pPr>
            <w:r/>
          </w:p>
        </w:tc>
        <w:tc>
          <w:tcPr>
            <w:tcW w:type="dxa" w:w="2016"/>
          </w:tcPr>
          <w:p>
            <w:pPr>
              <w:ind w:firstLine="0"/>
              <w:jc w:val="left"/>
            </w:pPr>
            <w:r/>
            <w:r>
              <w:rPr>
                <w:b w:val="0"/>
                <w:i w:val="0"/>
                <w:sz w:val="14"/>
              </w:rPr>
              <w:t>5q loss → +21</w:t>
            </w:r>
          </w:p>
        </w:tc>
        <w:tc>
          <w:tcPr>
            <w:tcW w:type="dxa" w:w="1152"/>
          </w:tcPr>
          <w:p>
            <w:pPr>
              <w:ind w:firstLine="0"/>
              <w:jc w:val="left"/>
            </w:pPr>
            <w:r/>
            <w:r>
              <w:rPr>
                <w:b w:val="0"/>
                <w:i w:val="0"/>
                <w:sz w:val="14"/>
              </w:rPr>
              <w:t>25:1</w:t>
            </w:r>
          </w:p>
        </w:tc>
        <w:tc>
          <w:tcPr>
            <w:tcW w:type="dxa" w:w="768"/>
          </w:tcPr>
          <w:p>
            <w:pPr>
              <w:ind w:firstLine="0"/>
              <w:jc w:val="left"/>
            </w:pPr>
            <w:r/>
            <w:r>
              <w:rPr>
                <w:b w:val="0"/>
                <w:i w:val="0"/>
                <w:sz w:val="14"/>
              </w:rPr>
              <w:t>8e-07</w:t>
            </w:r>
          </w:p>
        </w:tc>
      </w:tr>
      <w:tr>
        <w:tc>
          <w:tcPr>
            <w:tcW w:type="dxa" w:w="960"/>
          </w:tcPr>
          <w:p>
            <w:pPr>
              <w:ind w:firstLine="0"/>
              <w:jc w:val="left"/>
            </w:pPr>
            <w:r/>
            <w:r>
              <w:rPr>
                <w:b w:val="0"/>
                <w:i w:val="0"/>
                <w:sz w:val="14"/>
              </w:rPr>
              <w:t>CML</w:t>
            </w:r>
          </w:p>
        </w:tc>
        <w:tc>
          <w:tcPr>
            <w:tcW w:type="dxa" w:w="2016"/>
          </w:tcPr>
          <w:p>
            <w:pPr>
              <w:ind w:firstLine="0"/>
              <w:jc w:val="left"/>
            </w:pPr>
            <w:r/>
            <w:r>
              <w:rPr>
                <w:b w:val="0"/>
                <w:i w:val="0"/>
                <w:sz w:val="14"/>
              </w:rPr>
              <w:t>t(9;22) → +8</w:t>
            </w:r>
          </w:p>
        </w:tc>
        <w:tc>
          <w:tcPr>
            <w:tcW w:type="dxa" w:w="1152"/>
          </w:tcPr>
          <w:p>
            <w:pPr>
              <w:ind w:firstLine="0"/>
              <w:jc w:val="left"/>
            </w:pPr>
            <w:r/>
            <w:r>
              <w:rPr>
                <w:b w:val="0"/>
                <w:i w:val="0"/>
                <w:sz w:val="14"/>
              </w:rPr>
              <w:t>121:10</w:t>
            </w:r>
          </w:p>
        </w:tc>
        <w:tc>
          <w:tcPr>
            <w:tcW w:type="dxa" w:w="768"/>
          </w:tcPr>
          <w:p>
            <w:pPr>
              <w:ind w:firstLine="0"/>
              <w:jc w:val="left"/>
            </w:pPr>
            <w:r/>
            <w:r>
              <w:rPr>
                <w:b w:val="0"/>
                <w:i w:val="0"/>
                <w:sz w:val="14"/>
              </w:rPr>
              <w:t>2e-25</w:t>
            </w:r>
          </w:p>
        </w:tc>
      </w:tr>
      <w:tr>
        <w:tc>
          <w:tcPr>
            <w:tcW w:type="dxa" w:w="960"/>
          </w:tcPr>
          <w:p>
            <w:pPr>
              <w:ind w:firstLine="0"/>
              <w:jc w:val="left"/>
            </w:pPr>
            <w:r/>
          </w:p>
        </w:tc>
        <w:tc>
          <w:tcPr>
            <w:tcW w:type="dxa" w:w="2016"/>
          </w:tcPr>
          <w:p>
            <w:pPr>
              <w:ind w:firstLine="0"/>
              <w:jc w:val="left"/>
            </w:pPr>
            <w:r/>
            <w:r>
              <w:rPr>
                <w:b w:val="0"/>
                <w:i w:val="0"/>
                <w:sz w:val="14"/>
              </w:rPr>
              <w:t>t(9;22) → extra Ph</w:t>
            </w:r>
          </w:p>
        </w:tc>
        <w:tc>
          <w:tcPr>
            <w:tcW w:type="dxa" w:w="1152"/>
          </w:tcPr>
          <w:p>
            <w:pPr>
              <w:ind w:firstLine="0"/>
              <w:jc w:val="left"/>
            </w:pPr>
            <w:r/>
            <w:r>
              <w:rPr>
                <w:b w:val="0"/>
                <w:i w:val="0"/>
                <w:sz w:val="14"/>
              </w:rPr>
              <w:t>85:0</w:t>
            </w:r>
          </w:p>
        </w:tc>
        <w:tc>
          <w:tcPr>
            <w:tcW w:type="dxa" w:w="768"/>
          </w:tcPr>
          <w:p>
            <w:pPr>
              <w:ind w:firstLine="0"/>
              <w:jc w:val="left"/>
            </w:pPr>
            <w:r/>
            <w:r>
              <w:rPr>
                <w:b w:val="0"/>
                <w:i w:val="0"/>
                <w:sz w:val="14"/>
              </w:rPr>
              <w:t>5e-26</w:t>
            </w:r>
          </w:p>
        </w:tc>
      </w:tr>
      <w:tr>
        <w:tc>
          <w:tcPr>
            <w:tcW w:type="dxa" w:w="960"/>
          </w:tcPr>
          <w:p>
            <w:pPr>
              <w:ind w:firstLine="0"/>
              <w:jc w:val="left"/>
            </w:pPr>
            <w:r/>
          </w:p>
        </w:tc>
        <w:tc>
          <w:tcPr>
            <w:tcW w:type="dxa" w:w="2016"/>
          </w:tcPr>
          <w:p>
            <w:pPr>
              <w:ind w:firstLine="0"/>
              <w:jc w:val="left"/>
            </w:pPr>
            <w:r/>
            <w:r>
              <w:rPr>
                <w:b w:val="0"/>
                <w:i w:val="0"/>
                <w:sz w:val="14"/>
              </w:rPr>
              <w:t>t(9;22) → +19</w:t>
            </w:r>
          </w:p>
        </w:tc>
        <w:tc>
          <w:tcPr>
            <w:tcW w:type="dxa" w:w="1152"/>
          </w:tcPr>
          <w:p>
            <w:pPr>
              <w:ind w:firstLine="0"/>
              <w:jc w:val="left"/>
            </w:pPr>
            <w:r/>
            <w:r>
              <w:rPr>
                <w:b w:val="0"/>
                <w:i w:val="0"/>
                <w:sz w:val="14"/>
              </w:rPr>
              <w:t>54:0</w:t>
            </w:r>
          </w:p>
        </w:tc>
        <w:tc>
          <w:tcPr>
            <w:tcW w:type="dxa" w:w="768"/>
          </w:tcPr>
          <w:p>
            <w:pPr>
              <w:ind w:firstLine="0"/>
              <w:jc w:val="left"/>
            </w:pPr>
            <w:r/>
            <w:r>
              <w:rPr>
                <w:b w:val="0"/>
                <w:i w:val="0"/>
                <w:sz w:val="14"/>
              </w:rPr>
              <w:t>1e-16</w:t>
            </w:r>
          </w:p>
        </w:tc>
      </w:tr>
      <w:tr>
        <w:tc>
          <w:tcPr>
            <w:tcW w:type="dxa" w:w="960"/>
          </w:tcPr>
          <w:p>
            <w:pPr>
              <w:ind w:firstLine="0"/>
              <w:jc w:val="left"/>
            </w:pPr>
            <w:r/>
          </w:p>
        </w:tc>
        <w:tc>
          <w:tcPr>
            <w:tcW w:type="dxa" w:w="2016"/>
          </w:tcPr>
          <w:p>
            <w:pPr>
              <w:ind w:firstLine="0"/>
              <w:jc w:val="left"/>
            </w:pPr>
            <w:r/>
            <w:r>
              <w:rPr>
                <w:b w:val="0"/>
                <w:i w:val="0"/>
                <w:sz w:val="14"/>
              </w:rPr>
              <w:t>17p loss → +8</w:t>
            </w:r>
          </w:p>
        </w:tc>
        <w:tc>
          <w:tcPr>
            <w:tcW w:type="dxa" w:w="1152"/>
          </w:tcPr>
          <w:p>
            <w:pPr>
              <w:ind w:firstLine="0"/>
              <w:jc w:val="left"/>
            </w:pPr>
            <w:r/>
            <w:r>
              <w:rPr>
                <w:b w:val="0"/>
                <w:i w:val="0"/>
                <w:sz w:val="14"/>
              </w:rPr>
              <w:t>38:8</w:t>
            </w:r>
          </w:p>
        </w:tc>
        <w:tc>
          <w:tcPr>
            <w:tcW w:type="dxa" w:w="768"/>
          </w:tcPr>
          <w:p>
            <w:pPr>
              <w:ind w:firstLine="0"/>
              <w:jc w:val="left"/>
            </w:pPr>
            <w:r/>
            <w:r>
              <w:rPr>
                <w:b w:val="0"/>
                <w:i w:val="0"/>
                <w:sz w:val="14"/>
              </w:rPr>
              <w:t>9e-06</w:t>
            </w:r>
          </w:p>
        </w:tc>
      </w:tr>
      <w:tr>
        <w:tc>
          <w:tcPr>
            <w:tcW w:type="dxa" w:w="960"/>
          </w:tcPr>
          <w:p>
            <w:pPr>
              <w:ind w:firstLine="0"/>
              <w:jc w:val="left"/>
            </w:pPr>
            <w:r/>
            <w:r>
              <w:rPr>
                <w:b w:val="0"/>
                <w:i w:val="0"/>
                <w:sz w:val="14"/>
              </w:rPr>
              <w:t>ALL</w:t>
            </w:r>
          </w:p>
        </w:tc>
        <w:tc>
          <w:tcPr>
            <w:tcW w:type="dxa" w:w="2016"/>
          </w:tcPr>
          <w:p>
            <w:pPr>
              <w:ind w:firstLine="0"/>
              <w:jc w:val="left"/>
            </w:pPr>
            <w:r/>
            <w:r>
              <w:rPr>
                <w:b w:val="0"/>
                <w:i w:val="0"/>
                <w:sz w:val="14"/>
              </w:rPr>
              <w:t>t(9;22) → 9p loss</w:t>
            </w:r>
          </w:p>
        </w:tc>
        <w:tc>
          <w:tcPr>
            <w:tcW w:type="dxa" w:w="1152"/>
          </w:tcPr>
          <w:p>
            <w:pPr>
              <w:ind w:firstLine="0"/>
              <w:jc w:val="left"/>
            </w:pPr>
            <w:r/>
            <w:r>
              <w:rPr>
                <w:b w:val="0"/>
                <w:i w:val="0"/>
                <w:sz w:val="14"/>
              </w:rPr>
              <w:t>31:1</w:t>
            </w:r>
          </w:p>
        </w:tc>
        <w:tc>
          <w:tcPr>
            <w:tcW w:type="dxa" w:w="768"/>
          </w:tcPr>
          <w:p>
            <w:pPr>
              <w:ind w:firstLine="0"/>
              <w:jc w:val="left"/>
            </w:pPr>
            <w:r/>
            <w:r>
              <w:rPr>
                <w:b w:val="0"/>
                <w:i w:val="0"/>
                <w:sz w:val="14"/>
              </w:rPr>
              <w:t>2e-08</w:t>
            </w:r>
          </w:p>
        </w:tc>
      </w:tr>
      <w:tr>
        <w:tc>
          <w:tcPr>
            <w:tcW w:type="dxa" w:w="960"/>
          </w:tcPr>
          <w:p>
            <w:pPr>
              <w:ind w:firstLine="0"/>
              <w:jc w:val="left"/>
            </w:pPr>
            <w:r/>
          </w:p>
        </w:tc>
        <w:tc>
          <w:tcPr>
            <w:tcW w:type="dxa" w:w="2016"/>
          </w:tcPr>
          <w:p>
            <w:pPr>
              <w:ind w:firstLine="0"/>
              <w:jc w:val="left"/>
            </w:pPr>
            <w:r/>
            <w:r>
              <w:rPr>
                <w:b w:val="0"/>
                <w:i w:val="0"/>
                <w:sz w:val="14"/>
              </w:rPr>
              <w:t>+21 → 1q gain</w:t>
            </w:r>
          </w:p>
        </w:tc>
        <w:tc>
          <w:tcPr>
            <w:tcW w:type="dxa" w:w="1152"/>
          </w:tcPr>
          <w:p>
            <w:pPr>
              <w:ind w:firstLine="0"/>
              <w:jc w:val="left"/>
            </w:pPr>
            <w:r/>
            <w:r>
              <w:rPr>
                <w:b w:val="0"/>
                <w:i w:val="0"/>
                <w:sz w:val="14"/>
              </w:rPr>
              <w:t>29:4</w:t>
            </w:r>
          </w:p>
        </w:tc>
        <w:tc>
          <w:tcPr>
            <w:tcW w:type="dxa" w:w="768"/>
          </w:tcPr>
          <w:p>
            <w:pPr>
              <w:ind w:firstLine="0"/>
              <w:jc w:val="left"/>
            </w:pPr>
            <w:r/>
            <w:r>
              <w:rPr>
                <w:b w:val="0"/>
                <w:i w:val="0"/>
                <w:sz w:val="14"/>
              </w:rPr>
              <w:t>1e-05</w:t>
            </w:r>
          </w:p>
        </w:tc>
      </w:tr>
      <w:tr>
        <w:tc>
          <w:tcPr>
            <w:tcW w:type="dxa" w:w="960"/>
          </w:tcPr>
          <w:p>
            <w:pPr>
              <w:ind w:firstLine="0"/>
              <w:jc w:val="left"/>
            </w:pPr>
            <w:r/>
          </w:p>
        </w:tc>
        <w:tc>
          <w:tcPr>
            <w:tcW w:type="dxa" w:w="2016"/>
          </w:tcPr>
          <w:p>
            <w:pPr>
              <w:ind w:firstLine="0"/>
              <w:jc w:val="left"/>
            </w:pPr>
            <w:r/>
            <w:r>
              <w:rPr>
                <w:b w:val="0"/>
                <w:i w:val="0"/>
                <w:sz w:val="14"/>
              </w:rPr>
              <w:t>+6 → 1q gain</w:t>
            </w:r>
          </w:p>
        </w:tc>
        <w:tc>
          <w:tcPr>
            <w:tcW w:type="dxa" w:w="1152"/>
          </w:tcPr>
          <w:p>
            <w:pPr>
              <w:ind w:firstLine="0"/>
              <w:jc w:val="left"/>
            </w:pPr>
            <w:r/>
            <w:r>
              <w:rPr>
                <w:b w:val="0"/>
                <w:i w:val="0"/>
                <w:sz w:val="14"/>
              </w:rPr>
              <w:t>28:2</w:t>
            </w:r>
          </w:p>
        </w:tc>
        <w:tc>
          <w:tcPr>
            <w:tcW w:type="dxa" w:w="768"/>
          </w:tcPr>
          <w:p>
            <w:pPr>
              <w:ind w:firstLine="0"/>
              <w:jc w:val="left"/>
            </w:pPr>
            <w:r/>
            <w:r>
              <w:rPr>
                <w:b w:val="0"/>
                <w:i w:val="0"/>
                <w:sz w:val="14"/>
              </w:rPr>
              <w:t>9e-07</w:t>
            </w:r>
          </w:p>
        </w:tc>
      </w:tr>
      <w:tr>
        <w:tc>
          <w:tcPr>
            <w:tcW w:type="dxa" w:w="960"/>
          </w:tcPr>
          <w:p>
            <w:pPr>
              <w:ind w:firstLine="0"/>
              <w:jc w:val="left"/>
            </w:pPr>
            <w:r/>
          </w:p>
        </w:tc>
        <w:tc>
          <w:tcPr>
            <w:tcW w:type="dxa" w:w="2016"/>
          </w:tcPr>
          <w:p>
            <w:pPr>
              <w:ind w:firstLine="0"/>
              <w:jc w:val="left"/>
            </w:pPr>
            <w:r/>
            <w:r>
              <w:rPr>
                <w:b w:val="0"/>
                <w:i w:val="0"/>
                <w:sz w:val="14"/>
              </w:rPr>
              <w:t>+X → 1q gain</w:t>
            </w:r>
          </w:p>
        </w:tc>
        <w:tc>
          <w:tcPr>
            <w:tcW w:type="dxa" w:w="1152"/>
          </w:tcPr>
          <w:p>
            <w:pPr>
              <w:ind w:firstLine="0"/>
              <w:jc w:val="left"/>
            </w:pPr>
            <w:r/>
            <w:r>
              <w:rPr>
                <w:b w:val="0"/>
                <w:i w:val="0"/>
                <w:sz w:val="14"/>
              </w:rPr>
              <w:t>26:1</w:t>
            </w:r>
          </w:p>
        </w:tc>
        <w:tc>
          <w:tcPr>
            <w:tcW w:type="dxa" w:w="768"/>
          </w:tcPr>
          <w:p>
            <w:pPr>
              <w:ind w:firstLine="0"/>
              <w:jc w:val="left"/>
            </w:pPr>
            <w:r/>
            <w:r>
              <w:rPr>
                <w:b w:val="0"/>
                <w:i w:val="0"/>
                <w:sz w:val="14"/>
              </w:rPr>
              <w:t>4e-07</w:t>
            </w:r>
          </w:p>
        </w:tc>
      </w:tr>
      <w:tr>
        <w:tc>
          <w:tcPr>
            <w:tcW w:type="dxa" w:w="960"/>
          </w:tcPr>
          <w:p>
            <w:pPr>
              <w:ind w:firstLine="0"/>
              <w:jc w:val="left"/>
            </w:pPr>
            <w:r/>
            <w:r>
              <w:rPr>
                <w:b w:val="0"/>
                <w:i w:val="0"/>
                <w:sz w:val="14"/>
              </w:rPr>
              <w:t>CLL</w:t>
            </w:r>
          </w:p>
        </w:tc>
        <w:tc>
          <w:tcPr>
            <w:tcW w:type="dxa" w:w="2016"/>
          </w:tcPr>
          <w:p>
            <w:pPr>
              <w:ind w:firstLine="0"/>
              <w:jc w:val="left"/>
            </w:pPr>
            <w:r/>
            <w:r>
              <w:rPr>
                <w:b w:val="0"/>
                <w:i w:val="0"/>
                <w:sz w:val="14"/>
              </w:rPr>
              <w:t>+12 → 13q loss</w:t>
            </w:r>
          </w:p>
        </w:tc>
        <w:tc>
          <w:tcPr>
            <w:tcW w:type="dxa" w:w="1152"/>
          </w:tcPr>
          <w:p>
            <w:pPr>
              <w:ind w:firstLine="0"/>
              <w:jc w:val="left"/>
            </w:pPr>
            <w:r/>
            <w:r>
              <w:rPr>
                <w:b w:val="0"/>
                <w:i w:val="0"/>
                <w:sz w:val="14"/>
              </w:rPr>
              <w:t>27:2</w:t>
            </w:r>
          </w:p>
        </w:tc>
        <w:tc>
          <w:tcPr>
            <w:tcW w:type="dxa" w:w="768"/>
          </w:tcPr>
          <w:p>
            <w:pPr>
              <w:ind w:firstLine="0"/>
              <w:jc w:val="left"/>
            </w:pPr>
            <w:r/>
            <w:r>
              <w:rPr>
                <w:b w:val="0"/>
                <w:i w:val="0"/>
                <w:sz w:val="14"/>
              </w:rPr>
              <w:t>2e-06</w:t>
            </w:r>
          </w:p>
        </w:tc>
      </w:tr>
      <w:tr>
        <w:tc>
          <w:tcPr>
            <w:tcW w:type="dxa" w:w="960"/>
          </w:tcPr>
          <w:p>
            <w:pPr>
              <w:ind w:firstLine="0"/>
              <w:jc w:val="left"/>
            </w:pPr>
            <w:r/>
          </w:p>
        </w:tc>
        <w:tc>
          <w:tcPr>
            <w:tcW w:type="dxa" w:w="2016"/>
          </w:tcPr>
          <w:p>
            <w:pPr>
              <w:ind w:firstLine="0"/>
              <w:jc w:val="left"/>
            </w:pPr>
            <w:r/>
            <w:r>
              <w:rPr>
                <w:b w:val="0"/>
                <w:i w:val="0"/>
                <w:sz w:val="14"/>
              </w:rPr>
              <w:t>13q loss → 11q-</w:t>
            </w:r>
          </w:p>
        </w:tc>
        <w:tc>
          <w:tcPr>
            <w:tcW w:type="dxa" w:w="1152"/>
          </w:tcPr>
          <w:p>
            <w:pPr>
              <w:ind w:firstLine="0"/>
              <w:jc w:val="left"/>
            </w:pPr>
            <w:r/>
            <w:r>
              <w:rPr>
                <w:b w:val="0"/>
                <w:i w:val="0"/>
                <w:sz w:val="14"/>
              </w:rPr>
              <w:t>20:6</w:t>
            </w:r>
          </w:p>
        </w:tc>
        <w:tc>
          <w:tcPr>
            <w:tcW w:type="dxa" w:w="768"/>
          </w:tcPr>
          <w:p>
            <w:pPr>
              <w:ind w:firstLine="0"/>
              <w:jc w:val="left"/>
            </w:pPr>
            <w:r/>
            <w:r>
              <w:rPr>
                <w:b w:val="0"/>
                <w:i w:val="0"/>
                <w:sz w:val="14"/>
              </w:rPr>
              <w:t>0.009</w:t>
            </w:r>
          </w:p>
        </w:tc>
      </w:tr>
      <w:tr>
        <w:tc>
          <w:tcPr>
            <w:tcW w:type="dxa" w:w="960"/>
          </w:tcPr>
          <w:p>
            <w:pPr>
              <w:ind w:firstLine="0"/>
              <w:jc w:val="left"/>
            </w:pPr>
            <w:r/>
          </w:p>
        </w:tc>
        <w:tc>
          <w:tcPr>
            <w:tcW w:type="dxa" w:w="2016"/>
          </w:tcPr>
          <w:p>
            <w:pPr>
              <w:ind w:firstLine="0"/>
              <w:jc w:val="left"/>
            </w:pPr>
            <w:r/>
            <w:r>
              <w:rPr>
                <w:b w:val="0"/>
                <w:i w:val="0"/>
                <w:sz w:val="14"/>
              </w:rPr>
              <w:t>+12 → 11q-</w:t>
            </w:r>
          </w:p>
        </w:tc>
        <w:tc>
          <w:tcPr>
            <w:tcW w:type="dxa" w:w="1152"/>
          </w:tcPr>
          <w:p>
            <w:pPr>
              <w:ind w:firstLine="0"/>
              <w:jc w:val="left"/>
            </w:pPr>
            <w:r/>
            <w:r>
              <w:rPr>
                <w:b w:val="0"/>
                <w:i w:val="0"/>
                <w:sz w:val="14"/>
              </w:rPr>
              <w:t>14:2</w:t>
            </w:r>
          </w:p>
        </w:tc>
        <w:tc>
          <w:tcPr>
            <w:tcW w:type="dxa" w:w="768"/>
          </w:tcPr>
          <w:p>
            <w:pPr>
              <w:ind w:firstLine="0"/>
              <w:jc w:val="left"/>
            </w:pPr>
            <w:r/>
            <w:r>
              <w:rPr>
                <w:b w:val="0"/>
                <w:i w:val="0"/>
                <w:sz w:val="14"/>
              </w:rPr>
              <w:t>0.004</w:t>
            </w:r>
          </w:p>
        </w:tc>
      </w:tr>
      <w:tr>
        <w:tc>
          <w:tcPr>
            <w:tcW w:type="dxa" w:w="960"/>
          </w:tcPr>
          <w:p>
            <w:pPr>
              <w:ind w:firstLine="0"/>
              <w:jc w:val="left"/>
            </w:pPr>
            <w:r/>
          </w:p>
        </w:tc>
        <w:tc>
          <w:tcPr>
            <w:tcW w:type="dxa" w:w="2016"/>
          </w:tcPr>
          <w:p>
            <w:pPr>
              <w:ind w:firstLine="0"/>
              <w:jc w:val="left"/>
            </w:pPr>
            <w:r/>
            <w:r>
              <w:rPr>
                <w:b w:val="0"/>
                <w:i w:val="0"/>
                <w:sz w:val="14"/>
              </w:rPr>
              <w:t>+12 → 17p loss</w:t>
            </w:r>
          </w:p>
        </w:tc>
        <w:tc>
          <w:tcPr>
            <w:tcW w:type="dxa" w:w="1152"/>
          </w:tcPr>
          <w:p>
            <w:pPr>
              <w:ind w:firstLine="0"/>
              <w:jc w:val="left"/>
            </w:pPr>
            <w:r/>
            <w:r>
              <w:rPr>
                <w:b w:val="0"/>
                <w:i w:val="0"/>
                <w:sz w:val="14"/>
              </w:rPr>
              <w:t>10:1</w:t>
            </w:r>
          </w:p>
        </w:tc>
        <w:tc>
          <w:tcPr>
            <w:tcW w:type="dxa" w:w="768"/>
          </w:tcPr>
          <w:p>
            <w:pPr>
              <w:ind w:firstLine="0"/>
              <w:jc w:val="left"/>
            </w:pPr>
            <w:r/>
            <w:r>
              <w:rPr>
                <w:b w:val="0"/>
                <w:i w:val="0"/>
                <w:sz w:val="14"/>
              </w:rPr>
              <w:t>0.012</w:t>
            </w:r>
          </w:p>
        </w:tc>
      </w:tr>
    </w:tbl>
    <w:p>
      <w:pPr>
        <w:spacing w:after="80"/>
        <w:ind w:firstLine="0"/>
        <w:jc w:val="both"/>
      </w:pPr>
    </w:p>
    <w:p>
      <w:pPr>
        <w:spacing w:after="0"/>
        <w:jc w:val="both"/>
      </w:pPr>
      <w:r>
        <w:rPr>
          <w:b w:val="0"/>
          <w:i w:val="0"/>
        </w:rPr>
        <w:t>Pooling all pairs per disease into a Bradley-Terry timing gives a full order with uncertainty (Table IV, Fig. 1). Founding rearrangements come first wherever they are in the vocabulary: t(8;21), inv(3)/t(3;3), inv(16) and KMT2A in AML (with 5q loss among them), t(9;22) in CML, t(9;22) and KMT2A in ALL, and 5q loss in MDS. Losses of 7, 7q and 17p follow, and the trisomies (+8, +11, +13, +19, +21, +22) come last. In CLL +12 ranks first, consistent with its role as a founding lesion. Sex-chromosome loss ranks early in CML and MDS, which fits its age-related origin outside the leukaemic process.</w:t>
      </w:r>
    </w:p>
    <w:p>
      <w:pPr>
        <w:sectPr>
          <w:type w:val="continuous"/>
          <w:pgSz w:w="12240" w:h="15840"/>
          <w:pgMar w:top="1080" w:right="900" w:bottom="1440" w:left="900" w:header="720" w:footer="720" w:gutter="0"/>
          <w:cols w:space="360" w:num="2"/>
          <w:docGrid w:linePitch="360"/>
        </w:sectPr>
      </w:pPr>
    </w:p>
    <w:p>
      <w:pPr>
        <w:spacing w:after="0" w:before="120"/>
        <w:ind w:firstLine="0"/>
        <w:jc w:val="center"/>
      </w:pPr>
      <w:r>
        <w:rPr>
          <w:b w:val="0"/>
          <w:i w:val="0"/>
          <w:sz w:val="16"/>
        </w:rPr>
        <w:t>TABLE IV</w:t>
      </w:r>
    </w:p>
    <w:p>
      <w:pPr>
        <w:spacing w:after="40"/>
        <w:ind w:firstLine="0"/>
        <w:jc w:val="center"/>
      </w:pPr>
      <w:r>
        <w:rPr>
          <w:b w:val="0"/>
          <w:i w:val="0"/>
          <w:sz w:val="16"/>
        </w:rPr>
        <w:t>Event timing from clone orders: events from earliest to latest by Bradley-Terry earliness, with the 90% case-bootstrap interval of each rank (500 resamples).</w:t>
      </w:r>
    </w:p>
    <w:tbl>
      <w:tblPr>
        <w:tblStyle w:val="TableGrid"/>
        <w:tblW w:type="dxa" w:w="10440"/>
        <w:tblLayout w:type="fixed"/>
        <w:tblLook w:firstColumn="1" w:firstRow="1" w:lastColumn="0" w:lastRow="0" w:noHBand="0" w:noVBand="1" w:val="04A0"/>
        <w:tblLayout w:type="fixed"/>
      </w:tblPr>
      <w:tblGrid>
        <w:gridCol w:w="1430"/>
        <w:gridCol w:w="9009"/>
      </w:tblGrid>
      <w:tr>
        <w:tc>
          <w:tcPr>
            <w:tcW w:type="dxa" w:w="1430"/>
          </w:tcPr>
          <w:p>
            <w:pPr>
              <w:ind w:firstLine="0"/>
              <w:jc w:val="left"/>
            </w:pPr>
            <w:r/>
            <w:r>
              <w:rPr>
                <w:b/>
                <w:i w:val="0"/>
                <w:sz w:val="14"/>
              </w:rPr>
              <w:t>Disease</w:t>
            </w:r>
          </w:p>
        </w:tc>
        <w:tc>
          <w:tcPr>
            <w:tcW w:type="dxa" w:w="9010"/>
          </w:tcPr>
          <w:p>
            <w:pPr>
              <w:ind w:firstLine="0"/>
              <w:jc w:val="left"/>
            </w:pPr>
            <w:r/>
            <w:r>
              <w:rPr>
                <w:b/>
                <w:i w:val="0"/>
                <w:sz w:val="14"/>
              </w:rPr>
              <w:t>Order (rank interval)</w:t>
            </w:r>
          </w:p>
        </w:tc>
      </w:tr>
      <w:tr>
        <w:tc>
          <w:tcPr>
            <w:tcW w:type="dxa" w:w="1430"/>
          </w:tcPr>
          <w:p>
            <w:pPr>
              <w:ind w:firstLine="0"/>
              <w:jc w:val="left"/>
            </w:pPr>
            <w:r/>
            <w:r>
              <w:rPr>
                <w:b w:val="0"/>
                <w:i w:val="0"/>
                <w:sz w:val="14"/>
              </w:rPr>
              <w:t>AML</w:t>
            </w:r>
          </w:p>
        </w:tc>
        <w:tc>
          <w:tcPr>
            <w:tcW w:type="dxa" w:w="9010"/>
          </w:tcPr>
          <w:p>
            <w:pPr>
              <w:ind w:firstLine="0"/>
              <w:jc w:val="left"/>
            </w:pPr>
            <w:r/>
            <w:r>
              <w:rPr>
                <w:b w:val="0"/>
                <w:i w:val="0"/>
                <w:sz w:val="14"/>
              </w:rPr>
              <w:t>t(8;21) [1-1] &gt; inv(3)/t(3;3) [2-3] &gt; inv(16) [2-4] &gt; 5q loss [3-5] &gt; KMT2A [4-5] &gt; -7 [6-9] &gt; 7q- [6-11] &gt; -Y [6-11] &gt; 17p loss [6-11] &gt; 18 loss [7-12] &gt; 12p loss [7-12] &gt; 9q- [10-15] &gt; -X [11-17] &gt; +8 [12-16] &gt; +22 [13-19] &gt; +11 [12-19] &gt; +21 [14-19] &gt; +19 [13-19] &gt; +13 [16-19]</w:t>
            </w:r>
          </w:p>
        </w:tc>
      </w:tr>
      <w:tr>
        <w:tc>
          <w:tcPr>
            <w:tcW w:type="dxa" w:w="1430"/>
          </w:tcPr>
          <w:p>
            <w:pPr>
              <w:ind w:firstLine="0"/>
              <w:jc w:val="left"/>
            </w:pPr>
            <w:r/>
            <w:r>
              <w:rPr>
                <w:b w:val="0"/>
                <w:i w:val="0"/>
                <w:sz w:val="14"/>
              </w:rPr>
              <w:t>MDS</w:t>
            </w:r>
          </w:p>
        </w:tc>
        <w:tc>
          <w:tcPr>
            <w:tcW w:type="dxa" w:w="9010"/>
          </w:tcPr>
          <w:p>
            <w:pPr>
              <w:ind w:firstLine="0"/>
              <w:jc w:val="left"/>
            </w:pPr>
            <w:r/>
            <w:r>
              <w:rPr>
                <w:b w:val="0"/>
                <w:i w:val="0"/>
                <w:sz w:val="14"/>
              </w:rPr>
              <w:t>5q loss [1-2] &gt; -Y [1-5] &gt; 1q gain [1-5] &gt; 20q- [2-5] &gt; 7q- [3-8] &gt; -7 [5-8] &gt; 17p loss [5-8] &gt; 18 loss [5-9] &gt; +8 [9-11] &gt; 13q loss [8-11] &gt; 12p loss [9-11] &gt; +21 [11-12]</w:t>
            </w:r>
          </w:p>
        </w:tc>
      </w:tr>
      <w:tr>
        <w:tc>
          <w:tcPr>
            <w:tcW w:type="dxa" w:w="1430"/>
          </w:tcPr>
          <w:p>
            <w:pPr>
              <w:ind w:firstLine="0"/>
              <w:jc w:val="left"/>
            </w:pPr>
            <w:r/>
            <w:r>
              <w:rPr>
                <w:b w:val="0"/>
                <w:i w:val="0"/>
                <w:sz w:val="14"/>
              </w:rPr>
              <w:t>CML</w:t>
            </w:r>
          </w:p>
        </w:tc>
        <w:tc>
          <w:tcPr>
            <w:tcW w:type="dxa" w:w="9010"/>
          </w:tcPr>
          <w:p>
            <w:pPr>
              <w:ind w:firstLine="0"/>
              <w:jc w:val="left"/>
            </w:pPr>
            <w:r/>
            <w:r>
              <w:rPr>
                <w:b w:val="0"/>
                <w:i w:val="0"/>
                <w:sz w:val="14"/>
              </w:rPr>
              <w:t>t(9;22) [1-3] &gt; -Y [1-3] &gt; 3q26 [1-3] &gt; i(17q) [4-5] &gt; 17p loss [4-5] &gt; extra Ph [6-8] &gt; +8 [6-8] &gt; +21 [6-9] &gt; +19 [8-9]</w:t>
            </w:r>
          </w:p>
        </w:tc>
      </w:tr>
      <w:tr>
        <w:tc>
          <w:tcPr>
            <w:tcW w:type="dxa" w:w="1430"/>
          </w:tcPr>
          <w:p>
            <w:pPr>
              <w:ind w:firstLine="0"/>
              <w:jc w:val="left"/>
            </w:pPr>
            <w:r/>
            <w:r>
              <w:rPr>
                <w:b w:val="0"/>
                <w:i w:val="0"/>
                <w:sz w:val="14"/>
              </w:rPr>
              <w:t>ALL</w:t>
            </w:r>
          </w:p>
        </w:tc>
        <w:tc>
          <w:tcPr>
            <w:tcW w:type="dxa" w:w="9010"/>
          </w:tcPr>
          <w:p>
            <w:pPr>
              <w:ind w:firstLine="0"/>
              <w:jc w:val="left"/>
            </w:pPr>
            <w:r/>
            <w:r>
              <w:rPr>
                <w:b w:val="0"/>
                <w:i w:val="0"/>
                <w:sz w:val="14"/>
              </w:rPr>
              <w:t>t(9;22) [1-2] &gt; KMT2A [1-2] &gt; 12p loss [3-8] &gt; +21 [3-6] &gt; +6 [3-9] &gt; t(1;19) [3-13] &gt; +X [5-12] &gt; -7 [4-14] &gt; +18 [6-14] &gt; +4 [6-15] &gt; +14 [7-15] &gt; 17p loss [7-15] &gt; 9p loss [7-16] &gt; 13q loss [8-16] &gt; +10 [10-16] &gt; +17 [9-16] &gt; 6q- [16-18] &gt; 1q gain [17-18]</w:t>
            </w:r>
          </w:p>
        </w:tc>
      </w:tr>
      <w:tr>
        <w:tc>
          <w:tcPr>
            <w:tcW w:type="dxa" w:w="1430"/>
          </w:tcPr>
          <w:p>
            <w:pPr>
              <w:ind w:firstLine="0"/>
              <w:jc w:val="left"/>
            </w:pPr>
            <w:r/>
            <w:r>
              <w:rPr>
                <w:b w:val="0"/>
                <w:i w:val="0"/>
                <w:sz w:val="14"/>
              </w:rPr>
              <w:t>CLL</w:t>
            </w:r>
          </w:p>
        </w:tc>
        <w:tc>
          <w:tcPr>
            <w:tcW w:type="dxa" w:w="9010"/>
          </w:tcPr>
          <w:p>
            <w:pPr>
              <w:ind w:firstLine="0"/>
              <w:jc w:val="left"/>
            </w:pPr>
            <w:r/>
            <w:r>
              <w:rPr>
                <w:b w:val="0"/>
                <w:i w:val="0"/>
                <w:sz w:val="14"/>
              </w:rPr>
              <w:t>+12 [1-1] &gt; 13q loss [2-4] &gt; 17p loss [2-5] &gt; 6q- [2-5] &gt; 11q- [3-5]</w:t>
            </w:r>
          </w:p>
        </w:tc>
      </w:tr>
    </w:tbl>
    <w:p>
      <w:pPr>
        <w:spacing w:after="80"/>
        <w:ind w:firstLine="0"/>
        <w:jc w:val="both"/>
      </w:pP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943600" cy="1763274"/>
            <wp:docPr id="1" name="Picture 1"/>
            <wp:cNvGraphicFramePr>
              <a:graphicFrameLocks noChangeAspect="1"/>
            </wp:cNvGraphicFramePr>
            <a:graphic>
              <a:graphicData uri="http://schemas.openxmlformats.org/drawingml/2006/picture">
                <pic:pic>
                  <pic:nvPicPr>
                    <pic:cNvPr id="0" name="clone_timing.png"/>
                    <pic:cNvPicPr/>
                  </pic:nvPicPr>
                  <pic:blipFill>
                    <a:blip r:embed="rId9"/>
                    <a:stretch>
                      <a:fillRect/>
                    </a:stretch>
                  </pic:blipFill>
                  <pic:spPr>
                    <a:xfrm>
                      <a:off x="0" y="0"/>
                      <a:ext cx="5943600" cy="1763274"/>
                    </a:xfrm>
                    <a:prstGeom prst="rect"/>
                  </pic:spPr>
                </pic:pic>
              </a:graphicData>
            </a:graphic>
          </wp:inline>
        </w:drawing>
      </w:r>
    </w:p>
    <w:p>
      <w:pPr>
        <w:spacing w:after="120"/>
        <w:ind w:firstLine="0"/>
        <w:jc w:val="both"/>
      </w:pPr>
      <w:r>
        <w:rPr>
          <w:b w:val="0"/>
          <w:i w:val="0"/>
          <w:sz w:val="16"/>
        </w:rPr>
        <w:t>Fig. 1. Event timing from within-patient clone orders: Bradley-Terry earliness with 90% case-bootstrap intervals (orange; higher = earlier), and the MHN's mean probability that each event comes before the others (blue).</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943600" cy="5266853"/>
            <wp:docPr id="2" name="Picture 2"/>
            <wp:cNvGraphicFramePr>
              <a:graphicFrameLocks noChangeAspect="1"/>
            </wp:cNvGraphicFramePr>
            <a:graphic>
              <a:graphicData uri="http://schemas.openxmlformats.org/drawingml/2006/picture">
                <pic:pic>
                  <pic:nvPicPr>
                    <pic:cNvPr id="0" name="AML.png"/>
                    <pic:cNvPicPr/>
                  </pic:nvPicPr>
                  <pic:blipFill>
                    <a:blip r:embed="rId10"/>
                    <a:stretch>
                      <a:fillRect/>
                    </a:stretch>
                  </pic:blipFill>
                  <pic:spPr>
                    <a:xfrm>
                      <a:off x="0" y="0"/>
                      <a:ext cx="5943600" cy="5266853"/>
                    </a:xfrm>
                    <a:prstGeom prst="rect"/>
                  </pic:spPr>
                </pic:pic>
              </a:graphicData>
            </a:graphic>
          </wp:inline>
        </w:drawing>
      </w:r>
    </w:p>
    <w:p>
      <w:pPr>
        <w:spacing w:after="120"/>
        <w:ind w:firstLine="0"/>
        <w:jc w:val="both"/>
      </w:pPr>
      <w:r>
        <w:rPr>
          <w:b w:val="0"/>
          <w:i w:val="0"/>
          <w:sz w:val="16"/>
        </w:rPr>
        <w:t>Fig. 2. AML. (a) MHN log θ (row: affected event, column: acting event); dots mark stable edges. (b) Strongest stable promotions; edge labels give bootstrap sign stability. (c) Co-occurrence baseline, log odds ratio; * significant. (d) For the pairs with the most clone evidence, the MHN's P(a before b) with its bootstrap 10-90% interval (blue) against the share of clone pairs ordered a→b (orange).</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943600" cy="5256868"/>
            <wp:docPr id="3" name="Picture 3"/>
            <wp:cNvGraphicFramePr>
              <a:graphicFrameLocks noChangeAspect="1"/>
            </wp:cNvGraphicFramePr>
            <a:graphic>
              <a:graphicData uri="http://schemas.openxmlformats.org/drawingml/2006/picture">
                <pic:pic>
                  <pic:nvPicPr>
                    <pic:cNvPr id="0" name="CML.png"/>
                    <pic:cNvPicPr/>
                  </pic:nvPicPr>
                  <pic:blipFill>
                    <a:blip r:embed="rId11"/>
                    <a:stretch>
                      <a:fillRect/>
                    </a:stretch>
                  </pic:blipFill>
                  <pic:spPr>
                    <a:xfrm>
                      <a:off x="0" y="0"/>
                      <a:ext cx="5943600" cy="5256868"/>
                    </a:xfrm>
                    <a:prstGeom prst="rect"/>
                  </pic:spPr>
                </pic:pic>
              </a:graphicData>
            </a:graphic>
          </wp:inline>
        </w:drawing>
      </w:r>
    </w:p>
    <w:p>
      <w:pPr>
        <w:spacing w:after="120"/>
        <w:ind w:firstLine="0"/>
        <w:jc w:val="both"/>
      </w:pPr>
      <w:r>
        <w:rPr>
          <w:b w:val="0"/>
          <w:i w:val="0"/>
          <w:sz w:val="16"/>
        </w:rPr>
        <w:t>Fig. 3. CML, panels as in Fig. 2. Here the MHN's orders and the clone orders agree.</w:t>
      </w:r>
    </w:p>
    <w:p>
      <w:pPr>
        <w:sectPr>
          <w:type w:val="continuous"/>
          <w:pgSz w:w="12240" w:h="15840"/>
          <w:pgMar w:top="1080" w:right="900" w:bottom="1440" w:left="900" w:header="720" w:footer="720" w:gutter="0"/>
          <w:cols w:space="360" w:num="1"/>
          <w:docGrid w:linePitch="360"/>
        </w:sectPr>
      </w:pPr>
    </w:p>
    <w:p>
      <w:pPr>
        <w:ind w:firstLine="0"/>
        <w:jc w:val="center"/>
      </w:pPr>
      <w:r>
        <w:drawing>
          <wp:inline xmlns:a="http://schemas.openxmlformats.org/drawingml/2006/main" xmlns:pic="http://schemas.openxmlformats.org/drawingml/2006/picture">
            <wp:extent cx="3108960" cy="1156096"/>
            <wp:docPr id="4" name="Picture 4"/>
            <wp:cNvGraphicFramePr>
              <a:graphicFrameLocks noChangeAspect="1"/>
            </wp:cNvGraphicFramePr>
            <a:graphic>
              <a:graphicData uri="http://schemas.openxmlformats.org/drawingml/2006/picture">
                <pic:pic>
                  <pic:nvPicPr>
                    <pic:cNvPr id="0" name="overview.png"/>
                    <pic:cNvPicPr/>
                  </pic:nvPicPr>
                  <pic:blipFill>
                    <a:blip r:embed="rId12"/>
                    <a:stretch>
                      <a:fillRect/>
                    </a:stretch>
                  </pic:blipFill>
                  <pic:spPr>
                    <a:xfrm>
                      <a:off x="0" y="0"/>
                      <a:ext cx="3108960" cy="1156096"/>
                    </a:xfrm>
                    <a:prstGeom prst="rect"/>
                  </pic:spPr>
                </pic:pic>
              </a:graphicData>
            </a:graphic>
          </wp:inline>
        </w:drawing>
      </w:r>
    </w:p>
    <w:p>
      <w:pPr>
        <w:spacing w:after="120"/>
        <w:ind w:firstLine="0"/>
        <w:jc w:val="both"/>
      </w:pPr>
      <w:r>
        <w:rPr>
          <w:b w:val="0"/>
          <w:i w:val="0"/>
          <w:sz w:val="16"/>
        </w:rPr>
        <w:t>Fig. 4. Held-out log-likelihood gain over independence (MHN on all model events, CBN on ten) and share of stable MHN edges per disease; the dashed line is the 50% stability rule.</w:t>
      </w:r>
    </w:p>
    <w:p>
      <w:pPr>
        <w:spacing w:after="40" w:before="80"/>
        <w:ind w:firstLine="0"/>
        <w:jc w:val="left"/>
      </w:pPr>
      <w:r>
        <w:rPr>
          <w:b w:val="0"/>
          <w:i/>
          <w:sz w:val="20"/>
        </w:rPr>
        <w:t>C. Mutual Hazard Networks</w:t>
      </w:r>
    </w:p>
    <w:p>
      <w:pPr>
        <w:spacing w:after="0"/>
        <w:jc w:val="both"/>
      </w:pPr>
      <w:r>
        <w:rPr>
          <w:b w:val="0"/>
          <w:i w:val="0"/>
        </w:rPr>
        <w:t>Table V summarises the MHN fits. Held-out log-likelihood beat the independence model in all five diseases, by 0.47 nats per case in AML and 1.48 in ALL, and in every fold (smallest fold gain 0.025, in CLL). The held-out likelihood is flat across the penalty grid near its optimum, so the choice of λ matters little. Between 88% and 100% of edges kept their sign in at least 80% of bootstrap refits, so every disease passes the stability rule. The refits on unselected series (r = 0.80 to 0.96) and on cases published from 2000 (r = 0.82 to 0.96) reproduce the full-data networks, so publication bias and era do not drive them.</w:t>
      </w:r>
    </w:p>
    <w:p>
      <w:pPr>
        <w:spacing w:after="0"/>
        <w:jc w:val="both"/>
      </w:pPr>
      <w:r>
        <w:rPr>
          <w:b w:val="0"/>
          <w:i w:val="0"/>
        </w:rPr>
        <w:t>Most interactions are negative. This is expected: log θ is measured against the positive association that a shared observation time alone produces, so mild raw co-occurrence still carries a negative log θ. In CLL, for example, every interaction except 11q- on 13q loss is negative, yet the fitted model reproduces every observed pairwise odds ratio. The strongest stable promotions are biologically familiar: t(8;21) on -X and -Y, 5q loss on 17p loss, +22 on +19 and +21 in AML; the extra Ph on +8 and +21 on +19 in CML; +21 on the other trisomies of high hyperdiploidy in ALL [14]; and 18 loss on 17p loss in MDS. Two strong edges are definitional: between 17p loss and i(17q) in CML, where the events are nested, and t(1;19) on 1q gain in ALL, where the unbalanced der(19)t(1;19) carries the gain.</w:t>
      </w:r>
    </w:p>
    <w:p>
      <w:pPr>
        <w:spacing w:after="0"/>
        <w:jc w:val="both"/>
      </w:pPr>
      <w:r>
        <w:rPr>
          <w:b w:val="0"/>
          <w:i w:val="0"/>
        </w:rPr>
        <w:t>Simulation recovery was adequate in AML, ALL and CLL (mean precision 0.80 or more, recall 0.78 or more over 10 data sets) and failed in MDS and CML: refitted networks recovered only 0.69 (MDS) and 0.74 (CML) of their own edges. By the pre-specified rule this failure is the finding for those two diseases: at their sample sizes the MHN's individual edges are not identifiable, even though the networks are stable under resampling.</w:t>
      </w:r>
    </w:p>
    <w:p>
      <w:pPr>
        <w:sectPr>
          <w:type w:val="continuous"/>
          <w:pgSz w:w="12240" w:h="15840"/>
          <w:pgMar w:top="1080" w:right="900" w:bottom="1440" w:left="900" w:header="720" w:footer="720" w:gutter="0"/>
          <w:cols w:space="360" w:num="2"/>
          <w:docGrid w:linePitch="360"/>
        </w:sectPr>
      </w:pPr>
    </w:p>
    <w:p>
      <w:pPr>
        <w:spacing w:after="0" w:before="120"/>
        <w:ind w:firstLine="0"/>
        <w:jc w:val="center"/>
      </w:pPr>
      <w:r>
        <w:rPr>
          <w:b w:val="0"/>
          <w:i w:val="0"/>
          <w:sz w:val="16"/>
        </w:rPr>
        <w:t>TABLE V</w:t>
      </w:r>
    </w:p>
    <w:p>
      <w:pPr>
        <w:spacing w:after="40"/>
        <w:ind w:firstLine="0"/>
        <w:jc w:val="center"/>
      </w:pPr>
      <w:r>
        <w:rPr>
          <w:b w:val="0"/>
          <w:i w:val="0"/>
          <w:sz w:val="16"/>
        </w:rPr>
        <w:t>MHN fits and validation. Held-out values are mean log-likelihood per case ± SD across 5 folds. Stable: sign kept in ≥ 80% of 100 bootstrap refits. Sim P/R: simulation-recovery precision and recall. U and 2000+: correlation of off-diagonal log θ between the full fit and the refits on unselected series and on cases published from 2000.</w:t>
      </w:r>
    </w:p>
    <w:tbl>
      <w:tblPr>
        <w:tblStyle w:val="TableGrid"/>
        <w:tblW w:type="dxa" w:w="10440"/>
        <w:tblLayout w:type="fixed"/>
        <w:tblLook w:firstColumn="1" w:firstRow="1" w:lastColumn="0" w:lastRow="0" w:noHBand="0" w:noVBand="1" w:val="04A0"/>
        <w:tblLayout w:type="fixed"/>
      </w:tblPr>
      <w:tblGrid>
        <w:gridCol w:w="915"/>
        <w:gridCol w:w="824"/>
        <w:gridCol w:w="641"/>
        <w:gridCol w:w="1556"/>
        <w:gridCol w:w="1556"/>
        <w:gridCol w:w="732"/>
        <w:gridCol w:w="824"/>
        <w:gridCol w:w="732"/>
        <w:gridCol w:w="1098"/>
        <w:gridCol w:w="641"/>
        <w:gridCol w:w="915"/>
      </w:tblGrid>
      <w:tr>
        <w:tc>
          <w:tcPr>
            <w:tcW w:type="dxa" w:w="916"/>
          </w:tcPr>
          <w:p>
            <w:pPr>
              <w:ind w:firstLine="0"/>
              <w:jc w:val="left"/>
            </w:pPr>
            <w:r/>
            <w:r>
              <w:rPr>
                <w:b/>
                <w:i w:val="0"/>
                <w:sz w:val="14"/>
              </w:rPr>
              <w:t>Disease</w:t>
            </w:r>
          </w:p>
        </w:tc>
        <w:tc>
          <w:tcPr>
            <w:tcW w:type="dxa" w:w="824"/>
          </w:tcPr>
          <w:p>
            <w:pPr>
              <w:ind w:firstLine="0"/>
              <w:jc w:val="left"/>
            </w:pPr>
            <w:r/>
            <w:r>
              <w:rPr>
                <w:b/>
                <w:i w:val="0"/>
                <w:sz w:val="14"/>
              </w:rPr>
              <w:t>Events</w:t>
            </w:r>
          </w:p>
        </w:tc>
        <w:tc>
          <w:tcPr>
            <w:tcW w:type="dxa" w:w="641"/>
          </w:tcPr>
          <w:p>
            <w:pPr>
              <w:ind w:firstLine="0"/>
              <w:jc w:val="left"/>
            </w:pPr>
            <w:r/>
            <w:r>
              <w:rPr>
                <w:b/>
                <w:i w:val="0"/>
                <w:sz w:val="14"/>
              </w:rPr>
              <w:t>c</w:t>
            </w:r>
          </w:p>
        </w:tc>
        <w:tc>
          <w:tcPr>
            <w:tcW w:type="dxa" w:w="1557"/>
          </w:tcPr>
          <w:p>
            <w:pPr>
              <w:ind w:firstLine="0"/>
              <w:jc w:val="left"/>
            </w:pPr>
            <w:r/>
            <w:r>
              <w:rPr>
                <w:b/>
                <w:i w:val="0"/>
                <w:sz w:val="14"/>
              </w:rPr>
              <w:t>MHN</w:t>
            </w:r>
          </w:p>
        </w:tc>
        <w:tc>
          <w:tcPr>
            <w:tcW w:type="dxa" w:w="1557"/>
          </w:tcPr>
          <w:p>
            <w:pPr>
              <w:ind w:firstLine="0"/>
              <w:jc w:val="left"/>
            </w:pPr>
            <w:r/>
            <w:r>
              <w:rPr>
                <w:b/>
                <w:i w:val="0"/>
                <w:sz w:val="14"/>
              </w:rPr>
              <w:t>Indep.</w:t>
            </w:r>
          </w:p>
        </w:tc>
        <w:tc>
          <w:tcPr>
            <w:tcW w:type="dxa" w:w="733"/>
          </w:tcPr>
          <w:p>
            <w:pPr>
              <w:ind w:firstLine="0"/>
              <w:jc w:val="left"/>
            </w:pPr>
            <w:r/>
            <w:r>
              <w:rPr>
                <w:b/>
                <w:i w:val="0"/>
                <w:sz w:val="14"/>
              </w:rPr>
              <w:t>Edges</w:t>
            </w:r>
          </w:p>
        </w:tc>
        <w:tc>
          <w:tcPr>
            <w:tcW w:type="dxa" w:w="824"/>
          </w:tcPr>
          <w:p>
            <w:pPr>
              <w:ind w:firstLine="0"/>
              <w:jc w:val="left"/>
            </w:pPr>
            <w:r/>
            <w:r>
              <w:rPr>
                <w:b/>
                <w:i w:val="0"/>
                <w:sz w:val="14"/>
              </w:rPr>
              <w:t>Stable</w:t>
            </w:r>
          </w:p>
        </w:tc>
        <w:tc>
          <w:tcPr>
            <w:tcW w:type="dxa" w:w="733"/>
          </w:tcPr>
          <w:p>
            <w:pPr>
              <w:ind w:firstLine="0"/>
              <w:jc w:val="left"/>
            </w:pPr>
            <w:r/>
            <w:r>
              <w:rPr>
                <w:b/>
                <w:i w:val="0"/>
                <w:sz w:val="14"/>
              </w:rPr>
              <w:t>Share</w:t>
            </w:r>
          </w:p>
        </w:tc>
        <w:tc>
          <w:tcPr>
            <w:tcW w:type="dxa" w:w="1099"/>
          </w:tcPr>
          <w:p>
            <w:pPr>
              <w:ind w:firstLine="0"/>
              <w:jc w:val="left"/>
            </w:pPr>
            <w:r/>
            <w:r>
              <w:rPr>
                <w:b/>
                <w:i w:val="0"/>
                <w:sz w:val="14"/>
              </w:rPr>
              <w:t>Sim P/R</w:t>
            </w:r>
          </w:p>
        </w:tc>
        <w:tc>
          <w:tcPr>
            <w:tcW w:type="dxa" w:w="641"/>
          </w:tcPr>
          <w:p>
            <w:pPr>
              <w:ind w:firstLine="0"/>
              <w:jc w:val="left"/>
            </w:pPr>
            <w:r/>
            <w:r>
              <w:rPr>
                <w:b/>
                <w:i w:val="0"/>
                <w:sz w:val="14"/>
              </w:rPr>
              <w:t>U r</w:t>
            </w:r>
          </w:p>
        </w:tc>
        <w:tc>
          <w:tcPr>
            <w:tcW w:type="dxa" w:w="916"/>
          </w:tcPr>
          <w:p>
            <w:pPr>
              <w:ind w:firstLine="0"/>
              <w:jc w:val="left"/>
            </w:pPr>
            <w:r/>
            <w:r>
              <w:rPr>
                <w:b/>
                <w:i w:val="0"/>
                <w:sz w:val="14"/>
              </w:rPr>
              <w:t>2000+ r</w:t>
            </w:r>
          </w:p>
        </w:tc>
      </w:tr>
      <w:tr>
        <w:tc>
          <w:tcPr>
            <w:tcW w:type="dxa" w:w="916"/>
          </w:tcPr>
          <w:p>
            <w:pPr>
              <w:ind w:firstLine="0"/>
              <w:jc w:val="left"/>
            </w:pPr>
            <w:r/>
            <w:r>
              <w:rPr>
                <w:b w:val="0"/>
                <w:i w:val="0"/>
                <w:sz w:val="14"/>
              </w:rPr>
              <w:t>AML</w:t>
            </w:r>
          </w:p>
        </w:tc>
        <w:tc>
          <w:tcPr>
            <w:tcW w:type="dxa" w:w="824"/>
          </w:tcPr>
          <w:p>
            <w:pPr>
              <w:ind w:firstLine="0"/>
              <w:jc w:val="left"/>
            </w:pPr>
            <w:r/>
            <w:r>
              <w:rPr>
                <w:b w:val="0"/>
                <w:i w:val="0"/>
                <w:sz w:val="14"/>
              </w:rPr>
              <w:t>19</w:t>
            </w:r>
          </w:p>
        </w:tc>
        <w:tc>
          <w:tcPr>
            <w:tcW w:type="dxa" w:w="641"/>
          </w:tcPr>
          <w:p>
            <w:pPr>
              <w:ind w:firstLine="0"/>
              <w:jc w:val="left"/>
            </w:pPr>
            <w:r/>
            <w:r>
              <w:rPr>
                <w:b w:val="0"/>
                <w:i w:val="0"/>
                <w:sz w:val="14"/>
              </w:rPr>
              <w:t>0.03</w:t>
            </w:r>
          </w:p>
        </w:tc>
        <w:tc>
          <w:tcPr>
            <w:tcW w:type="dxa" w:w="1557"/>
          </w:tcPr>
          <w:p>
            <w:pPr>
              <w:ind w:firstLine="0"/>
              <w:jc w:val="left"/>
            </w:pPr>
            <w:r/>
            <w:r>
              <w:rPr>
                <w:b w:val="0"/>
                <w:i w:val="0"/>
                <w:sz w:val="14"/>
              </w:rPr>
              <w:t>-4.208 ± 0.035</w:t>
            </w:r>
          </w:p>
        </w:tc>
        <w:tc>
          <w:tcPr>
            <w:tcW w:type="dxa" w:w="1557"/>
          </w:tcPr>
          <w:p>
            <w:pPr>
              <w:ind w:firstLine="0"/>
              <w:jc w:val="left"/>
            </w:pPr>
            <w:r/>
            <w:r>
              <w:rPr>
                <w:b w:val="0"/>
                <w:i w:val="0"/>
                <w:sz w:val="14"/>
              </w:rPr>
              <w:t>-4.682 ± 0.038</w:t>
            </w:r>
          </w:p>
        </w:tc>
        <w:tc>
          <w:tcPr>
            <w:tcW w:type="dxa" w:w="733"/>
          </w:tcPr>
          <w:p>
            <w:pPr>
              <w:ind w:firstLine="0"/>
              <w:jc w:val="left"/>
            </w:pPr>
            <w:r/>
            <w:r>
              <w:rPr>
                <w:b w:val="0"/>
                <w:i w:val="0"/>
                <w:sz w:val="14"/>
              </w:rPr>
              <w:t>270</w:t>
            </w:r>
          </w:p>
        </w:tc>
        <w:tc>
          <w:tcPr>
            <w:tcW w:type="dxa" w:w="824"/>
          </w:tcPr>
          <w:p>
            <w:pPr>
              <w:ind w:firstLine="0"/>
              <w:jc w:val="left"/>
            </w:pPr>
            <w:r/>
            <w:r>
              <w:rPr>
                <w:b w:val="0"/>
                <w:i w:val="0"/>
                <w:sz w:val="14"/>
              </w:rPr>
              <w:t>261</w:t>
            </w:r>
          </w:p>
        </w:tc>
        <w:tc>
          <w:tcPr>
            <w:tcW w:type="dxa" w:w="733"/>
          </w:tcPr>
          <w:p>
            <w:pPr>
              <w:ind w:firstLine="0"/>
              <w:jc w:val="left"/>
            </w:pPr>
            <w:r/>
            <w:r>
              <w:rPr>
                <w:b w:val="0"/>
                <w:i w:val="0"/>
                <w:sz w:val="14"/>
              </w:rPr>
              <w:t>0.97</w:t>
            </w:r>
          </w:p>
        </w:tc>
        <w:tc>
          <w:tcPr>
            <w:tcW w:type="dxa" w:w="1099"/>
          </w:tcPr>
          <w:p>
            <w:pPr>
              <w:ind w:firstLine="0"/>
              <w:jc w:val="left"/>
            </w:pPr>
            <w:r/>
            <w:r>
              <w:rPr>
                <w:b w:val="0"/>
                <w:i w:val="0"/>
                <w:sz w:val="14"/>
              </w:rPr>
              <w:t>0.88/0.87</w:t>
            </w:r>
          </w:p>
        </w:tc>
        <w:tc>
          <w:tcPr>
            <w:tcW w:type="dxa" w:w="641"/>
          </w:tcPr>
          <w:p>
            <w:pPr>
              <w:ind w:firstLine="0"/>
              <w:jc w:val="left"/>
            </w:pPr>
            <w:r/>
            <w:r>
              <w:rPr>
                <w:b w:val="0"/>
                <w:i w:val="0"/>
                <w:sz w:val="14"/>
              </w:rPr>
              <w:t>0.86</w:t>
            </w:r>
          </w:p>
        </w:tc>
        <w:tc>
          <w:tcPr>
            <w:tcW w:type="dxa" w:w="916"/>
          </w:tcPr>
          <w:p>
            <w:pPr>
              <w:ind w:firstLine="0"/>
              <w:jc w:val="left"/>
            </w:pPr>
            <w:r/>
            <w:r>
              <w:rPr>
                <w:b w:val="0"/>
                <w:i w:val="0"/>
                <w:sz w:val="14"/>
              </w:rPr>
              <w:t>0.92</w:t>
            </w:r>
          </w:p>
        </w:tc>
      </w:tr>
      <w:tr>
        <w:tc>
          <w:tcPr>
            <w:tcW w:type="dxa" w:w="916"/>
          </w:tcPr>
          <w:p>
            <w:pPr>
              <w:ind w:firstLine="0"/>
              <w:jc w:val="left"/>
            </w:pPr>
            <w:r/>
            <w:r>
              <w:rPr>
                <w:b w:val="0"/>
                <w:i w:val="0"/>
                <w:sz w:val="14"/>
              </w:rPr>
              <w:t>MDS</w:t>
            </w:r>
          </w:p>
        </w:tc>
        <w:tc>
          <w:tcPr>
            <w:tcW w:type="dxa" w:w="824"/>
          </w:tcPr>
          <w:p>
            <w:pPr>
              <w:ind w:firstLine="0"/>
              <w:jc w:val="left"/>
            </w:pPr>
            <w:r/>
            <w:r>
              <w:rPr>
                <w:b w:val="0"/>
                <w:i w:val="0"/>
                <w:sz w:val="14"/>
              </w:rPr>
              <w:t>12</w:t>
            </w:r>
          </w:p>
        </w:tc>
        <w:tc>
          <w:tcPr>
            <w:tcW w:type="dxa" w:w="641"/>
          </w:tcPr>
          <w:p>
            <w:pPr>
              <w:ind w:firstLine="0"/>
              <w:jc w:val="left"/>
            </w:pPr>
            <w:r/>
            <w:r>
              <w:rPr>
                <w:b w:val="0"/>
                <w:i w:val="0"/>
                <w:sz w:val="14"/>
              </w:rPr>
              <w:t>0.3</w:t>
            </w:r>
          </w:p>
        </w:tc>
        <w:tc>
          <w:tcPr>
            <w:tcW w:type="dxa" w:w="1557"/>
          </w:tcPr>
          <w:p>
            <w:pPr>
              <w:ind w:firstLine="0"/>
              <w:jc w:val="left"/>
            </w:pPr>
            <w:r/>
            <w:r>
              <w:rPr>
                <w:b w:val="0"/>
                <w:i w:val="0"/>
                <w:sz w:val="14"/>
              </w:rPr>
              <w:t>-3.716 ± 0.058</w:t>
            </w:r>
          </w:p>
        </w:tc>
        <w:tc>
          <w:tcPr>
            <w:tcW w:type="dxa" w:w="1557"/>
          </w:tcPr>
          <w:p>
            <w:pPr>
              <w:ind w:firstLine="0"/>
              <w:jc w:val="left"/>
            </w:pPr>
            <w:r/>
            <w:r>
              <w:rPr>
                <w:b w:val="0"/>
                <w:i w:val="0"/>
                <w:sz w:val="14"/>
              </w:rPr>
              <w:t>-3.905 ± 0.037</w:t>
            </w:r>
          </w:p>
        </w:tc>
        <w:tc>
          <w:tcPr>
            <w:tcW w:type="dxa" w:w="733"/>
          </w:tcPr>
          <w:p>
            <w:pPr>
              <w:ind w:firstLine="0"/>
              <w:jc w:val="left"/>
            </w:pPr>
            <w:r/>
            <w:r>
              <w:rPr>
                <w:b w:val="0"/>
                <w:i w:val="0"/>
                <w:sz w:val="14"/>
              </w:rPr>
              <w:t>90</w:t>
            </w:r>
          </w:p>
        </w:tc>
        <w:tc>
          <w:tcPr>
            <w:tcW w:type="dxa" w:w="824"/>
          </w:tcPr>
          <w:p>
            <w:pPr>
              <w:ind w:firstLine="0"/>
              <w:jc w:val="left"/>
            </w:pPr>
            <w:r/>
            <w:r>
              <w:rPr>
                <w:b w:val="0"/>
                <w:i w:val="0"/>
                <w:sz w:val="14"/>
              </w:rPr>
              <w:t>79</w:t>
            </w:r>
          </w:p>
        </w:tc>
        <w:tc>
          <w:tcPr>
            <w:tcW w:type="dxa" w:w="733"/>
          </w:tcPr>
          <w:p>
            <w:pPr>
              <w:ind w:firstLine="0"/>
              <w:jc w:val="left"/>
            </w:pPr>
            <w:r/>
            <w:r>
              <w:rPr>
                <w:b w:val="0"/>
                <w:i w:val="0"/>
                <w:sz w:val="14"/>
              </w:rPr>
              <w:t>0.88</w:t>
            </w:r>
          </w:p>
        </w:tc>
        <w:tc>
          <w:tcPr>
            <w:tcW w:type="dxa" w:w="1099"/>
          </w:tcPr>
          <w:p>
            <w:pPr>
              <w:ind w:firstLine="0"/>
              <w:jc w:val="left"/>
            </w:pPr>
            <w:r/>
            <w:r>
              <w:rPr>
                <w:b w:val="0"/>
                <w:i w:val="0"/>
                <w:sz w:val="14"/>
              </w:rPr>
              <w:t>0.69/0.65</w:t>
            </w:r>
          </w:p>
        </w:tc>
        <w:tc>
          <w:tcPr>
            <w:tcW w:type="dxa" w:w="641"/>
          </w:tcPr>
          <w:p>
            <w:pPr>
              <w:ind w:firstLine="0"/>
              <w:jc w:val="left"/>
            </w:pPr>
            <w:r/>
            <w:r>
              <w:rPr>
                <w:b w:val="0"/>
                <w:i w:val="0"/>
                <w:sz w:val="14"/>
              </w:rPr>
              <w:t>0.80</w:t>
            </w:r>
          </w:p>
        </w:tc>
        <w:tc>
          <w:tcPr>
            <w:tcW w:type="dxa" w:w="916"/>
          </w:tcPr>
          <w:p>
            <w:pPr>
              <w:ind w:firstLine="0"/>
              <w:jc w:val="left"/>
            </w:pPr>
            <w:r/>
            <w:r>
              <w:rPr>
                <w:b w:val="0"/>
                <w:i w:val="0"/>
                <w:sz w:val="14"/>
              </w:rPr>
              <w:t>0.84</w:t>
            </w:r>
          </w:p>
        </w:tc>
      </w:tr>
      <w:tr>
        <w:tc>
          <w:tcPr>
            <w:tcW w:type="dxa" w:w="916"/>
          </w:tcPr>
          <w:p>
            <w:pPr>
              <w:ind w:firstLine="0"/>
              <w:jc w:val="left"/>
            </w:pPr>
            <w:r/>
            <w:r>
              <w:rPr>
                <w:b w:val="0"/>
                <w:i w:val="0"/>
                <w:sz w:val="14"/>
              </w:rPr>
              <w:t>CML</w:t>
            </w:r>
          </w:p>
        </w:tc>
        <w:tc>
          <w:tcPr>
            <w:tcW w:type="dxa" w:w="824"/>
          </w:tcPr>
          <w:p>
            <w:pPr>
              <w:ind w:firstLine="0"/>
              <w:jc w:val="left"/>
            </w:pPr>
            <w:r/>
            <w:r>
              <w:rPr>
                <w:b w:val="0"/>
                <w:i w:val="0"/>
                <w:sz w:val="14"/>
              </w:rPr>
              <w:t>9</w:t>
            </w:r>
          </w:p>
        </w:tc>
        <w:tc>
          <w:tcPr>
            <w:tcW w:type="dxa" w:w="641"/>
          </w:tcPr>
          <w:p>
            <w:pPr>
              <w:ind w:firstLine="0"/>
              <w:jc w:val="left"/>
            </w:pPr>
            <w:r/>
            <w:r>
              <w:rPr>
                <w:b w:val="0"/>
                <w:i w:val="0"/>
                <w:sz w:val="14"/>
              </w:rPr>
              <w:t>0.3</w:t>
            </w:r>
          </w:p>
        </w:tc>
        <w:tc>
          <w:tcPr>
            <w:tcW w:type="dxa" w:w="1557"/>
          </w:tcPr>
          <w:p>
            <w:pPr>
              <w:ind w:firstLine="0"/>
              <w:jc w:val="left"/>
            </w:pPr>
            <w:r/>
            <w:r>
              <w:rPr>
                <w:b w:val="0"/>
                <w:i w:val="0"/>
                <w:sz w:val="14"/>
              </w:rPr>
              <w:t>-2.619 ± 0.063</w:t>
            </w:r>
          </w:p>
        </w:tc>
        <w:tc>
          <w:tcPr>
            <w:tcW w:type="dxa" w:w="1557"/>
          </w:tcPr>
          <w:p>
            <w:pPr>
              <w:ind w:firstLine="0"/>
              <w:jc w:val="left"/>
            </w:pPr>
            <w:r/>
            <w:r>
              <w:rPr>
                <w:b w:val="0"/>
                <w:i w:val="0"/>
                <w:sz w:val="14"/>
              </w:rPr>
              <w:t>-3.034 ± 0.053</w:t>
            </w:r>
          </w:p>
        </w:tc>
        <w:tc>
          <w:tcPr>
            <w:tcW w:type="dxa" w:w="733"/>
          </w:tcPr>
          <w:p>
            <w:pPr>
              <w:ind w:firstLine="0"/>
              <w:jc w:val="left"/>
            </w:pPr>
            <w:r/>
            <w:r>
              <w:rPr>
                <w:b w:val="0"/>
                <w:i w:val="0"/>
                <w:sz w:val="14"/>
              </w:rPr>
              <w:t>48</w:t>
            </w:r>
          </w:p>
        </w:tc>
        <w:tc>
          <w:tcPr>
            <w:tcW w:type="dxa" w:w="824"/>
          </w:tcPr>
          <w:p>
            <w:pPr>
              <w:ind w:firstLine="0"/>
              <w:jc w:val="left"/>
            </w:pPr>
            <w:r/>
            <w:r>
              <w:rPr>
                <w:b w:val="0"/>
                <w:i w:val="0"/>
                <w:sz w:val="14"/>
              </w:rPr>
              <w:t>47</w:t>
            </w:r>
          </w:p>
        </w:tc>
        <w:tc>
          <w:tcPr>
            <w:tcW w:type="dxa" w:w="733"/>
          </w:tcPr>
          <w:p>
            <w:pPr>
              <w:ind w:firstLine="0"/>
              <w:jc w:val="left"/>
            </w:pPr>
            <w:r/>
            <w:r>
              <w:rPr>
                <w:b w:val="0"/>
                <w:i w:val="0"/>
                <w:sz w:val="14"/>
              </w:rPr>
              <w:t>0.98</w:t>
            </w:r>
          </w:p>
        </w:tc>
        <w:tc>
          <w:tcPr>
            <w:tcW w:type="dxa" w:w="1099"/>
          </w:tcPr>
          <w:p>
            <w:pPr>
              <w:ind w:firstLine="0"/>
              <w:jc w:val="left"/>
            </w:pPr>
            <w:r/>
            <w:r>
              <w:rPr>
                <w:b w:val="0"/>
                <w:i w:val="0"/>
                <w:sz w:val="14"/>
              </w:rPr>
              <w:t>0.74/0.73</w:t>
            </w:r>
          </w:p>
        </w:tc>
        <w:tc>
          <w:tcPr>
            <w:tcW w:type="dxa" w:w="641"/>
          </w:tcPr>
          <w:p>
            <w:pPr>
              <w:ind w:firstLine="0"/>
              <w:jc w:val="left"/>
            </w:pPr>
            <w:r/>
            <w:r>
              <w:rPr>
                <w:b w:val="0"/>
                <w:i w:val="0"/>
                <w:sz w:val="14"/>
              </w:rPr>
              <w:t>0.89</w:t>
            </w:r>
          </w:p>
        </w:tc>
        <w:tc>
          <w:tcPr>
            <w:tcW w:type="dxa" w:w="916"/>
          </w:tcPr>
          <w:p>
            <w:pPr>
              <w:ind w:firstLine="0"/>
              <w:jc w:val="left"/>
            </w:pPr>
            <w:r/>
            <w:r>
              <w:rPr>
                <w:b w:val="0"/>
                <w:i w:val="0"/>
                <w:sz w:val="14"/>
              </w:rPr>
              <w:t>0.82</w:t>
            </w:r>
          </w:p>
        </w:tc>
      </w:tr>
      <w:tr>
        <w:tc>
          <w:tcPr>
            <w:tcW w:type="dxa" w:w="916"/>
          </w:tcPr>
          <w:p>
            <w:pPr>
              <w:ind w:firstLine="0"/>
              <w:jc w:val="left"/>
            </w:pPr>
            <w:r/>
            <w:r>
              <w:rPr>
                <w:b w:val="0"/>
                <w:i w:val="0"/>
                <w:sz w:val="14"/>
              </w:rPr>
              <w:t>ALL</w:t>
            </w:r>
          </w:p>
        </w:tc>
        <w:tc>
          <w:tcPr>
            <w:tcW w:type="dxa" w:w="824"/>
          </w:tcPr>
          <w:p>
            <w:pPr>
              <w:ind w:firstLine="0"/>
              <w:jc w:val="left"/>
            </w:pPr>
            <w:r/>
            <w:r>
              <w:rPr>
                <w:b w:val="0"/>
                <w:i w:val="0"/>
                <w:sz w:val="14"/>
              </w:rPr>
              <w:t>18</w:t>
            </w:r>
          </w:p>
        </w:tc>
        <w:tc>
          <w:tcPr>
            <w:tcW w:type="dxa" w:w="641"/>
          </w:tcPr>
          <w:p>
            <w:pPr>
              <w:ind w:firstLine="0"/>
              <w:jc w:val="left"/>
            </w:pPr>
            <w:r/>
            <w:r>
              <w:rPr>
                <w:b w:val="0"/>
                <w:i w:val="0"/>
                <w:sz w:val="14"/>
              </w:rPr>
              <w:t>0.3</w:t>
            </w:r>
          </w:p>
        </w:tc>
        <w:tc>
          <w:tcPr>
            <w:tcW w:type="dxa" w:w="1557"/>
          </w:tcPr>
          <w:p>
            <w:pPr>
              <w:ind w:firstLine="0"/>
              <w:jc w:val="left"/>
            </w:pPr>
            <w:r/>
            <w:r>
              <w:rPr>
                <w:b w:val="0"/>
                <w:i w:val="0"/>
                <w:sz w:val="14"/>
              </w:rPr>
              <w:t>-4.267 ± 0.039</w:t>
            </w:r>
          </w:p>
        </w:tc>
        <w:tc>
          <w:tcPr>
            <w:tcW w:type="dxa" w:w="1557"/>
          </w:tcPr>
          <w:p>
            <w:pPr>
              <w:ind w:firstLine="0"/>
              <w:jc w:val="left"/>
            </w:pPr>
            <w:r/>
            <w:r>
              <w:rPr>
                <w:b w:val="0"/>
                <w:i w:val="0"/>
                <w:sz w:val="14"/>
              </w:rPr>
              <w:t>-5.745 ± 0.043</w:t>
            </w:r>
          </w:p>
        </w:tc>
        <w:tc>
          <w:tcPr>
            <w:tcW w:type="dxa" w:w="733"/>
          </w:tcPr>
          <w:p>
            <w:pPr>
              <w:ind w:firstLine="0"/>
              <w:jc w:val="left"/>
            </w:pPr>
            <w:r/>
            <w:r>
              <w:rPr>
                <w:b w:val="0"/>
                <w:i w:val="0"/>
                <w:sz w:val="14"/>
              </w:rPr>
              <w:t>234</w:t>
            </w:r>
          </w:p>
        </w:tc>
        <w:tc>
          <w:tcPr>
            <w:tcW w:type="dxa" w:w="824"/>
          </w:tcPr>
          <w:p>
            <w:pPr>
              <w:ind w:firstLine="0"/>
              <w:jc w:val="left"/>
            </w:pPr>
            <w:r/>
            <w:r>
              <w:rPr>
                <w:b w:val="0"/>
                <w:i w:val="0"/>
                <w:sz w:val="14"/>
              </w:rPr>
              <w:t>228</w:t>
            </w:r>
          </w:p>
        </w:tc>
        <w:tc>
          <w:tcPr>
            <w:tcW w:type="dxa" w:w="733"/>
          </w:tcPr>
          <w:p>
            <w:pPr>
              <w:ind w:firstLine="0"/>
              <w:jc w:val="left"/>
            </w:pPr>
            <w:r/>
            <w:r>
              <w:rPr>
                <w:b w:val="0"/>
                <w:i w:val="0"/>
                <w:sz w:val="14"/>
              </w:rPr>
              <w:t>0.97</w:t>
            </w:r>
          </w:p>
        </w:tc>
        <w:tc>
          <w:tcPr>
            <w:tcW w:type="dxa" w:w="1099"/>
          </w:tcPr>
          <w:p>
            <w:pPr>
              <w:ind w:firstLine="0"/>
              <w:jc w:val="left"/>
            </w:pPr>
            <w:r/>
            <w:r>
              <w:rPr>
                <w:b w:val="0"/>
                <w:i w:val="0"/>
                <w:sz w:val="14"/>
              </w:rPr>
              <w:t>0.89/0.88</w:t>
            </w:r>
          </w:p>
        </w:tc>
        <w:tc>
          <w:tcPr>
            <w:tcW w:type="dxa" w:w="641"/>
          </w:tcPr>
          <w:p>
            <w:pPr>
              <w:ind w:firstLine="0"/>
              <w:jc w:val="left"/>
            </w:pPr>
            <w:r/>
            <w:r>
              <w:rPr>
                <w:b w:val="0"/>
                <w:i w:val="0"/>
                <w:sz w:val="14"/>
              </w:rPr>
              <w:t>0.84</w:t>
            </w:r>
          </w:p>
        </w:tc>
        <w:tc>
          <w:tcPr>
            <w:tcW w:type="dxa" w:w="916"/>
          </w:tcPr>
          <w:p>
            <w:pPr>
              <w:ind w:firstLine="0"/>
              <w:jc w:val="left"/>
            </w:pPr>
            <w:r/>
            <w:r>
              <w:rPr>
                <w:b w:val="0"/>
                <w:i w:val="0"/>
                <w:sz w:val="14"/>
              </w:rPr>
              <w:t>0.95</w:t>
            </w:r>
          </w:p>
        </w:tc>
      </w:tr>
      <w:tr>
        <w:tc>
          <w:tcPr>
            <w:tcW w:type="dxa" w:w="916"/>
          </w:tcPr>
          <w:p>
            <w:pPr>
              <w:ind w:firstLine="0"/>
              <w:jc w:val="left"/>
            </w:pPr>
            <w:r/>
            <w:r>
              <w:rPr>
                <w:b w:val="0"/>
                <w:i w:val="0"/>
                <w:sz w:val="14"/>
              </w:rPr>
              <w:t>CLL</w:t>
            </w:r>
          </w:p>
        </w:tc>
        <w:tc>
          <w:tcPr>
            <w:tcW w:type="dxa" w:w="824"/>
          </w:tcPr>
          <w:p>
            <w:pPr>
              <w:ind w:firstLine="0"/>
              <w:jc w:val="left"/>
            </w:pPr>
            <w:r/>
            <w:r>
              <w:rPr>
                <w:b w:val="0"/>
                <w:i w:val="0"/>
                <w:sz w:val="14"/>
              </w:rPr>
              <w:t>5</w:t>
            </w:r>
          </w:p>
        </w:tc>
        <w:tc>
          <w:tcPr>
            <w:tcW w:type="dxa" w:w="641"/>
          </w:tcPr>
          <w:p>
            <w:pPr>
              <w:ind w:firstLine="0"/>
              <w:jc w:val="left"/>
            </w:pPr>
            <w:r/>
            <w:r>
              <w:rPr>
                <w:b w:val="0"/>
                <w:i w:val="0"/>
                <w:sz w:val="14"/>
              </w:rPr>
              <w:t>0.1</w:t>
            </w:r>
          </w:p>
        </w:tc>
        <w:tc>
          <w:tcPr>
            <w:tcW w:type="dxa" w:w="1557"/>
          </w:tcPr>
          <w:p>
            <w:pPr>
              <w:ind w:firstLine="0"/>
              <w:jc w:val="left"/>
            </w:pPr>
            <w:r/>
            <w:r>
              <w:rPr>
                <w:b w:val="0"/>
                <w:i w:val="0"/>
                <w:sz w:val="14"/>
              </w:rPr>
              <w:t>-2.043 ± 0.037</w:t>
            </w:r>
          </w:p>
        </w:tc>
        <w:tc>
          <w:tcPr>
            <w:tcW w:type="dxa" w:w="1557"/>
          </w:tcPr>
          <w:p>
            <w:pPr>
              <w:ind w:firstLine="0"/>
              <w:jc w:val="left"/>
            </w:pPr>
            <w:r/>
            <w:r>
              <w:rPr>
                <w:b w:val="0"/>
                <w:i w:val="0"/>
                <w:sz w:val="14"/>
              </w:rPr>
              <w:t>-2.099 ± 0.048</w:t>
            </w:r>
          </w:p>
        </w:tc>
        <w:tc>
          <w:tcPr>
            <w:tcW w:type="dxa" w:w="733"/>
          </w:tcPr>
          <w:p>
            <w:pPr>
              <w:ind w:firstLine="0"/>
              <w:jc w:val="left"/>
            </w:pPr>
            <w:r/>
            <w:r>
              <w:rPr>
                <w:b w:val="0"/>
                <w:i w:val="0"/>
                <w:sz w:val="14"/>
              </w:rPr>
              <w:t>16</w:t>
            </w:r>
          </w:p>
        </w:tc>
        <w:tc>
          <w:tcPr>
            <w:tcW w:type="dxa" w:w="824"/>
          </w:tcPr>
          <w:p>
            <w:pPr>
              <w:ind w:firstLine="0"/>
              <w:jc w:val="left"/>
            </w:pPr>
            <w:r/>
            <w:r>
              <w:rPr>
                <w:b w:val="0"/>
                <w:i w:val="0"/>
                <w:sz w:val="14"/>
              </w:rPr>
              <w:t>16</w:t>
            </w:r>
          </w:p>
        </w:tc>
        <w:tc>
          <w:tcPr>
            <w:tcW w:type="dxa" w:w="733"/>
          </w:tcPr>
          <w:p>
            <w:pPr>
              <w:ind w:firstLine="0"/>
              <w:jc w:val="left"/>
            </w:pPr>
            <w:r/>
            <w:r>
              <w:rPr>
                <w:b w:val="0"/>
                <w:i w:val="0"/>
                <w:sz w:val="14"/>
              </w:rPr>
              <w:t>1.00</w:t>
            </w:r>
          </w:p>
        </w:tc>
        <w:tc>
          <w:tcPr>
            <w:tcW w:type="dxa" w:w="1099"/>
          </w:tcPr>
          <w:p>
            <w:pPr>
              <w:ind w:firstLine="0"/>
              <w:jc w:val="left"/>
            </w:pPr>
            <w:r/>
            <w:r>
              <w:rPr>
                <w:b w:val="0"/>
                <w:i w:val="0"/>
                <w:sz w:val="14"/>
              </w:rPr>
              <w:t>0.80/0.78</w:t>
            </w:r>
          </w:p>
        </w:tc>
        <w:tc>
          <w:tcPr>
            <w:tcW w:type="dxa" w:w="641"/>
          </w:tcPr>
          <w:p>
            <w:pPr>
              <w:ind w:firstLine="0"/>
              <w:jc w:val="left"/>
            </w:pPr>
            <w:r/>
            <w:r>
              <w:rPr>
                <w:b w:val="0"/>
                <w:i w:val="0"/>
                <w:sz w:val="14"/>
              </w:rPr>
              <w:t>0.96</w:t>
            </w:r>
          </w:p>
        </w:tc>
        <w:tc>
          <w:tcPr>
            <w:tcW w:type="dxa" w:w="916"/>
          </w:tcPr>
          <w:p>
            <w:pPr>
              <w:ind w:firstLine="0"/>
              <w:jc w:val="left"/>
            </w:pPr>
            <w:r/>
            <w:r>
              <w:rPr>
                <w:b w:val="0"/>
                <w:i w:val="0"/>
                <w:sz w:val="14"/>
              </w:rPr>
              <w:t>0.96</w:t>
            </w:r>
          </w:p>
        </w:tc>
      </w:tr>
    </w:tbl>
    <w:p>
      <w:pPr>
        <w:spacing w:after="80"/>
        <w:ind w:firstLine="0"/>
        <w:jc w:val="both"/>
      </w:pPr>
    </w:p>
    <w:p>
      <w:pPr>
        <w:sectPr>
          <w:type w:val="continuous"/>
          <w:pgSz w:w="12240" w:h="15840"/>
          <w:pgMar w:top="1080" w:right="900" w:bottom="1440" w:left="900" w:header="720" w:footer="720" w:gutter="0"/>
          <w:cols w:space="360" w:num="1"/>
          <w:docGrid w:linePitch="360"/>
        </w:sectPr>
      </w:pPr>
    </w:p>
    <w:p>
      <w:pPr>
        <w:spacing w:after="40" w:before="80"/>
        <w:ind w:firstLine="0"/>
        <w:jc w:val="left"/>
      </w:pPr>
      <w:r>
        <w:rPr>
          <w:b w:val="0"/>
          <w:i/>
          <w:sz w:val="20"/>
        </w:rPr>
        <w:t>D. Conjunctive Bayesian networks</w:t>
      </w:r>
    </w:p>
    <w:p>
      <w:pPr>
        <w:spacing w:after="0"/>
        <w:jc w:val="both"/>
      </w:pPr>
      <w:r>
        <w:rPr>
          <w:b w:val="0"/>
          <w:i w:val="0"/>
        </w:rPr>
        <w:t>The CBNs are sparse (Table VI). In AML the poset has 5q loss before -7, 7q- and 17p loss, +8 before +21 and t(8;21) before -Y; in CML t(9;22) precedes the extra Ph, 17p loss, +19 and 3q26 rearrangements; in ALL +21 precedes the other hyperdiploid trisomies; in CLL 13q loss precedes 11q- and 17p loss. Simulation recovery was perfect in every disease and the noise rate ε stayed between 0.016 and 0.098. On the same 10 events the MHN fitted held-out data better than the CBN in every disease and every fold, so the CBN's hard precedence constraints cost likelihood.</w:t>
      </w:r>
    </w:p>
    <w:p>
      <w:pPr>
        <w:sectPr>
          <w:type w:val="continuous"/>
          <w:pgSz w:w="12240" w:h="15840"/>
          <w:pgMar w:top="1080" w:right="900" w:bottom="1440" w:left="900" w:header="720" w:footer="720" w:gutter="0"/>
          <w:cols w:space="360" w:num="2"/>
          <w:docGrid w:linePitch="360"/>
        </w:sectPr>
      </w:pPr>
    </w:p>
    <w:p>
      <w:pPr>
        <w:spacing w:after="0" w:before="120"/>
        <w:ind w:firstLine="0"/>
        <w:jc w:val="center"/>
      </w:pPr>
      <w:r>
        <w:rPr>
          <w:b w:val="0"/>
          <w:i w:val="0"/>
          <w:sz w:val="16"/>
        </w:rPr>
        <w:t>TABLE VI</w:t>
      </w:r>
    </w:p>
    <w:p>
      <w:pPr>
        <w:spacing w:after="40"/>
        <w:ind w:firstLine="0"/>
        <w:jc w:val="center"/>
      </w:pPr>
      <w:r>
        <w:rPr>
          <w:b w:val="0"/>
          <w:i w:val="0"/>
          <w:sz w:val="16"/>
        </w:rPr>
        <w:t>CBN on the 10 most frequent model events per disease: noise ε, 5-fold held-out log-likelihood per case against an MHN and an independence model on the same events, simulation recovery, and the cover relations of the fitted poset with their frequency in 50 bootstrap refits.</w:t>
      </w:r>
    </w:p>
    <w:tbl>
      <w:tblPr>
        <w:tblStyle w:val="TableGrid"/>
        <w:tblW w:type="dxa" w:w="10440"/>
        <w:tblLayout w:type="fixed"/>
        <w:tblLook w:firstColumn="1" w:firstRow="1" w:lastColumn="0" w:lastRow="0" w:noHBand="0" w:noVBand="1" w:val="04A0"/>
        <w:tblLayout w:type="fixed"/>
      </w:tblPr>
      <w:tblGrid>
        <w:gridCol w:w="870"/>
        <w:gridCol w:w="696"/>
        <w:gridCol w:w="782"/>
        <w:gridCol w:w="782"/>
        <w:gridCol w:w="782"/>
        <w:gridCol w:w="1044"/>
        <w:gridCol w:w="5481"/>
      </w:tblGrid>
      <w:tr>
        <w:tc>
          <w:tcPr>
            <w:tcW w:type="dxa" w:w="870"/>
          </w:tcPr>
          <w:p>
            <w:pPr>
              <w:ind w:firstLine="0"/>
              <w:jc w:val="left"/>
            </w:pPr>
            <w:r/>
            <w:r>
              <w:rPr>
                <w:b/>
                <w:i w:val="0"/>
                <w:sz w:val="14"/>
              </w:rPr>
              <w:t>Disease</w:t>
            </w:r>
          </w:p>
        </w:tc>
        <w:tc>
          <w:tcPr>
            <w:tcW w:type="dxa" w:w="696"/>
          </w:tcPr>
          <w:p>
            <w:pPr>
              <w:ind w:firstLine="0"/>
              <w:jc w:val="left"/>
            </w:pPr>
            <w:r/>
            <w:r>
              <w:rPr>
                <w:b/>
                <w:i w:val="0"/>
                <w:sz w:val="14"/>
              </w:rPr>
              <w:t>ε</w:t>
            </w:r>
          </w:p>
        </w:tc>
        <w:tc>
          <w:tcPr>
            <w:tcW w:type="dxa" w:w="783"/>
          </w:tcPr>
          <w:p>
            <w:pPr>
              <w:ind w:firstLine="0"/>
              <w:jc w:val="left"/>
            </w:pPr>
            <w:r/>
            <w:r>
              <w:rPr>
                <w:b/>
                <w:i w:val="0"/>
                <w:sz w:val="14"/>
              </w:rPr>
              <w:t>CBN</w:t>
            </w:r>
          </w:p>
        </w:tc>
        <w:tc>
          <w:tcPr>
            <w:tcW w:type="dxa" w:w="783"/>
          </w:tcPr>
          <w:p>
            <w:pPr>
              <w:ind w:firstLine="0"/>
              <w:jc w:val="left"/>
            </w:pPr>
            <w:r/>
            <w:r>
              <w:rPr>
                <w:b/>
                <w:i w:val="0"/>
                <w:sz w:val="14"/>
              </w:rPr>
              <w:t>MHN</w:t>
            </w:r>
          </w:p>
        </w:tc>
        <w:tc>
          <w:tcPr>
            <w:tcW w:type="dxa" w:w="783"/>
          </w:tcPr>
          <w:p>
            <w:pPr>
              <w:ind w:firstLine="0"/>
              <w:jc w:val="left"/>
            </w:pPr>
            <w:r/>
            <w:r>
              <w:rPr>
                <w:b/>
                <w:i w:val="0"/>
                <w:sz w:val="14"/>
              </w:rPr>
              <w:t>Indep.</w:t>
            </w:r>
          </w:p>
        </w:tc>
        <w:tc>
          <w:tcPr>
            <w:tcW w:type="dxa" w:w="1044"/>
          </w:tcPr>
          <w:p>
            <w:pPr>
              <w:ind w:firstLine="0"/>
              <w:jc w:val="left"/>
            </w:pPr>
            <w:r/>
            <w:r>
              <w:rPr>
                <w:b/>
                <w:i w:val="0"/>
                <w:sz w:val="14"/>
              </w:rPr>
              <w:t>Sim P/R</w:t>
            </w:r>
          </w:p>
        </w:tc>
        <w:tc>
          <w:tcPr>
            <w:tcW w:type="dxa" w:w="5481"/>
          </w:tcPr>
          <w:p>
            <w:pPr>
              <w:ind w:firstLine="0"/>
              <w:jc w:val="left"/>
            </w:pPr>
            <w:r/>
            <w:r>
              <w:rPr>
                <w:b/>
                <w:i w:val="0"/>
                <w:sz w:val="14"/>
              </w:rPr>
              <w:t>Poset cover relations (bootstrap)</w:t>
            </w:r>
          </w:p>
        </w:tc>
      </w:tr>
      <w:tr>
        <w:tc>
          <w:tcPr>
            <w:tcW w:type="dxa" w:w="870"/>
          </w:tcPr>
          <w:p>
            <w:pPr>
              <w:ind w:firstLine="0"/>
              <w:jc w:val="left"/>
            </w:pPr>
            <w:r/>
            <w:r>
              <w:rPr>
                <w:b w:val="0"/>
                <w:i w:val="0"/>
                <w:sz w:val="14"/>
              </w:rPr>
              <w:t>AML</w:t>
            </w:r>
          </w:p>
        </w:tc>
        <w:tc>
          <w:tcPr>
            <w:tcW w:type="dxa" w:w="696"/>
          </w:tcPr>
          <w:p>
            <w:pPr>
              <w:ind w:firstLine="0"/>
              <w:jc w:val="left"/>
            </w:pPr>
            <w:r/>
            <w:r>
              <w:rPr>
                <w:b w:val="0"/>
                <w:i w:val="0"/>
                <w:sz w:val="14"/>
              </w:rPr>
              <w:t>0.055</w:t>
            </w:r>
          </w:p>
        </w:tc>
        <w:tc>
          <w:tcPr>
            <w:tcW w:type="dxa" w:w="783"/>
          </w:tcPr>
          <w:p>
            <w:pPr>
              <w:ind w:firstLine="0"/>
              <w:jc w:val="left"/>
            </w:pPr>
            <w:r/>
            <w:r>
              <w:rPr>
                <w:b w:val="0"/>
                <w:i w:val="0"/>
                <w:sz w:val="14"/>
              </w:rPr>
              <w:t>-3.103</w:t>
            </w:r>
          </w:p>
        </w:tc>
        <w:tc>
          <w:tcPr>
            <w:tcW w:type="dxa" w:w="783"/>
          </w:tcPr>
          <w:p>
            <w:pPr>
              <w:ind w:firstLine="0"/>
              <w:jc w:val="left"/>
            </w:pPr>
            <w:r/>
            <w:r>
              <w:rPr>
                <w:b w:val="0"/>
                <w:i w:val="0"/>
                <w:sz w:val="14"/>
              </w:rPr>
              <w:t>-2.969</w:t>
            </w:r>
          </w:p>
        </w:tc>
        <w:tc>
          <w:tcPr>
            <w:tcW w:type="dxa" w:w="783"/>
          </w:tcPr>
          <w:p>
            <w:pPr>
              <w:ind w:firstLine="0"/>
              <w:jc w:val="left"/>
            </w:pPr>
            <w:r/>
            <w:r>
              <w:rPr>
                <w:b w:val="0"/>
                <w:i w:val="0"/>
                <w:sz w:val="14"/>
              </w:rPr>
              <w:t>-3.225</w:t>
            </w:r>
          </w:p>
        </w:tc>
        <w:tc>
          <w:tcPr>
            <w:tcW w:type="dxa" w:w="1044"/>
          </w:tcPr>
          <w:p>
            <w:pPr>
              <w:ind w:firstLine="0"/>
              <w:jc w:val="left"/>
            </w:pPr>
            <w:r/>
            <w:r>
              <w:rPr>
                <w:b w:val="0"/>
                <w:i w:val="0"/>
                <w:sz w:val="14"/>
              </w:rPr>
              <w:t>1.00/1.00</w:t>
            </w:r>
          </w:p>
        </w:tc>
        <w:tc>
          <w:tcPr>
            <w:tcW w:type="dxa" w:w="5481"/>
          </w:tcPr>
          <w:p>
            <w:pPr>
              <w:ind w:firstLine="0"/>
              <w:jc w:val="left"/>
            </w:pPr>
            <w:r/>
            <w:r>
              <w:rPr>
                <w:b w:val="0"/>
                <w:i w:val="0"/>
                <w:sz w:val="14"/>
              </w:rPr>
              <w:t>5q loss → -7 (0.80); 5q loss → 17p loss (1.00); 5q loss → 7q- (1.00); +8 → +21 (1.00); t(8;21) → -Y (1.00)</w:t>
            </w:r>
          </w:p>
        </w:tc>
      </w:tr>
      <w:tr>
        <w:tc>
          <w:tcPr>
            <w:tcW w:type="dxa" w:w="870"/>
          </w:tcPr>
          <w:p>
            <w:pPr>
              <w:ind w:firstLine="0"/>
              <w:jc w:val="left"/>
            </w:pPr>
            <w:r/>
            <w:r>
              <w:rPr>
                <w:b w:val="0"/>
                <w:i w:val="0"/>
                <w:sz w:val="14"/>
              </w:rPr>
              <w:t>MDS</w:t>
            </w:r>
          </w:p>
        </w:tc>
        <w:tc>
          <w:tcPr>
            <w:tcW w:type="dxa" w:w="696"/>
          </w:tcPr>
          <w:p>
            <w:pPr>
              <w:ind w:firstLine="0"/>
              <w:jc w:val="left"/>
            </w:pPr>
            <w:r/>
            <w:r>
              <w:rPr>
                <w:b w:val="0"/>
                <w:i w:val="0"/>
                <w:sz w:val="14"/>
              </w:rPr>
              <w:t>0.031</w:t>
            </w:r>
          </w:p>
        </w:tc>
        <w:tc>
          <w:tcPr>
            <w:tcW w:type="dxa" w:w="783"/>
          </w:tcPr>
          <w:p>
            <w:pPr>
              <w:ind w:firstLine="0"/>
              <w:jc w:val="left"/>
            </w:pPr>
            <w:r/>
            <w:r>
              <w:rPr>
                <w:b w:val="0"/>
                <w:i w:val="0"/>
                <w:sz w:val="14"/>
              </w:rPr>
              <w:t>-3.438</w:t>
            </w:r>
          </w:p>
        </w:tc>
        <w:tc>
          <w:tcPr>
            <w:tcW w:type="dxa" w:w="783"/>
          </w:tcPr>
          <w:p>
            <w:pPr>
              <w:ind w:firstLine="0"/>
              <w:jc w:val="left"/>
            </w:pPr>
            <w:r/>
            <w:r>
              <w:rPr>
                <w:b w:val="0"/>
                <w:i w:val="0"/>
                <w:sz w:val="14"/>
              </w:rPr>
              <w:t>-3.368</w:t>
            </w:r>
          </w:p>
        </w:tc>
        <w:tc>
          <w:tcPr>
            <w:tcW w:type="dxa" w:w="783"/>
          </w:tcPr>
          <w:p>
            <w:pPr>
              <w:ind w:firstLine="0"/>
              <w:jc w:val="left"/>
            </w:pPr>
            <w:r/>
            <w:r>
              <w:rPr>
                <w:b w:val="0"/>
                <w:i w:val="0"/>
                <w:sz w:val="14"/>
              </w:rPr>
              <w:t>-3.537</w:t>
            </w:r>
          </w:p>
        </w:tc>
        <w:tc>
          <w:tcPr>
            <w:tcW w:type="dxa" w:w="1044"/>
          </w:tcPr>
          <w:p>
            <w:pPr>
              <w:ind w:firstLine="0"/>
              <w:jc w:val="left"/>
            </w:pPr>
            <w:r/>
            <w:r>
              <w:rPr>
                <w:b w:val="0"/>
                <w:i w:val="0"/>
                <w:sz w:val="14"/>
              </w:rPr>
              <w:t>1.00/1.00</w:t>
            </w:r>
          </w:p>
        </w:tc>
        <w:tc>
          <w:tcPr>
            <w:tcW w:type="dxa" w:w="5481"/>
          </w:tcPr>
          <w:p>
            <w:pPr>
              <w:ind w:firstLine="0"/>
              <w:jc w:val="left"/>
            </w:pPr>
            <w:r/>
            <w:r>
              <w:rPr>
                <w:b w:val="0"/>
                <w:i w:val="0"/>
                <w:sz w:val="14"/>
              </w:rPr>
              <w:t>5q loss → 17p loss (1.00); 5q loss → 18 loss (1.00); 5q loss → 13q loss (1.00); 7q- → 1q gain (1.00)</w:t>
            </w:r>
          </w:p>
        </w:tc>
      </w:tr>
      <w:tr>
        <w:tc>
          <w:tcPr>
            <w:tcW w:type="dxa" w:w="870"/>
          </w:tcPr>
          <w:p>
            <w:pPr>
              <w:ind w:firstLine="0"/>
              <w:jc w:val="left"/>
            </w:pPr>
            <w:r/>
            <w:r>
              <w:rPr>
                <w:b w:val="0"/>
                <w:i w:val="0"/>
                <w:sz w:val="14"/>
              </w:rPr>
              <w:t>CML</w:t>
            </w:r>
          </w:p>
        </w:tc>
        <w:tc>
          <w:tcPr>
            <w:tcW w:type="dxa" w:w="696"/>
          </w:tcPr>
          <w:p>
            <w:pPr>
              <w:ind w:firstLine="0"/>
              <w:jc w:val="left"/>
            </w:pPr>
            <w:r/>
            <w:r>
              <w:rPr>
                <w:b w:val="0"/>
                <w:i w:val="0"/>
                <w:sz w:val="14"/>
              </w:rPr>
              <w:t>0.016</w:t>
            </w:r>
          </w:p>
        </w:tc>
        <w:tc>
          <w:tcPr>
            <w:tcW w:type="dxa" w:w="783"/>
          </w:tcPr>
          <w:p>
            <w:pPr>
              <w:ind w:firstLine="0"/>
              <w:jc w:val="left"/>
            </w:pPr>
            <w:r/>
            <w:r>
              <w:rPr>
                <w:b w:val="0"/>
                <w:i w:val="0"/>
                <w:sz w:val="14"/>
              </w:rPr>
              <w:t>-2.723</w:t>
            </w:r>
          </w:p>
        </w:tc>
        <w:tc>
          <w:tcPr>
            <w:tcW w:type="dxa" w:w="783"/>
          </w:tcPr>
          <w:p>
            <w:pPr>
              <w:ind w:firstLine="0"/>
              <w:jc w:val="left"/>
            </w:pPr>
            <w:r/>
            <w:r>
              <w:rPr>
                <w:b w:val="0"/>
                <w:i w:val="0"/>
                <w:sz w:val="14"/>
              </w:rPr>
              <w:t>-2.620</w:t>
            </w:r>
          </w:p>
        </w:tc>
        <w:tc>
          <w:tcPr>
            <w:tcW w:type="dxa" w:w="783"/>
          </w:tcPr>
          <w:p>
            <w:pPr>
              <w:ind w:firstLine="0"/>
              <w:jc w:val="left"/>
            </w:pPr>
            <w:r/>
            <w:r>
              <w:rPr>
                <w:b w:val="0"/>
                <w:i w:val="0"/>
                <w:sz w:val="14"/>
              </w:rPr>
              <w:t>-3.033</w:t>
            </w:r>
          </w:p>
        </w:tc>
        <w:tc>
          <w:tcPr>
            <w:tcW w:type="dxa" w:w="1044"/>
          </w:tcPr>
          <w:p>
            <w:pPr>
              <w:ind w:firstLine="0"/>
              <w:jc w:val="left"/>
            </w:pPr>
            <w:r/>
            <w:r>
              <w:rPr>
                <w:b w:val="0"/>
                <w:i w:val="0"/>
                <w:sz w:val="14"/>
              </w:rPr>
              <w:t>1.00/1.00</w:t>
            </w:r>
          </w:p>
        </w:tc>
        <w:tc>
          <w:tcPr>
            <w:tcW w:type="dxa" w:w="5481"/>
          </w:tcPr>
          <w:p>
            <w:pPr>
              <w:ind w:firstLine="0"/>
              <w:jc w:val="left"/>
            </w:pPr>
            <w:r/>
            <w:r>
              <w:rPr>
                <w:b w:val="0"/>
                <w:i w:val="0"/>
                <w:sz w:val="14"/>
              </w:rPr>
              <w:t>t(9;22) → extra Ph (1.00); t(9;22) → 17p loss (1.00); t(9;22) → +19 (1.00); t(9;22) → 3q26 (0.96); +8 → +19 (0.74); 17p loss → i(17q) (1.00); +19 → +21 (0.64)</w:t>
            </w:r>
          </w:p>
        </w:tc>
      </w:tr>
      <w:tr>
        <w:tc>
          <w:tcPr>
            <w:tcW w:type="dxa" w:w="870"/>
          </w:tcPr>
          <w:p>
            <w:pPr>
              <w:ind w:firstLine="0"/>
              <w:jc w:val="left"/>
            </w:pPr>
            <w:r/>
            <w:r>
              <w:rPr>
                <w:b w:val="0"/>
                <w:i w:val="0"/>
                <w:sz w:val="14"/>
              </w:rPr>
              <w:t>ALL</w:t>
            </w:r>
          </w:p>
        </w:tc>
        <w:tc>
          <w:tcPr>
            <w:tcW w:type="dxa" w:w="696"/>
          </w:tcPr>
          <w:p>
            <w:pPr>
              <w:ind w:firstLine="0"/>
              <w:jc w:val="left"/>
            </w:pPr>
            <w:r/>
            <w:r>
              <w:rPr>
                <w:b w:val="0"/>
                <w:i w:val="0"/>
                <w:sz w:val="14"/>
              </w:rPr>
              <w:t>0.026</w:t>
            </w:r>
          </w:p>
        </w:tc>
        <w:tc>
          <w:tcPr>
            <w:tcW w:type="dxa" w:w="783"/>
          </w:tcPr>
          <w:p>
            <w:pPr>
              <w:ind w:firstLine="0"/>
              <w:jc w:val="left"/>
            </w:pPr>
            <w:r/>
            <w:r>
              <w:rPr>
                <w:b w:val="0"/>
                <w:i w:val="0"/>
                <w:sz w:val="14"/>
              </w:rPr>
              <w:t>-2.787</w:t>
            </w:r>
          </w:p>
        </w:tc>
        <w:tc>
          <w:tcPr>
            <w:tcW w:type="dxa" w:w="783"/>
          </w:tcPr>
          <w:p>
            <w:pPr>
              <w:ind w:firstLine="0"/>
              <w:jc w:val="left"/>
            </w:pPr>
            <w:r/>
            <w:r>
              <w:rPr>
                <w:b w:val="0"/>
                <w:i w:val="0"/>
                <w:sz w:val="14"/>
              </w:rPr>
              <w:t>-2.642</w:t>
            </w:r>
          </w:p>
        </w:tc>
        <w:tc>
          <w:tcPr>
            <w:tcW w:type="dxa" w:w="783"/>
          </w:tcPr>
          <w:p>
            <w:pPr>
              <w:ind w:firstLine="0"/>
              <w:jc w:val="left"/>
            </w:pPr>
            <w:r/>
            <w:r>
              <w:rPr>
                <w:b w:val="0"/>
                <w:i w:val="0"/>
                <w:sz w:val="14"/>
              </w:rPr>
              <w:t>-3.829</w:t>
            </w:r>
          </w:p>
        </w:tc>
        <w:tc>
          <w:tcPr>
            <w:tcW w:type="dxa" w:w="1044"/>
          </w:tcPr>
          <w:p>
            <w:pPr>
              <w:ind w:firstLine="0"/>
              <w:jc w:val="left"/>
            </w:pPr>
            <w:r/>
            <w:r>
              <w:rPr>
                <w:b w:val="0"/>
                <w:i w:val="0"/>
                <w:sz w:val="14"/>
              </w:rPr>
              <w:t>1.00/1.00</w:t>
            </w:r>
          </w:p>
        </w:tc>
        <w:tc>
          <w:tcPr>
            <w:tcW w:type="dxa" w:w="5481"/>
          </w:tcPr>
          <w:p>
            <w:pPr>
              <w:ind w:firstLine="0"/>
              <w:jc w:val="left"/>
            </w:pPr>
            <w:r/>
            <w:r>
              <w:rPr>
                <w:b w:val="0"/>
                <w:i w:val="0"/>
                <w:sz w:val="14"/>
              </w:rPr>
              <w:t>+21 → +X (1.00); +21 → +14 (1.00); +21 → +6 (1.00); +21 → +10 (1.00); +21 → +18 (1.00); +21 → +4 (1.00); +21 → +17 (1.00)</w:t>
            </w:r>
          </w:p>
        </w:tc>
      </w:tr>
      <w:tr>
        <w:tc>
          <w:tcPr>
            <w:tcW w:type="dxa" w:w="870"/>
          </w:tcPr>
          <w:p>
            <w:pPr>
              <w:ind w:firstLine="0"/>
              <w:jc w:val="left"/>
            </w:pPr>
            <w:r/>
            <w:r>
              <w:rPr>
                <w:b w:val="0"/>
                <w:i w:val="0"/>
                <w:sz w:val="14"/>
              </w:rPr>
              <w:t>CLL</w:t>
            </w:r>
          </w:p>
        </w:tc>
        <w:tc>
          <w:tcPr>
            <w:tcW w:type="dxa" w:w="696"/>
          </w:tcPr>
          <w:p>
            <w:pPr>
              <w:ind w:firstLine="0"/>
              <w:jc w:val="left"/>
            </w:pPr>
            <w:r/>
            <w:r>
              <w:rPr>
                <w:b w:val="0"/>
                <w:i w:val="0"/>
                <w:sz w:val="14"/>
              </w:rPr>
              <w:t>0.098</w:t>
            </w:r>
          </w:p>
        </w:tc>
        <w:tc>
          <w:tcPr>
            <w:tcW w:type="dxa" w:w="783"/>
          </w:tcPr>
          <w:p>
            <w:pPr>
              <w:ind w:firstLine="0"/>
              <w:jc w:val="left"/>
            </w:pPr>
            <w:r/>
            <w:r>
              <w:rPr>
                <w:b w:val="0"/>
                <w:i w:val="0"/>
                <w:sz w:val="14"/>
              </w:rPr>
              <w:t>-2.094</w:t>
            </w:r>
          </w:p>
        </w:tc>
        <w:tc>
          <w:tcPr>
            <w:tcW w:type="dxa" w:w="783"/>
          </w:tcPr>
          <w:p>
            <w:pPr>
              <w:ind w:firstLine="0"/>
              <w:jc w:val="left"/>
            </w:pPr>
            <w:r/>
            <w:r>
              <w:rPr>
                <w:b w:val="0"/>
                <w:i w:val="0"/>
                <w:sz w:val="14"/>
              </w:rPr>
              <w:t>-2.044</w:t>
            </w:r>
          </w:p>
        </w:tc>
        <w:tc>
          <w:tcPr>
            <w:tcW w:type="dxa" w:w="783"/>
          </w:tcPr>
          <w:p>
            <w:pPr>
              <w:ind w:firstLine="0"/>
              <w:jc w:val="left"/>
            </w:pPr>
            <w:r/>
            <w:r>
              <w:rPr>
                <w:b w:val="0"/>
                <w:i w:val="0"/>
                <w:sz w:val="14"/>
              </w:rPr>
              <w:t>-2.099</w:t>
            </w:r>
          </w:p>
        </w:tc>
        <w:tc>
          <w:tcPr>
            <w:tcW w:type="dxa" w:w="1044"/>
          </w:tcPr>
          <w:p>
            <w:pPr>
              <w:ind w:firstLine="0"/>
              <w:jc w:val="left"/>
            </w:pPr>
            <w:r/>
            <w:r>
              <w:rPr>
                <w:b w:val="0"/>
                <w:i w:val="0"/>
                <w:sz w:val="14"/>
              </w:rPr>
              <w:t>1.00/0.90</w:t>
            </w:r>
          </w:p>
        </w:tc>
        <w:tc>
          <w:tcPr>
            <w:tcW w:type="dxa" w:w="5481"/>
          </w:tcPr>
          <w:p>
            <w:pPr>
              <w:ind w:firstLine="0"/>
              <w:jc w:val="left"/>
            </w:pPr>
            <w:r/>
            <w:r>
              <w:rPr>
                <w:b w:val="0"/>
                <w:i w:val="0"/>
                <w:sz w:val="14"/>
              </w:rPr>
              <w:t>13q loss → 17p loss (0.60); 13q loss → 11q- (0.94)</w:t>
            </w:r>
          </w:p>
        </w:tc>
      </w:tr>
    </w:tbl>
    <w:p>
      <w:pPr>
        <w:spacing w:after="80"/>
        <w:ind w:firstLine="0"/>
        <w:jc w:val="both"/>
      </w:pPr>
    </w:p>
    <w:p>
      <w:pPr>
        <w:sectPr>
          <w:type w:val="continuous"/>
          <w:pgSz w:w="12240" w:h="15840"/>
          <w:pgMar w:top="1080" w:right="900" w:bottom="1440" w:left="900" w:header="720" w:footer="720" w:gutter="0"/>
          <w:cols w:space="360" w:num="1"/>
          <w:docGrid w:linePitch="360"/>
        </w:sectPr>
      </w:pPr>
    </w:p>
    <w:p>
      <w:pPr>
        <w:spacing w:after="40" w:before="80"/>
        <w:ind w:firstLine="0"/>
        <w:jc w:val="left"/>
      </w:pPr>
      <w:r>
        <w:rPr>
          <w:b w:val="0"/>
          <w:i/>
          <w:sz w:val="20"/>
        </w:rPr>
        <w:t>E. Validation against prior knowledge and clone orders</w:t>
      </w:r>
    </w:p>
    <w:p>
      <w:pPr>
        <w:spacing w:after="0"/>
        <w:jc w:val="both"/>
      </w:pPr>
      <w:r>
        <w:rPr>
          <w:b w:val="0"/>
          <w:i w:val="0"/>
        </w:rPr>
        <w:t>Against the written test set (Table VII), the baseline confirmed all 12 expected exclusivities and 8 of 9 expected co-occurrences (the exception is 5q loss with -7 in MDS, which is not significant). The MHN confirmed every exclusivity it could test, but 0 of 7 co-occurrences, for the shared-time reason above. Every expected order with at least five clone pairs was confirmed by the clone data. The MHN confirmed 6 of 14 expected orders and the CBN implied 6 of 11; the CBN's misses are orders its poset leaves unconstrained, while the MHN's misses mostly reverse the expected order.</w:t>
      </w:r>
    </w:p>
    <w:p>
      <w:pPr>
        <w:sectPr>
          <w:type w:val="continuous"/>
          <w:pgSz w:w="12240" w:h="15840"/>
          <w:pgMar w:top="1080" w:right="900" w:bottom="1440" w:left="900" w:header="720" w:footer="720" w:gutter="0"/>
          <w:cols w:space="360" w:num="2"/>
          <w:docGrid w:linePitch="360"/>
        </w:sectPr>
      </w:pPr>
    </w:p>
    <w:p>
      <w:pPr>
        <w:spacing w:after="0" w:before="120"/>
        <w:ind w:firstLine="0"/>
        <w:jc w:val="center"/>
      </w:pPr>
      <w:r>
        <w:rPr>
          <w:b w:val="0"/>
          <w:i w:val="0"/>
          <w:sz w:val="16"/>
        </w:rPr>
        <w:t>TABLE VII</w:t>
      </w:r>
    </w:p>
    <w:p>
      <w:pPr>
        <w:spacing w:after="40"/>
        <w:ind w:firstLine="0"/>
        <w:jc w:val="center"/>
      </w:pPr>
      <w:r>
        <w:rPr>
          <w:b w:val="0"/>
          <w:i w:val="0"/>
          <w:sz w:val="16"/>
        </w:rPr>
        <w:t>Prior-knowledge test set, written before the fits. Clone a:b counts parent-to-child clone pairs ordered a→b and b→a (non-duplicate cases); clone check needs ≥ 5 pairs. n/a: an event outside that model's vocabulary.</w:t>
      </w:r>
    </w:p>
    <w:tbl>
      <w:tblPr>
        <w:tblStyle w:val="TableGrid"/>
        <w:tblW w:type="dxa" w:w="10440"/>
        <w:tblLayout w:type="fixed"/>
        <w:tblLook w:firstColumn="1" w:firstRow="1" w:lastColumn="0" w:lastRow="0" w:noHBand="0" w:noVBand="1" w:val="04A0"/>
        <w:tblLayout w:type="fixed"/>
      </w:tblPr>
      <w:tblGrid>
        <w:gridCol w:w="1228"/>
        <w:gridCol w:w="3684"/>
        <w:gridCol w:w="1351"/>
        <w:gridCol w:w="859"/>
        <w:gridCol w:w="859"/>
        <w:gridCol w:w="1473"/>
        <w:gridCol w:w="982"/>
      </w:tblGrid>
      <w:tr>
        <w:tc>
          <w:tcPr>
            <w:tcW w:type="dxa" w:w="1228"/>
          </w:tcPr>
          <w:p>
            <w:pPr>
              <w:ind w:firstLine="0"/>
              <w:jc w:val="left"/>
            </w:pPr>
            <w:r/>
            <w:r>
              <w:rPr>
                <w:b/>
                <w:i w:val="0"/>
                <w:sz w:val="14"/>
              </w:rPr>
              <w:t>Disease</w:t>
            </w:r>
          </w:p>
        </w:tc>
        <w:tc>
          <w:tcPr>
            <w:tcW w:type="dxa" w:w="3685"/>
          </w:tcPr>
          <w:p>
            <w:pPr>
              <w:ind w:firstLine="0"/>
              <w:jc w:val="left"/>
            </w:pPr>
            <w:r/>
            <w:r>
              <w:rPr>
                <w:b/>
                <w:i w:val="0"/>
                <w:sz w:val="14"/>
              </w:rPr>
              <w:t>Relationship</w:t>
            </w:r>
          </w:p>
        </w:tc>
        <w:tc>
          <w:tcPr>
            <w:tcW w:type="dxa" w:w="1351"/>
          </w:tcPr>
          <w:p>
            <w:pPr>
              <w:ind w:firstLine="0"/>
              <w:jc w:val="left"/>
            </w:pPr>
            <w:r/>
            <w:r>
              <w:rPr>
                <w:b/>
                <w:i w:val="0"/>
                <w:sz w:val="14"/>
              </w:rPr>
              <w:t>Baseline</w:t>
            </w:r>
          </w:p>
        </w:tc>
        <w:tc>
          <w:tcPr>
            <w:tcW w:type="dxa" w:w="860"/>
          </w:tcPr>
          <w:p>
            <w:pPr>
              <w:ind w:firstLine="0"/>
              <w:jc w:val="left"/>
            </w:pPr>
            <w:r/>
            <w:r>
              <w:rPr>
                <w:b/>
                <w:i w:val="0"/>
                <w:sz w:val="14"/>
              </w:rPr>
              <w:t>MHN</w:t>
            </w:r>
          </w:p>
        </w:tc>
        <w:tc>
          <w:tcPr>
            <w:tcW w:type="dxa" w:w="860"/>
          </w:tcPr>
          <w:p>
            <w:pPr>
              <w:ind w:firstLine="0"/>
              <w:jc w:val="left"/>
            </w:pPr>
            <w:r/>
            <w:r>
              <w:rPr>
                <w:b/>
                <w:i w:val="0"/>
                <w:sz w:val="14"/>
              </w:rPr>
              <w:t>CBN</w:t>
            </w:r>
          </w:p>
        </w:tc>
        <w:tc>
          <w:tcPr>
            <w:tcW w:type="dxa" w:w="1474"/>
          </w:tcPr>
          <w:p>
            <w:pPr>
              <w:ind w:firstLine="0"/>
              <w:jc w:val="left"/>
            </w:pPr>
            <w:r/>
            <w:r>
              <w:rPr>
                <w:b/>
                <w:i w:val="0"/>
                <w:sz w:val="14"/>
              </w:rPr>
              <w:t>Clone a:b</w:t>
            </w:r>
          </w:p>
        </w:tc>
        <w:tc>
          <w:tcPr>
            <w:tcW w:type="dxa" w:w="983"/>
          </w:tcPr>
          <w:p>
            <w:pPr>
              <w:ind w:firstLine="0"/>
              <w:jc w:val="left"/>
            </w:pPr>
            <w:r/>
            <w:r>
              <w:rPr>
                <w:b/>
                <w:i w:val="0"/>
                <w:sz w:val="14"/>
              </w:rPr>
              <w:t>Clone</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t(8;21) / inv(16)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t(8;21) / KMT2A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inv(16) / KMT2A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t(8;21) / 5q loss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inv(16) / -7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5q loss + 17p loss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inv(16) + +22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t(8;21) + -Y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t(8;21) before -Y</w:t>
            </w:r>
          </w:p>
        </w:tc>
        <w:tc>
          <w:tcPr>
            <w:tcW w:type="dxa" w:w="1351"/>
          </w:tcPr>
          <w:p>
            <w:pPr>
              <w:ind w:firstLine="0"/>
              <w:jc w:val="left"/>
            </w:pPr>
            <w:r/>
            <w:r>
              <w:rPr>
                <w:b w:val="0"/>
                <w:i w:val="0"/>
                <w:sz w:val="14"/>
              </w:rPr>
              <w:t>-</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1474"/>
          </w:tcPr>
          <w:p>
            <w:pPr>
              <w:ind w:firstLine="0"/>
              <w:jc w:val="left"/>
            </w:pPr>
            <w:r/>
            <w:r>
              <w:rPr>
                <w:b w:val="0"/>
                <w:i w:val="0"/>
                <w:sz w:val="14"/>
              </w:rPr>
              <w:t>75:2</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t(8;21) before 9q-</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n/a</w:t>
            </w:r>
          </w:p>
        </w:tc>
        <w:tc>
          <w:tcPr>
            <w:tcW w:type="dxa" w:w="1474"/>
          </w:tcPr>
          <w:p>
            <w:pPr>
              <w:ind w:firstLine="0"/>
              <w:jc w:val="left"/>
            </w:pPr>
            <w:r/>
            <w:r>
              <w:rPr>
                <w:b w:val="0"/>
                <w:i w:val="0"/>
                <w:sz w:val="14"/>
              </w:rPr>
              <w:t>47:0</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inv(16) before +22</w:t>
            </w:r>
          </w:p>
        </w:tc>
        <w:tc>
          <w:tcPr>
            <w:tcW w:type="dxa" w:w="1351"/>
          </w:tcPr>
          <w:p>
            <w:pPr>
              <w:ind w:firstLine="0"/>
              <w:jc w:val="left"/>
            </w:pPr>
            <w:r/>
            <w:r>
              <w:rPr>
                <w:b w:val="0"/>
                <w:i w:val="0"/>
                <w:sz w:val="14"/>
              </w:rPr>
              <w:t>-</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n/a</w:t>
            </w:r>
          </w:p>
        </w:tc>
        <w:tc>
          <w:tcPr>
            <w:tcW w:type="dxa" w:w="1474"/>
          </w:tcPr>
          <w:p>
            <w:pPr>
              <w:ind w:firstLine="0"/>
              <w:jc w:val="left"/>
            </w:pPr>
            <w:r/>
            <w:r>
              <w:rPr>
                <w:b w:val="0"/>
                <w:i w:val="0"/>
                <w:sz w:val="14"/>
              </w:rPr>
              <w:t>67:2</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inv(16) before +8</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no</w:t>
            </w:r>
          </w:p>
        </w:tc>
        <w:tc>
          <w:tcPr>
            <w:tcW w:type="dxa" w:w="1474"/>
          </w:tcPr>
          <w:p>
            <w:pPr>
              <w:ind w:firstLine="0"/>
              <w:jc w:val="left"/>
            </w:pPr>
            <w:r/>
            <w:r>
              <w:rPr>
                <w:b w:val="0"/>
                <w:i w:val="0"/>
                <w:sz w:val="14"/>
              </w:rPr>
              <w:t>44:1</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AML</w:t>
            </w:r>
          </w:p>
        </w:tc>
        <w:tc>
          <w:tcPr>
            <w:tcW w:type="dxa" w:w="3685"/>
          </w:tcPr>
          <w:p>
            <w:pPr>
              <w:ind w:firstLine="0"/>
              <w:jc w:val="left"/>
            </w:pPr>
            <w:r/>
            <w:r>
              <w:rPr>
                <w:b w:val="0"/>
                <w:i w:val="0"/>
                <w:sz w:val="14"/>
              </w:rPr>
              <w:t>KMT2A before +8</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no</w:t>
            </w:r>
          </w:p>
        </w:tc>
        <w:tc>
          <w:tcPr>
            <w:tcW w:type="dxa" w:w="1474"/>
          </w:tcPr>
          <w:p>
            <w:pPr>
              <w:ind w:firstLine="0"/>
              <w:jc w:val="left"/>
            </w:pPr>
            <w:r/>
            <w:r>
              <w:rPr>
                <w:b w:val="0"/>
                <w:i w:val="0"/>
                <w:sz w:val="14"/>
              </w:rPr>
              <w:t>61:4</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APL</w:t>
            </w:r>
          </w:p>
        </w:tc>
        <w:tc>
          <w:tcPr>
            <w:tcW w:type="dxa" w:w="3685"/>
          </w:tcPr>
          <w:p>
            <w:pPr>
              <w:ind w:firstLine="0"/>
              <w:jc w:val="left"/>
            </w:pPr>
            <w:r/>
            <w:r>
              <w:rPr>
                <w:b w:val="0"/>
                <w:i w:val="0"/>
                <w:sz w:val="14"/>
              </w:rPr>
              <w:t>t(15;17) before +8</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n/a</w:t>
            </w:r>
          </w:p>
        </w:tc>
        <w:tc>
          <w:tcPr>
            <w:tcW w:type="dxa" w:w="860"/>
          </w:tcPr>
          <w:p>
            <w:pPr>
              <w:ind w:firstLine="0"/>
              <w:jc w:val="left"/>
            </w:pPr>
            <w:r/>
            <w:r>
              <w:rPr>
                <w:b w:val="0"/>
                <w:i w:val="0"/>
                <w:sz w:val="14"/>
              </w:rPr>
              <w:t>n/a</w:t>
            </w:r>
          </w:p>
        </w:tc>
        <w:tc>
          <w:tcPr>
            <w:tcW w:type="dxa" w:w="1474"/>
          </w:tcPr>
          <w:p>
            <w:pPr>
              <w:ind w:firstLine="0"/>
              <w:jc w:val="left"/>
            </w:pPr>
            <w:r/>
            <w:r>
              <w:rPr>
                <w:b w:val="0"/>
                <w:i w:val="0"/>
                <w:sz w:val="14"/>
              </w:rPr>
              <w:t>59:5</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MDS</w:t>
            </w:r>
          </w:p>
        </w:tc>
        <w:tc>
          <w:tcPr>
            <w:tcW w:type="dxa" w:w="3685"/>
          </w:tcPr>
          <w:p>
            <w:pPr>
              <w:ind w:firstLine="0"/>
              <w:jc w:val="left"/>
            </w:pPr>
            <w:r/>
            <w:r>
              <w:rPr>
                <w:b w:val="0"/>
                <w:i w:val="0"/>
                <w:sz w:val="14"/>
              </w:rPr>
              <w:t>5q loss + 17p loss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MDS</w:t>
            </w:r>
          </w:p>
        </w:tc>
        <w:tc>
          <w:tcPr>
            <w:tcW w:type="dxa" w:w="3685"/>
          </w:tcPr>
          <w:p>
            <w:pPr>
              <w:ind w:firstLine="0"/>
              <w:jc w:val="left"/>
            </w:pPr>
            <w:r/>
            <w:r>
              <w:rPr>
                <w:b w:val="0"/>
                <w:i w:val="0"/>
                <w:sz w:val="14"/>
              </w:rPr>
              <w:t>5q loss + -7 co-occur</w:t>
            </w:r>
          </w:p>
        </w:tc>
        <w:tc>
          <w:tcPr>
            <w:tcW w:type="dxa" w:w="1351"/>
          </w:tcPr>
          <w:p>
            <w:pPr>
              <w:ind w:firstLine="0"/>
              <w:jc w:val="left"/>
            </w:pPr>
            <w:r/>
            <w:r>
              <w:rPr>
                <w:b w:val="0"/>
                <w:i w:val="0"/>
                <w:sz w:val="14"/>
              </w:rPr>
              <w:t>no</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MDS</w:t>
            </w:r>
          </w:p>
        </w:tc>
        <w:tc>
          <w:tcPr>
            <w:tcW w:type="dxa" w:w="3685"/>
          </w:tcPr>
          <w:p>
            <w:pPr>
              <w:ind w:firstLine="0"/>
              <w:jc w:val="left"/>
            </w:pPr>
            <w:r/>
            <w:r>
              <w:rPr>
                <w:b w:val="0"/>
                <w:i w:val="0"/>
                <w:sz w:val="14"/>
              </w:rPr>
              <w:t>5q loss before 17p loss</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yes</w:t>
            </w:r>
          </w:p>
        </w:tc>
        <w:tc>
          <w:tcPr>
            <w:tcW w:type="dxa" w:w="1474"/>
          </w:tcPr>
          <w:p>
            <w:pPr>
              <w:ind w:firstLine="0"/>
              <w:jc w:val="left"/>
            </w:pPr>
            <w:r/>
            <w:r>
              <w:rPr>
                <w:b w:val="0"/>
                <w:i w:val="0"/>
                <w:sz w:val="14"/>
              </w:rPr>
              <w:t>23:3</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CML</w:t>
            </w:r>
          </w:p>
        </w:tc>
        <w:tc>
          <w:tcPr>
            <w:tcW w:type="dxa" w:w="3685"/>
          </w:tcPr>
          <w:p>
            <w:pPr>
              <w:ind w:firstLine="0"/>
              <w:jc w:val="left"/>
            </w:pPr>
            <w:r/>
            <w:r>
              <w:rPr>
                <w:b w:val="0"/>
                <w:i w:val="0"/>
                <w:sz w:val="14"/>
              </w:rPr>
              <w:t>t(9;22) before extra Ph</w:t>
            </w:r>
          </w:p>
        </w:tc>
        <w:tc>
          <w:tcPr>
            <w:tcW w:type="dxa" w:w="1351"/>
          </w:tcPr>
          <w:p>
            <w:pPr>
              <w:ind w:firstLine="0"/>
              <w:jc w:val="left"/>
            </w:pPr>
            <w:r/>
            <w:r>
              <w:rPr>
                <w:b w:val="0"/>
                <w:i w:val="0"/>
                <w:sz w:val="14"/>
              </w:rPr>
              <w:t>-</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1474"/>
          </w:tcPr>
          <w:p>
            <w:pPr>
              <w:ind w:firstLine="0"/>
              <w:jc w:val="left"/>
            </w:pPr>
            <w:r/>
            <w:r>
              <w:rPr>
                <w:b w:val="0"/>
                <w:i w:val="0"/>
                <w:sz w:val="14"/>
              </w:rPr>
              <w:t>85:0</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CML</w:t>
            </w:r>
          </w:p>
        </w:tc>
        <w:tc>
          <w:tcPr>
            <w:tcW w:type="dxa" w:w="3685"/>
          </w:tcPr>
          <w:p>
            <w:pPr>
              <w:ind w:firstLine="0"/>
              <w:jc w:val="left"/>
            </w:pPr>
            <w:r/>
            <w:r>
              <w:rPr>
                <w:b w:val="0"/>
                <w:i w:val="0"/>
                <w:sz w:val="14"/>
              </w:rPr>
              <w:t>t(9;22) before +8</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no</w:t>
            </w:r>
          </w:p>
        </w:tc>
        <w:tc>
          <w:tcPr>
            <w:tcW w:type="dxa" w:w="1474"/>
          </w:tcPr>
          <w:p>
            <w:pPr>
              <w:ind w:firstLine="0"/>
              <w:jc w:val="left"/>
            </w:pPr>
            <w:r/>
            <w:r>
              <w:rPr>
                <w:b w:val="0"/>
                <w:i w:val="0"/>
                <w:sz w:val="14"/>
              </w:rPr>
              <w:t>121:10</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CML</w:t>
            </w:r>
          </w:p>
        </w:tc>
        <w:tc>
          <w:tcPr>
            <w:tcW w:type="dxa" w:w="3685"/>
          </w:tcPr>
          <w:p>
            <w:pPr>
              <w:ind w:firstLine="0"/>
              <w:jc w:val="left"/>
            </w:pPr>
            <w:r/>
            <w:r>
              <w:rPr>
                <w:b w:val="0"/>
                <w:i w:val="0"/>
                <w:sz w:val="14"/>
              </w:rPr>
              <w:t>t(9;22) before i(17q)</w:t>
            </w:r>
          </w:p>
        </w:tc>
        <w:tc>
          <w:tcPr>
            <w:tcW w:type="dxa" w:w="1351"/>
          </w:tcPr>
          <w:p>
            <w:pPr>
              <w:ind w:firstLine="0"/>
              <w:jc w:val="left"/>
            </w:pPr>
            <w:r/>
            <w:r>
              <w:rPr>
                <w:b w:val="0"/>
                <w:i w:val="0"/>
                <w:sz w:val="14"/>
              </w:rPr>
              <w:t>-</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1474"/>
          </w:tcPr>
          <w:p>
            <w:pPr>
              <w:ind w:firstLine="0"/>
              <w:jc w:val="left"/>
            </w:pPr>
            <w:r/>
            <w:r>
              <w:rPr>
                <w:b w:val="0"/>
                <w:i w:val="0"/>
                <w:sz w:val="14"/>
              </w:rPr>
              <w:t>15:1</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CML</w:t>
            </w:r>
          </w:p>
        </w:tc>
        <w:tc>
          <w:tcPr>
            <w:tcW w:type="dxa" w:w="3685"/>
          </w:tcPr>
          <w:p>
            <w:pPr>
              <w:ind w:firstLine="0"/>
              <w:jc w:val="left"/>
            </w:pPr>
            <w:r/>
            <w:r>
              <w:rPr>
                <w:b w:val="0"/>
                <w:i w:val="0"/>
                <w:sz w:val="14"/>
              </w:rPr>
              <w:t>t(9;22) before +19</w:t>
            </w:r>
          </w:p>
        </w:tc>
        <w:tc>
          <w:tcPr>
            <w:tcW w:type="dxa" w:w="1351"/>
          </w:tcPr>
          <w:p>
            <w:pPr>
              <w:ind w:firstLine="0"/>
              <w:jc w:val="left"/>
            </w:pPr>
            <w:r/>
            <w:r>
              <w:rPr>
                <w:b w:val="0"/>
                <w:i w:val="0"/>
                <w:sz w:val="14"/>
              </w:rPr>
              <w:t>-</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1474"/>
          </w:tcPr>
          <w:p>
            <w:pPr>
              <w:ind w:firstLine="0"/>
              <w:jc w:val="left"/>
            </w:pPr>
            <w:r/>
            <w:r>
              <w:rPr>
                <w:b w:val="0"/>
                <w:i w:val="0"/>
                <w:sz w:val="14"/>
              </w:rPr>
              <w:t>54:0</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CML</w:t>
            </w:r>
          </w:p>
        </w:tc>
        <w:tc>
          <w:tcPr>
            <w:tcW w:type="dxa" w:w="3685"/>
          </w:tcPr>
          <w:p>
            <w:pPr>
              <w:ind w:firstLine="0"/>
              <w:jc w:val="left"/>
            </w:pPr>
            <w:r/>
            <w:r>
              <w:rPr>
                <w:b w:val="0"/>
                <w:i w:val="0"/>
                <w:sz w:val="14"/>
              </w:rPr>
              <w:t>+8 + extra Ph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t(9;22) / KMT2A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t(9;22) / t(1;19)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KMT2A / t(1;19)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KMT2A / +21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+4 + +10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t(9;22) before -7</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n/a</w:t>
            </w:r>
          </w:p>
        </w:tc>
        <w:tc>
          <w:tcPr>
            <w:tcW w:type="dxa" w:w="1474"/>
          </w:tcPr>
          <w:p>
            <w:pPr>
              <w:ind w:firstLine="0"/>
              <w:jc w:val="left"/>
            </w:pPr>
            <w:r/>
            <w:r>
              <w:rPr>
                <w:b w:val="0"/>
                <w:i w:val="0"/>
                <w:sz w:val="14"/>
              </w:rPr>
              <w:t>26:1</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ALL</w:t>
            </w:r>
          </w:p>
        </w:tc>
        <w:tc>
          <w:tcPr>
            <w:tcW w:type="dxa" w:w="3685"/>
          </w:tcPr>
          <w:p>
            <w:pPr>
              <w:ind w:firstLine="0"/>
              <w:jc w:val="left"/>
            </w:pPr>
            <w:r/>
            <w:r>
              <w:rPr>
                <w:b w:val="0"/>
                <w:i w:val="0"/>
                <w:sz w:val="14"/>
              </w:rPr>
              <w:t>t(9;22) before 9p loss</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no</w:t>
            </w:r>
          </w:p>
        </w:tc>
        <w:tc>
          <w:tcPr>
            <w:tcW w:type="dxa" w:w="1474"/>
          </w:tcPr>
          <w:p>
            <w:pPr>
              <w:ind w:firstLine="0"/>
              <w:jc w:val="left"/>
            </w:pPr>
            <w:r/>
            <w:r>
              <w:rPr>
                <w:b w:val="0"/>
                <w:i w:val="0"/>
                <w:sz w:val="14"/>
              </w:rPr>
              <w:t>31:1</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CLL</w:t>
            </w:r>
          </w:p>
        </w:tc>
        <w:tc>
          <w:tcPr>
            <w:tcW w:type="dxa" w:w="3685"/>
          </w:tcPr>
          <w:p>
            <w:pPr>
              <w:ind w:firstLine="0"/>
              <w:jc w:val="left"/>
            </w:pPr>
            <w:r/>
            <w:r>
              <w:rPr>
                <w:b w:val="0"/>
                <w:i w:val="0"/>
                <w:sz w:val="14"/>
              </w:rPr>
              <w:t>+12 / 13q loss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CLL</w:t>
            </w:r>
          </w:p>
        </w:tc>
        <w:tc>
          <w:tcPr>
            <w:tcW w:type="dxa" w:w="3685"/>
          </w:tcPr>
          <w:p>
            <w:pPr>
              <w:ind w:firstLine="0"/>
              <w:jc w:val="left"/>
            </w:pPr>
            <w:r/>
            <w:r>
              <w:rPr>
                <w:b w:val="0"/>
                <w:i w:val="0"/>
                <w:sz w:val="14"/>
              </w:rPr>
              <w:t>13q loss before 17p loss</w:t>
            </w:r>
          </w:p>
        </w:tc>
        <w:tc>
          <w:tcPr>
            <w:tcW w:type="dxa" w:w="1351"/>
          </w:tcPr>
          <w:p>
            <w:pPr>
              <w:ind w:firstLine="0"/>
              <w:jc w:val="left"/>
            </w:pPr>
            <w:r/>
            <w:r>
              <w:rPr>
                <w:b w:val="0"/>
                <w:i w:val="0"/>
                <w:sz w:val="14"/>
              </w:rPr>
              <w:t>-</w:t>
            </w:r>
          </w:p>
        </w:tc>
        <w:tc>
          <w:tcPr>
            <w:tcW w:type="dxa" w:w="860"/>
          </w:tcPr>
          <w:p>
            <w:pPr>
              <w:ind w:firstLine="0"/>
              <w:jc w:val="left"/>
            </w:pPr>
            <w:r/>
            <w:r>
              <w:rPr>
                <w:b w:val="0"/>
                <w:i w:val="0"/>
                <w:sz w:val="14"/>
              </w:rPr>
              <w:t>no</w:t>
            </w:r>
          </w:p>
        </w:tc>
        <w:tc>
          <w:tcPr>
            <w:tcW w:type="dxa" w:w="860"/>
          </w:tcPr>
          <w:p>
            <w:pPr>
              <w:ind w:firstLine="0"/>
              <w:jc w:val="left"/>
            </w:pPr>
            <w:r/>
            <w:r>
              <w:rPr>
                <w:b w:val="0"/>
                <w:i w:val="0"/>
                <w:sz w:val="14"/>
              </w:rPr>
              <w:t>yes</w:t>
            </w:r>
          </w:p>
        </w:tc>
        <w:tc>
          <w:tcPr>
            <w:tcW w:type="dxa" w:w="1474"/>
          </w:tcPr>
          <w:p>
            <w:pPr>
              <w:ind w:firstLine="0"/>
              <w:jc w:val="left"/>
            </w:pPr>
            <w:r/>
            <w:r>
              <w:rPr>
                <w:b w:val="0"/>
                <w:i w:val="0"/>
                <w:sz w:val="14"/>
              </w:rPr>
              <w:t>7:6</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CLL</w:t>
            </w:r>
          </w:p>
        </w:tc>
        <w:tc>
          <w:tcPr>
            <w:tcW w:type="dxa" w:w="3685"/>
          </w:tcPr>
          <w:p>
            <w:pPr>
              <w:ind w:firstLine="0"/>
              <w:jc w:val="left"/>
            </w:pPr>
            <w:r/>
            <w:r>
              <w:rPr>
                <w:b w:val="0"/>
                <w:i w:val="0"/>
                <w:sz w:val="14"/>
              </w:rPr>
              <w:t>+12 before 17p loss</w:t>
            </w:r>
          </w:p>
        </w:tc>
        <w:tc>
          <w:tcPr>
            <w:tcW w:type="dxa" w:w="1351"/>
          </w:tcPr>
          <w:p>
            <w:pPr>
              <w:ind w:firstLine="0"/>
              <w:jc w:val="left"/>
            </w:pPr>
            <w:r/>
            <w:r>
              <w:rPr>
                <w:b w:val="0"/>
                <w:i w:val="0"/>
                <w:sz w:val="14"/>
              </w:rPr>
              <w:t>-</w:t>
            </w:r>
          </w:p>
        </w:tc>
        <w:tc>
          <w:tcPr>
            <w:tcW w:type="dxa" w:w="860"/>
          </w:tcPr>
          <w:p>
            <w:pPr>
              <w:ind w:firstLine="0"/>
              <w:jc w:val="left"/>
            </w:pPr>
            <w:r/>
            <w:r>
              <w:rPr>
                <w:b w:val="0"/>
                <w:i w:val="0"/>
                <w:sz w:val="14"/>
              </w:rPr>
              <w:t>yes</w:t>
            </w:r>
          </w:p>
        </w:tc>
        <w:tc>
          <w:tcPr>
            <w:tcW w:type="dxa" w:w="860"/>
          </w:tcPr>
          <w:p>
            <w:pPr>
              <w:ind w:firstLine="0"/>
              <w:jc w:val="left"/>
            </w:pPr>
            <w:r/>
            <w:r>
              <w:rPr>
                <w:b w:val="0"/>
                <w:i w:val="0"/>
                <w:sz w:val="14"/>
              </w:rPr>
              <w:t>no</w:t>
            </w:r>
          </w:p>
        </w:tc>
        <w:tc>
          <w:tcPr>
            <w:tcW w:type="dxa" w:w="1474"/>
          </w:tcPr>
          <w:p>
            <w:pPr>
              <w:ind w:firstLine="0"/>
              <w:jc w:val="left"/>
            </w:pPr>
            <w:r/>
            <w:r>
              <w:rPr>
                <w:b w:val="0"/>
                <w:i w:val="0"/>
                <w:sz w:val="14"/>
              </w:rPr>
              <w:t>10:1</w:t>
            </w:r>
          </w:p>
        </w:tc>
        <w:tc>
          <w:tcPr>
            <w:tcW w:type="dxa" w:w="983"/>
          </w:tcPr>
          <w:p>
            <w:pPr>
              <w:ind w:firstLine="0"/>
              <w:jc w:val="left"/>
            </w:pPr>
            <w:r/>
            <w:r>
              <w:rPr>
                <w:b w:val="0"/>
                <w:i w:val="0"/>
                <w:sz w:val="14"/>
              </w:rPr>
              <w:t>yes</w:t>
            </w:r>
          </w:p>
        </w:tc>
      </w:tr>
      <w:tr>
        <w:tc>
          <w:tcPr>
            <w:tcW w:type="dxa" w:w="1228"/>
          </w:tcPr>
          <w:p>
            <w:pPr>
              <w:ind w:firstLine="0"/>
              <w:jc w:val="left"/>
            </w:pPr>
            <w:r/>
            <w:r>
              <w:rPr>
                <w:b w:val="0"/>
                <w:i w:val="0"/>
                <w:sz w:val="14"/>
              </w:rPr>
              <w:t>MM</w:t>
            </w:r>
          </w:p>
        </w:tc>
        <w:tc>
          <w:tcPr>
            <w:tcW w:type="dxa" w:w="3685"/>
          </w:tcPr>
          <w:p>
            <w:pPr>
              <w:ind w:firstLine="0"/>
              <w:jc w:val="left"/>
            </w:pPr>
            <w:r/>
            <w:r>
              <w:rPr>
                <w:b w:val="0"/>
                <w:i w:val="0"/>
                <w:sz w:val="14"/>
              </w:rPr>
              <w:t>+9 + +15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n/a</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MM</w:t>
            </w:r>
          </w:p>
        </w:tc>
        <w:tc>
          <w:tcPr>
            <w:tcW w:type="dxa" w:w="3685"/>
          </w:tcPr>
          <w:p>
            <w:pPr>
              <w:ind w:firstLine="0"/>
              <w:jc w:val="left"/>
            </w:pPr>
            <w:r/>
            <w:r>
              <w:rPr>
                <w:b w:val="0"/>
                <w:i w:val="0"/>
                <w:sz w:val="14"/>
              </w:rPr>
              <w:t>+3 + +5 co-occur</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n/a</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MM</w:t>
            </w:r>
          </w:p>
        </w:tc>
        <w:tc>
          <w:tcPr>
            <w:tcW w:type="dxa" w:w="3685"/>
          </w:tcPr>
          <w:p>
            <w:pPr>
              <w:ind w:firstLine="0"/>
              <w:jc w:val="left"/>
            </w:pPr>
            <w:r/>
            <w:r>
              <w:rPr>
                <w:b w:val="0"/>
                <w:i w:val="0"/>
                <w:sz w:val="14"/>
              </w:rPr>
              <w:t>t(11;14) / +9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n/a</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r>
        <w:tc>
          <w:tcPr>
            <w:tcW w:type="dxa" w:w="1228"/>
          </w:tcPr>
          <w:p>
            <w:pPr>
              <w:ind w:firstLine="0"/>
              <w:jc w:val="left"/>
            </w:pPr>
            <w:r/>
            <w:r>
              <w:rPr>
                <w:b w:val="0"/>
                <w:i w:val="0"/>
                <w:sz w:val="14"/>
              </w:rPr>
              <w:t>MM</w:t>
            </w:r>
          </w:p>
        </w:tc>
        <w:tc>
          <w:tcPr>
            <w:tcW w:type="dxa" w:w="3685"/>
          </w:tcPr>
          <w:p>
            <w:pPr>
              <w:ind w:firstLine="0"/>
              <w:jc w:val="left"/>
            </w:pPr>
            <w:r/>
            <w:r>
              <w:rPr>
                <w:b w:val="0"/>
                <w:i w:val="0"/>
                <w:sz w:val="14"/>
              </w:rPr>
              <w:t>t(11;14) / +15 exclusive</w:t>
            </w:r>
          </w:p>
        </w:tc>
        <w:tc>
          <w:tcPr>
            <w:tcW w:type="dxa" w:w="1351"/>
          </w:tcPr>
          <w:p>
            <w:pPr>
              <w:ind w:firstLine="0"/>
              <w:jc w:val="left"/>
            </w:pPr>
            <w:r/>
            <w:r>
              <w:rPr>
                <w:b w:val="0"/>
                <w:i w:val="0"/>
                <w:sz w:val="14"/>
              </w:rPr>
              <w:t>yes</w:t>
            </w:r>
          </w:p>
        </w:tc>
        <w:tc>
          <w:tcPr>
            <w:tcW w:type="dxa" w:w="860"/>
          </w:tcPr>
          <w:p>
            <w:pPr>
              <w:ind w:firstLine="0"/>
              <w:jc w:val="left"/>
            </w:pPr>
            <w:r/>
            <w:r>
              <w:rPr>
                <w:b w:val="0"/>
                <w:i w:val="0"/>
                <w:sz w:val="14"/>
              </w:rPr>
              <w:t>n/a</w:t>
            </w:r>
          </w:p>
        </w:tc>
        <w:tc>
          <w:tcPr>
            <w:tcW w:type="dxa" w:w="860"/>
          </w:tcPr>
          <w:p>
            <w:pPr>
              <w:ind w:firstLine="0"/>
              <w:jc w:val="left"/>
            </w:pPr>
            <w:r/>
            <w:r>
              <w:rPr>
                <w:b w:val="0"/>
                <w:i w:val="0"/>
                <w:sz w:val="14"/>
              </w:rPr>
              <w:t>-</w:t>
            </w:r>
          </w:p>
        </w:tc>
        <w:tc>
          <w:tcPr>
            <w:tcW w:type="dxa" w:w="1474"/>
          </w:tcPr>
          <w:p>
            <w:pPr>
              <w:ind w:firstLine="0"/>
              <w:jc w:val="left"/>
            </w:pPr>
            <w:r/>
            <w:r>
              <w:rPr>
                <w:b w:val="0"/>
                <w:i w:val="0"/>
                <w:sz w:val="14"/>
              </w:rPr>
              <w:t>-</w:t>
            </w:r>
          </w:p>
        </w:tc>
        <w:tc>
          <w:tcPr>
            <w:tcW w:type="dxa" w:w="983"/>
          </w:tcPr>
          <w:p>
            <w:pPr>
              <w:ind w:firstLine="0"/>
              <w:jc w:val="left"/>
            </w:pPr>
            <w:r/>
            <w:r>
              <w:rPr>
                <w:b w:val="0"/>
                <w:i w:val="0"/>
                <w:sz w:val="14"/>
              </w:rPr>
              <w:t>-</w:t>
            </w:r>
          </w:p>
        </w:tc>
      </w:tr>
    </w:tbl>
    <w:p>
      <w:pPr>
        <w:spacing w:after="80"/>
        <w:ind w:firstLine="0"/>
        <w:jc w:val="both"/>
      </w:pPr>
    </w:p>
    <w:p>
      <w:pPr>
        <w:sectPr>
          <w:type w:val="continuous"/>
          <w:pgSz w:w="12240" w:h="15840"/>
          <w:pgMar w:top="1080" w:right="900" w:bottom="1440" w:left="900" w:header="720" w:footer="720" w:gutter="0"/>
          <w:cols w:space="360" w:num="1"/>
          <w:docGrid w:linePitch="360"/>
        </w:sectPr>
      </w:pPr>
    </w:p>
    <w:p>
      <w:pPr>
        <w:spacing w:after="0"/>
        <w:jc w:val="both"/>
      </w:pPr>
      <w:r>
        <w:rPr>
          <w:b w:val="0"/>
          <w:i w:val="0"/>
        </w:rPr>
        <w:t>The decisive check is the comparison with clone orders, which the cross-sectional models never see (Table VIII). The MHN's order probabilities agreed in direction with the clone pairs in AML 0.47, MDS 0.24, CML 0.75, ALL 0.45, CLL 0.67: clearly above chance only in CML (CLL rests on six pairs). The CBN's implied orders agreed in 22 of 23 testable cases. The MHN's errors follow one pattern (Fig. 2d): it places first the events with high base rates that are often seen alone. Trisomy 8 is the only model event in 43% of AML cases that carry it and -7 in 34%, so the MHN puts +8 and -7 before 5q loss, KMT2A and inv(16), the reverse of what the clone trees show in the same patients. In CML, where t(9;22) is both the most common event and the founder, the two signals coincide.</w:t>
      </w:r>
    </w:p>
    <w:p>
      <w:pPr>
        <w:sectPr>
          <w:type w:val="continuous"/>
          <w:pgSz w:w="12240" w:h="15840"/>
          <w:pgMar w:top="1080" w:right="900" w:bottom="1440" w:left="900" w:header="720" w:footer="720" w:gutter="0"/>
          <w:cols w:space="360" w:num="2"/>
          <w:docGrid w:linePitch="360"/>
        </w:sectPr>
      </w:pPr>
    </w:p>
    <w:p>
      <w:pPr>
        <w:spacing w:after="0" w:before="120"/>
        <w:ind w:firstLine="0"/>
        <w:jc w:val="center"/>
      </w:pPr>
      <w:r>
        <w:rPr>
          <w:b w:val="0"/>
          <w:i w:val="0"/>
          <w:sz w:val="16"/>
        </w:rPr>
        <w:t>TABLE VIII</w:t>
      </w:r>
    </w:p>
    <w:p>
      <w:pPr>
        <w:spacing w:after="40"/>
        <w:ind w:firstLine="0"/>
        <w:jc w:val="center"/>
      </w:pPr>
      <w:r>
        <w:rPr>
          <w:b w:val="0"/>
          <w:i w:val="0"/>
          <w:sz w:val="16"/>
        </w:rPr>
        <w:t>Out-of-sample check against the clone trees. Left: MHN order probabilities against the direction of event pairs seen in ≥ 10 parent-to-child clone pairs (share agreeing, unweighted and weighted by pairs), and CBN implied orders against the same pairs. Right: agreement with the Bradley-Terry clone timing on event pairs whose timing order is bootstrap-stable (number of pairs in brackets).</w:t>
      </w:r>
    </w:p>
    <w:tbl>
      <w:tblPr>
        <w:tblStyle w:val="TableGrid"/>
        <w:tblW w:type="dxa" w:w="10440"/>
        <w:tblLayout w:type="fixed"/>
        <w:tblLook w:firstColumn="1" w:firstRow="1" w:lastColumn="0" w:lastRow="0" w:noHBand="0" w:noVBand="1" w:val="04A0"/>
        <w:tblLayout w:type="fixed"/>
      </w:tblPr>
      <w:tblGrid>
        <w:gridCol w:w="1558"/>
        <w:gridCol w:w="1246"/>
        <w:gridCol w:w="1090"/>
        <w:gridCol w:w="1558"/>
        <w:gridCol w:w="1090"/>
        <w:gridCol w:w="2025"/>
        <w:gridCol w:w="1869"/>
      </w:tblGrid>
      <w:tr>
        <w:tc>
          <w:tcPr>
            <w:tcW w:type="dxa" w:w="1558"/>
          </w:tcPr>
          <w:p>
            <w:pPr>
              <w:ind w:firstLine="0"/>
              <w:jc w:val="left"/>
            </w:pPr>
            <w:r/>
            <w:r>
              <w:rPr>
                <w:b/>
                <w:i w:val="0"/>
                <w:sz w:val="14"/>
              </w:rPr>
              <w:t>Disease</w:t>
            </w:r>
          </w:p>
        </w:tc>
        <w:tc>
          <w:tcPr>
            <w:tcW w:type="dxa" w:w="1247"/>
          </w:tcPr>
          <w:p>
            <w:pPr>
              <w:ind w:firstLine="0"/>
              <w:jc w:val="left"/>
            </w:pPr>
            <w:r/>
            <w:r>
              <w:rPr>
                <w:b/>
                <w:i w:val="0"/>
                <w:sz w:val="14"/>
              </w:rPr>
              <w:t>Pairs</w:t>
            </w:r>
          </w:p>
        </w:tc>
        <w:tc>
          <w:tcPr>
            <w:tcW w:type="dxa" w:w="1091"/>
          </w:tcPr>
          <w:p>
            <w:pPr>
              <w:ind w:firstLine="0"/>
              <w:jc w:val="left"/>
            </w:pPr>
            <w:r/>
            <w:r>
              <w:rPr>
                <w:b/>
                <w:i w:val="0"/>
                <w:sz w:val="14"/>
              </w:rPr>
              <w:t>MHN</w:t>
            </w:r>
          </w:p>
        </w:tc>
        <w:tc>
          <w:tcPr>
            <w:tcW w:type="dxa" w:w="1558"/>
          </w:tcPr>
          <w:p>
            <w:pPr>
              <w:ind w:firstLine="0"/>
              <w:jc w:val="left"/>
            </w:pPr>
            <w:r/>
            <w:r>
              <w:rPr>
                <w:b/>
                <w:i w:val="0"/>
                <w:sz w:val="14"/>
              </w:rPr>
              <w:t>MHN wt.</w:t>
            </w:r>
          </w:p>
        </w:tc>
        <w:tc>
          <w:tcPr>
            <w:tcW w:type="dxa" w:w="1091"/>
          </w:tcPr>
          <w:p>
            <w:pPr>
              <w:ind w:firstLine="0"/>
              <w:jc w:val="left"/>
            </w:pPr>
            <w:r/>
            <w:r>
              <w:rPr>
                <w:b/>
                <w:i w:val="0"/>
                <w:sz w:val="14"/>
              </w:rPr>
              <w:t>CBN</w:t>
            </w:r>
          </w:p>
        </w:tc>
        <w:tc>
          <w:tcPr>
            <w:tcW w:type="dxa" w:w="2026"/>
          </w:tcPr>
          <w:p>
            <w:pPr>
              <w:ind w:firstLine="0"/>
              <w:jc w:val="left"/>
            </w:pPr>
            <w:r/>
            <w:r>
              <w:rPr>
                <w:b/>
                <w:i w:val="0"/>
                <w:sz w:val="14"/>
              </w:rPr>
              <w:t>MHN vs BT</w:t>
            </w:r>
          </w:p>
        </w:tc>
        <w:tc>
          <w:tcPr>
            <w:tcW w:type="dxa" w:w="1870"/>
          </w:tcPr>
          <w:p>
            <w:pPr>
              <w:ind w:firstLine="0"/>
              <w:jc w:val="left"/>
            </w:pPr>
            <w:r/>
            <w:r>
              <w:rPr>
                <w:b/>
                <w:i w:val="0"/>
                <w:sz w:val="14"/>
              </w:rPr>
              <w:t>CBN vs BT</w:t>
            </w:r>
          </w:p>
        </w:tc>
      </w:tr>
      <w:tr>
        <w:tc>
          <w:tcPr>
            <w:tcW w:type="dxa" w:w="1558"/>
          </w:tcPr>
          <w:p>
            <w:pPr>
              <w:ind w:firstLine="0"/>
              <w:jc w:val="left"/>
            </w:pPr>
            <w:r/>
            <w:r>
              <w:rPr>
                <w:b w:val="0"/>
                <w:i w:val="0"/>
                <w:sz w:val="14"/>
              </w:rPr>
              <w:t>AML</w:t>
            </w:r>
          </w:p>
        </w:tc>
        <w:tc>
          <w:tcPr>
            <w:tcW w:type="dxa" w:w="1247"/>
          </w:tcPr>
          <w:p>
            <w:pPr>
              <w:ind w:firstLine="0"/>
              <w:jc w:val="left"/>
            </w:pPr>
            <w:r/>
            <w:r>
              <w:rPr>
                <w:b w:val="0"/>
                <w:i w:val="0"/>
                <w:sz w:val="14"/>
              </w:rPr>
              <w:t>78</w:t>
            </w:r>
          </w:p>
        </w:tc>
        <w:tc>
          <w:tcPr>
            <w:tcW w:type="dxa" w:w="1091"/>
          </w:tcPr>
          <w:p>
            <w:pPr>
              <w:ind w:firstLine="0"/>
              <w:jc w:val="left"/>
            </w:pPr>
            <w:r/>
            <w:r>
              <w:rPr>
                <w:b w:val="0"/>
                <w:i w:val="0"/>
                <w:sz w:val="14"/>
              </w:rPr>
              <w:t>0.47</w:t>
            </w:r>
          </w:p>
        </w:tc>
        <w:tc>
          <w:tcPr>
            <w:tcW w:type="dxa" w:w="1558"/>
          </w:tcPr>
          <w:p>
            <w:pPr>
              <w:ind w:firstLine="0"/>
              <w:jc w:val="left"/>
            </w:pPr>
            <w:r/>
            <w:r>
              <w:rPr>
                <w:b w:val="0"/>
                <w:i w:val="0"/>
                <w:sz w:val="14"/>
              </w:rPr>
              <w:t>0.48</w:t>
            </w:r>
          </w:p>
        </w:tc>
        <w:tc>
          <w:tcPr>
            <w:tcW w:type="dxa" w:w="1091"/>
          </w:tcPr>
          <w:p>
            <w:pPr>
              <w:ind w:firstLine="0"/>
              <w:jc w:val="left"/>
            </w:pPr>
            <w:r/>
            <w:r>
              <w:rPr>
                <w:b w:val="0"/>
                <w:i w:val="0"/>
                <w:sz w:val="14"/>
              </w:rPr>
              <w:t>5/5</w:t>
            </w:r>
          </w:p>
        </w:tc>
        <w:tc>
          <w:tcPr>
            <w:tcW w:type="dxa" w:w="2026"/>
          </w:tcPr>
          <w:p>
            <w:pPr>
              <w:ind w:firstLine="0"/>
              <w:jc w:val="left"/>
            </w:pPr>
            <w:r/>
            <w:r>
              <w:rPr>
                <w:b w:val="0"/>
                <w:i w:val="0"/>
                <w:sz w:val="14"/>
              </w:rPr>
              <w:t>0.59 (148)</w:t>
            </w:r>
          </w:p>
        </w:tc>
        <w:tc>
          <w:tcPr>
            <w:tcW w:type="dxa" w:w="1870"/>
          </w:tcPr>
          <w:p>
            <w:pPr>
              <w:ind w:firstLine="0"/>
              <w:jc w:val="left"/>
            </w:pPr>
            <w:r/>
            <w:r>
              <w:rPr>
                <w:b w:val="0"/>
                <w:i w:val="0"/>
                <w:sz w:val="14"/>
              </w:rPr>
              <w:t>5/5</w:t>
            </w:r>
          </w:p>
        </w:tc>
      </w:tr>
      <w:tr>
        <w:tc>
          <w:tcPr>
            <w:tcW w:type="dxa" w:w="1558"/>
          </w:tcPr>
          <w:p>
            <w:pPr>
              <w:ind w:firstLine="0"/>
              <w:jc w:val="left"/>
            </w:pPr>
            <w:r/>
            <w:r>
              <w:rPr>
                <w:b w:val="0"/>
                <w:i w:val="0"/>
                <w:sz w:val="14"/>
              </w:rPr>
              <w:t>MDS</w:t>
            </w:r>
          </w:p>
        </w:tc>
        <w:tc>
          <w:tcPr>
            <w:tcW w:type="dxa" w:w="1247"/>
          </w:tcPr>
          <w:p>
            <w:pPr>
              <w:ind w:firstLine="0"/>
              <w:jc w:val="left"/>
            </w:pPr>
            <w:r/>
            <w:r>
              <w:rPr>
                <w:b w:val="0"/>
                <w:i w:val="0"/>
                <w:sz w:val="14"/>
              </w:rPr>
              <w:t>25</w:t>
            </w:r>
          </w:p>
        </w:tc>
        <w:tc>
          <w:tcPr>
            <w:tcW w:type="dxa" w:w="1091"/>
          </w:tcPr>
          <w:p>
            <w:pPr>
              <w:ind w:firstLine="0"/>
              <w:jc w:val="left"/>
            </w:pPr>
            <w:r/>
            <w:r>
              <w:rPr>
                <w:b w:val="0"/>
                <w:i w:val="0"/>
                <w:sz w:val="14"/>
              </w:rPr>
              <w:t>0.24</w:t>
            </w:r>
          </w:p>
        </w:tc>
        <w:tc>
          <w:tcPr>
            <w:tcW w:type="dxa" w:w="1558"/>
          </w:tcPr>
          <w:p>
            <w:pPr>
              <w:ind w:firstLine="0"/>
              <w:jc w:val="left"/>
            </w:pPr>
            <w:r/>
            <w:r>
              <w:rPr>
                <w:b w:val="0"/>
                <w:i w:val="0"/>
                <w:sz w:val="14"/>
              </w:rPr>
              <w:t>0.16</w:t>
            </w:r>
          </w:p>
        </w:tc>
        <w:tc>
          <w:tcPr>
            <w:tcW w:type="dxa" w:w="1091"/>
          </w:tcPr>
          <w:p>
            <w:pPr>
              <w:ind w:firstLine="0"/>
              <w:jc w:val="left"/>
            </w:pPr>
            <w:r/>
            <w:r>
              <w:rPr>
                <w:b w:val="0"/>
                <w:i w:val="0"/>
                <w:sz w:val="14"/>
              </w:rPr>
              <w:t>3/3</w:t>
            </w:r>
          </w:p>
        </w:tc>
        <w:tc>
          <w:tcPr>
            <w:tcW w:type="dxa" w:w="2026"/>
          </w:tcPr>
          <w:p>
            <w:pPr>
              <w:ind w:firstLine="0"/>
              <w:jc w:val="left"/>
            </w:pPr>
            <w:r/>
            <w:r>
              <w:rPr>
                <w:b w:val="0"/>
                <w:i w:val="0"/>
                <w:sz w:val="14"/>
              </w:rPr>
              <w:t>0.46 (54)</w:t>
            </w:r>
          </w:p>
        </w:tc>
        <w:tc>
          <w:tcPr>
            <w:tcW w:type="dxa" w:w="1870"/>
          </w:tcPr>
          <w:p>
            <w:pPr>
              <w:ind w:firstLine="0"/>
              <w:jc w:val="left"/>
            </w:pPr>
            <w:r/>
            <w:r>
              <w:rPr>
                <w:b w:val="0"/>
                <w:i w:val="0"/>
                <w:sz w:val="14"/>
              </w:rPr>
              <w:t>3/4</w:t>
            </w:r>
          </w:p>
        </w:tc>
      </w:tr>
      <w:tr>
        <w:tc>
          <w:tcPr>
            <w:tcW w:type="dxa" w:w="1558"/>
          </w:tcPr>
          <w:p>
            <w:pPr>
              <w:ind w:firstLine="0"/>
              <w:jc w:val="left"/>
            </w:pPr>
            <w:r/>
            <w:r>
              <w:rPr>
                <w:b w:val="0"/>
                <w:i w:val="0"/>
                <w:sz w:val="14"/>
              </w:rPr>
              <w:t>CML</w:t>
            </w:r>
          </w:p>
        </w:tc>
        <w:tc>
          <w:tcPr>
            <w:tcW w:type="dxa" w:w="1247"/>
          </w:tcPr>
          <w:p>
            <w:pPr>
              <w:ind w:firstLine="0"/>
              <w:jc w:val="left"/>
            </w:pPr>
            <w:r/>
            <w:r>
              <w:rPr>
                <w:b w:val="0"/>
                <w:i w:val="0"/>
                <w:sz w:val="14"/>
              </w:rPr>
              <w:t>16</w:t>
            </w:r>
          </w:p>
        </w:tc>
        <w:tc>
          <w:tcPr>
            <w:tcW w:type="dxa" w:w="1091"/>
          </w:tcPr>
          <w:p>
            <w:pPr>
              <w:ind w:firstLine="0"/>
              <w:jc w:val="left"/>
            </w:pPr>
            <w:r/>
            <w:r>
              <w:rPr>
                <w:b w:val="0"/>
                <w:i w:val="0"/>
                <w:sz w:val="14"/>
              </w:rPr>
              <w:t>0.75</w:t>
            </w:r>
          </w:p>
        </w:tc>
        <w:tc>
          <w:tcPr>
            <w:tcW w:type="dxa" w:w="1558"/>
          </w:tcPr>
          <w:p>
            <w:pPr>
              <w:ind w:firstLine="0"/>
              <w:jc w:val="left"/>
            </w:pPr>
            <w:r/>
            <w:r>
              <w:rPr>
                <w:b w:val="0"/>
                <w:i w:val="0"/>
                <w:sz w:val="14"/>
              </w:rPr>
              <w:t>0.71</w:t>
            </w:r>
          </w:p>
        </w:tc>
        <w:tc>
          <w:tcPr>
            <w:tcW w:type="dxa" w:w="1091"/>
          </w:tcPr>
          <w:p>
            <w:pPr>
              <w:ind w:firstLine="0"/>
              <w:jc w:val="left"/>
            </w:pPr>
            <w:r/>
            <w:r>
              <w:rPr>
                <w:b w:val="0"/>
                <w:i w:val="0"/>
                <w:sz w:val="14"/>
              </w:rPr>
              <w:t>6/7</w:t>
            </w:r>
          </w:p>
        </w:tc>
        <w:tc>
          <w:tcPr>
            <w:tcW w:type="dxa" w:w="2026"/>
          </w:tcPr>
          <w:p>
            <w:pPr>
              <w:ind w:firstLine="0"/>
              <w:jc w:val="left"/>
            </w:pPr>
            <w:r/>
            <w:r>
              <w:rPr>
                <w:b w:val="0"/>
                <w:i w:val="0"/>
                <w:sz w:val="14"/>
              </w:rPr>
              <w:t>0.68 (31)</w:t>
            </w:r>
          </w:p>
        </w:tc>
        <w:tc>
          <w:tcPr>
            <w:tcW w:type="dxa" w:w="1870"/>
          </w:tcPr>
          <w:p>
            <w:pPr>
              <w:ind w:firstLine="0"/>
              <w:jc w:val="left"/>
            </w:pPr>
            <w:r/>
            <w:r>
              <w:rPr>
                <w:b w:val="0"/>
                <w:i w:val="0"/>
                <w:sz w:val="14"/>
              </w:rPr>
              <w:t>8/8</w:t>
            </w:r>
          </w:p>
        </w:tc>
      </w:tr>
      <w:tr>
        <w:tc>
          <w:tcPr>
            <w:tcW w:type="dxa" w:w="1558"/>
          </w:tcPr>
          <w:p>
            <w:pPr>
              <w:ind w:firstLine="0"/>
              <w:jc w:val="left"/>
            </w:pPr>
            <w:r/>
            <w:r>
              <w:rPr>
                <w:b w:val="0"/>
                <w:i w:val="0"/>
                <w:sz w:val="14"/>
              </w:rPr>
              <w:t>ALL</w:t>
            </w:r>
          </w:p>
        </w:tc>
        <w:tc>
          <w:tcPr>
            <w:tcW w:type="dxa" w:w="1247"/>
          </w:tcPr>
          <w:p>
            <w:pPr>
              <w:ind w:firstLine="0"/>
              <w:jc w:val="left"/>
            </w:pPr>
            <w:r/>
            <w:r>
              <w:rPr>
                <w:b w:val="0"/>
                <w:i w:val="0"/>
                <w:sz w:val="14"/>
              </w:rPr>
              <w:t>75</w:t>
            </w:r>
          </w:p>
        </w:tc>
        <w:tc>
          <w:tcPr>
            <w:tcW w:type="dxa" w:w="1091"/>
          </w:tcPr>
          <w:p>
            <w:pPr>
              <w:ind w:firstLine="0"/>
              <w:jc w:val="left"/>
            </w:pPr>
            <w:r/>
            <w:r>
              <w:rPr>
                <w:b w:val="0"/>
                <w:i w:val="0"/>
                <w:sz w:val="14"/>
              </w:rPr>
              <w:t>0.45</w:t>
            </w:r>
          </w:p>
        </w:tc>
        <w:tc>
          <w:tcPr>
            <w:tcW w:type="dxa" w:w="1558"/>
          </w:tcPr>
          <w:p>
            <w:pPr>
              <w:ind w:firstLine="0"/>
              <w:jc w:val="left"/>
            </w:pPr>
            <w:r/>
            <w:r>
              <w:rPr>
                <w:b w:val="0"/>
                <w:i w:val="0"/>
                <w:sz w:val="14"/>
              </w:rPr>
              <w:t>0.49</w:t>
            </w:r>
          </w:p>
        </w:tc>
        <w:tc>
          <w:tcPr>
            <w:tcW w:type="dxa" w:w="1091"/>
          </w:tcPr>
          <w:p>
            <w:pPr>
              <w:ind w:firstLine="0"/>
              <w:jc w:val="left"/>
            </w:pPr>
            <w:r/>
            <w:r>
              <w:rPr>
                <w:b w:val="0"/>
                <w:i w:val="0"/>
                <w:sz w:val="14"/>
              </w:rPr>
              <w:t>6/6</w:t>
            </w:r>
          </w:p>
        </w:tc>
        <w:tc>
          <w:tcPr>
            <w:tcW w:type="dxa" w:w="2026"/>
          </w:tcPr>
          <w:p>
            <w:pPr>
              <w:ind w:firstLine="0"/>
              <w:jc w:val="left"/>
            </w:pPr>
            <w:r/>
            <w:r>
              <w:rPr>
                <w:b w:val="0"/>
                <w:i w:val="0"/>
                <w:sz w:val="14"/>
              </w:rPr>
              <w:t>0.40 (108)</w:t>
            </w:r>
          </w:p>
        </w:tc>
        <w:tc>
          <w:tcPr>
            <w:tcW w:type="dxa" w:w="1870"/>
          </w:tcPr>
          <w:p>
            <w:pPr>
              <w:ind w:firstLine="0"/>
              <w:jc w:val="left"/>
            </w:pPr>
            <w:r/>
            <w:r>
              <w:rPr>
                <w:b w:val="0"/>
                <w:i w:val="0"/>
                <w:sz w:val="14"/>
              </w:rPr>
              <w:t>6/6</w:t>
            </w:r>
          </w:p>
        </w:tc>
      </w:tr>
      <w:tr>
        <w:tc>
          <w:tcPr>
            <w:tcW w:type="dxa" w:w="1558"/>
          </w:tcPr>
          <w:p>
            <w:pPr>
              <w:ind w:firstLine="0"/>
              <w:jc w:val="left"/>
            </w:pPr>
            <w:r/>
            <w:r>
              <w:rPr>
                <w:b w:val="0"/>
                <w:i w:val="0"/>
                <w:sz w:val="14"/>
              </w:rPr>
              <w:t>CLL</w:t>
            </w:r>
          </w:p>
        </w:tc>
        <w:tc>
          <w:tcPr>
            <w:tcW w:type="dxa" w:w="1247"/>
          </w:tcPr>
          <w:p>
            <w:pPr>
              <w:ind w:firstLine="0"/>
              <w:jc w:val="left"/>
            </w:pPr>
            <w:r/>
            <w:r>
              <w:rPr>
                <w:b w:val="0"/>
                <w:i w:val="0"/>
                <w:sz w:val="14"/>
              </w:rPr>
              <w:t>6</w:t>
            </w:r>
          </w:p>
        </w:tc>
        <w:tc>
          <w:tcPr>
            <w:tcW w:type="dxa" w:w="1091"/>
          </w:tcPr>
          <w:p>
            <w:pPr>
              <w:ind w:firstLine="0"/>
              <w:jc w:val="left"/>
            </w:pPr>
            <w:r/>
            <w:r>
              <w:rPr>
                <w:b w:val="0"/>
                <w:i w:val="0"/>
                <w:sz w:val="14"/>
              </w:rPr>
              <w:t>0.67</w:t>
            </w:r>
          </w:p>
        </w:tc>
        <w:tc>
          <w:tcPr>
            <w:tcW w:type="dxa" w:w="1558"/>
          </w:tcPr>
          <w:p>
            <w:pPr>
              <w:ind w:firstLine="0"/>
              <w:jc w:val="left"/>
            </w:pPr>
            <w:r/>
            <w:r>
              <w:rPr>
                <w:b w:val="0"/>
                <w:i w:val="0"/>
                <w:sz w:val="14"/>
              </w:rPr>
              <w:t>0.64</w:t>
            </w:r>
          </w:p>
        </w:tc>
        <w:tc>
          <w:tcPr>
            <w:tcW w:type="dxa" w:w="1091"/>
          </w:tcPr>
          <w:p>
            <w:pPr>
              <w:ind w:firstLine="0"/>
              <w:jc w:val="left"/>
            </w:pPr>
            <w:r/>
            <w:r>
              <w:rPr>
                <w:b w:val="0"/>
                <w:i w:val="0"/>
                <w:sz w:val="14"/>
              </w:rPr>
              <w:t>2/2</w:t>
            </w:r>
          </w:p>
        </w:tc>
        <w:tc>
          <w:tcPr>
            <w:tcW w:type="dxa" w:w="2026"/>
          </w:tcPr>
          <w:p>
            <w:pPr>
              <w:ind w:firstLine="0"/>
              <w:jc w:val="left"/>
            </w:pPr>
            <w:r/>
            <w:r>
              <w:rPr>
                <w:b w:val="0"/>
                <w:i w:val="0"/>
                <w:sz w:val="14"/>
              </w:rPr>
              <w:t>0.67 (6)</w:t>
            </w:r>
          </w:p>
        </w:tc>
        <w:tc>
          <w:tcPr>
            <w:tcW w:type="dxa" w:w="1870"/>
          </w:tcPr>
          <w:p>
            <w:pPr>
              <w:ind w:firstLine="0"/>
              <w:jc w:val="left"/>
            </w:pPr>
            <w:r/>
            <w:r>
              <w:rPr>
                <w:b w:val="0"/>
                <w:i w:val="0"/>
                <w:sz w:val="14"/>
              </w:rPr>
              <w:t>1/1</w:t>
            </w:r>
          </w:p>
        </w:tc>
      </w:tr>
    </w:tbl>
    <w:p>
      <w:pPr>
        <w:spacing w:after="80"/>
        <w:ind w:firstLine="0"/>
        <w:jc w:val="both"/>
      </w:pPr>
    </w:p>
    <w:p>
      <w:pPr>
        <w:sectPr>
          <w:type w:val="continuous"/>
          <w:pgSz w:w="12240" w:h="15840"/>
          <w:pgMar w:top="1080" w:right="900" w:bottom="1440" w:left="900" w:header="720" w:footer="720" w:gutter="0"/>
          <w:cols w:space="360" w:num="1"/>
          <w:docGrid w:linePitch="360"/>
        </w:sectPr>
      </w:pPr>
    </w:p>
    <w:p>
      <w:pPr>
        <w:spacing w:after="0"/>
        <w:jc w:val="both"/>
      </w:pPr>
      <w:r>
        <w:rPr>
          <w:b w:val="0"/>
          <w:i w:val="0"/>
        </w:rPr>
        <w:t>Against the Bradley-Terry timing the picture is the same: on event pairs with a bootstrap-stable timing order, the MHN agreed in 180 of 347 and the CBN in 23 of 24. The disagreement has a measurable cause. Across the five diseases, when the event that comes later in the clone trees has the higher MHN base rate, the MHN orders the pair wrongly in 55 of 68 cases; when it has the lower base rate, in 38 of 105 (Fisher p = 5.3e-09). The MHN's order is set by how often an event appears, not by when it appears.</w:t>
      </w:r>
    </w:p>
    <w:p>
      <w:pPr>
        <w:spacing w:after="40" w:before="80"/>
        <w:ind w:firstLine="0"/>
        <w:jc w:val="left"/>
      </w:pPr>
      <w:r>
        <w:rPr>
          <w:b w:val="0"/>
          <w:i/>
          <w:sz w:val="20"/>
        </w:rPr>
        <w:t>F. Verdict per disease</w:t>
      </w:r>
    </w:p>
    <w:p>
      <w:pPr>
        <w:spacing w:after="0"/>
        <w:ind w:firstLine="0" w:left="227"/>
        <w:jc w:val="both"/>
      </w:pPr>
      <w:r>
        <w:rPr>
          <w:b w:val="0"/>
          <w:i w:val="0"/>
        </w:rPr>
        <w:t xml:space="preserve">• </w:t>
      </w:r>
      <w:r>
        <w:rPr>
          <w:b/>
          <w:i w:val="0"/>
        </w:rPr>
        <w:t>AML and ALL:</w:t>
      </w:r>
      <w:r>
        <w:rPr>
          <w:b w:val="0"/>
          <w:i w:val="0"/>
        </w:rPr>
        <w:t xml:space="preserve"> stable, recoverable and bias-robust interaction networks; orders supported where the clone data and the CBN agree (for example 5q loss before 17p loss and -7, t(8;21) before -Y, inv(16) before +22, +21 before the other trisomies). The MHN's own orders are not supported.</w:t>
      </w:r>
    </w:p>
    <w:p>
      <w:pPr>
        <w:spacing w:after="0"/>
        <w:ind w:firstLine="0" w:left="227"/>
        <w:jc w:val="both"/>
      </w:pPr>
      <w:r>
        <w:rPr>
          <w:b w:val="0"/>
          <w:i w:val="0"/>
        </w:rPr>
        <w:t xml:space="preserve">• </w:t>
      </w:r>
      <w:r>
        <w:rPr>
          <w:b/>
          <w:i w:val="0"/>
        </w:rPr>
        <w:t>CML:</w:t>
      </w:r>
      <w:r>
        <w:rPr>
          <w:b w:val="0"/>
          <w:i w:val="0"/>
        </w:rPr>
        <w:t xml:space="preserve"> the MHN's orders agree with the clone data (t(9;22) first, then the extra Ph, +19 and i(17q)), but its simulation recovery failed, so only the stable, clone-backed subset is reported.</w:t>
      </w:r>
    </w:p>
    <w:p>
      <w:pPr>
        <w:spacing w:after="0"/>
        <w:ind w:firstLine="0" w:left="227"/>
        <w:jc w:val="both"/>
      </w:pPr>
      <w:r>
        <w:rPr>
          <w:b w:val="0"/>
          <w:i w:val="0"/>
        </w:rPr>
        <w:t xml:space="preserve">• </w:t>
      </w:r>
      <w:r>
        <w:rPr>
          <w:b/>
          <w:i w:val="0"/>
        </w:rPr>
        <w:t>MDS:</w:t>
      </w:r>
      <w:r>
        <w:rPr>
          <w:b w:val="0"/>
          <w:i w:val="0"/>
        </w:rPr>
        <w:t xml:space="preserve"> simulation recovery failed and the MHN's orders disagree with the clone data; only the clone-backed orders (5q loss before 17p loss, 18 loss and 13q loss) and the baseline stand.</w:t>
      </w:r>
    </w:p>
    <w:p>
      <w:pPr>
        <w:spacing w:after="0"/>
        <w:ind w:firstLine="0" w:left="227"/>
        <w:jc w:val="both"/>
      </w:pPr>
      <w:r>
        <w:rPr>
          <w:b w:val="0"/>
          <w:i w:val="0"/>
        </w:rPr>
        <w:t xml:space="preserve">• </w:t>
      </w:r>
      <w:r>
        <w:rPr>
          <w:b/>
          <w:i w:val="0"/>
        </w:rPr>
        <w:t>CLL:</w:t>
      </w:r>
      <w:r>
        <w:rPr>
          <w:b w:val="0"/>
          <w:i w:val="0"/>
        </w:rPr>
        <w:t xml:space="preserve"> recoverable network of mostly negative interactions; +12 is exclusive of 13q loss, and 13q loss precedes 11q- [15].</w:t>
      </w:r>
    </w:p>
    <w:p>
      <w:pPr>
        <w:spacing w:after="0"/>
        <w:ind w:firstLine="0" w:left="227"/>
        <w:jc w:val="both"/>
      </w:pPr>
      <w:r>
        <w:rPr>
          <w:b w:val="0"/>
          <w:i w:val="0"/>
        </w:rPr>
        <w:t xml:space="preserve">• </w:t>
      </w:r>
      <w:r>
        <w:rPr>
          <w:b/>
          <w:i w:val="0"/>
        </w:rPr>
        <w:t>APL and MM:</w:t>
      </w:r>
      <w:r>
        <w:rPr>
          <w:b w:val="0"/>
          <w:i w:val="0"/>
        </w:rPr>
        <w:t xml:space="preserve"> co-occurrence only under the stop rule (64 and 55 cases with a clone order).</w:t>
      </w:r>
    </w:p>
    <w:p>
      <w:pPr>
        <w:spacing w:after="60" w:before="160"/>
        <w:ind w:firstLine="0"/>
        <w:jc w:val="center"/>
      </w:pPr>
      <w:r>
        <w:rPr>
          <w:b w:val="0"/>
          <w:i w:val="0"/>
          <w:sz w:val="20"/>
        </w:rPr>
        <w:t>V. WHAT THE MODELS CANNOT SAY</w:t>
      </w:r>
    </w:p>
    <w:p>
      <w:pPr>
        <w:spacing w:after="0"/>
        <w:ind w:firstLine="0" w:left="227"/>
        <w:jc w:val="both"/>
      </w:pPr>
      <w:r>
        <w:rPr>
          <w:b w:val="0"/>
          <w:i w:val="0"/>
        </w:rPr>
        <w:t xml:space="preserve">• </w:t>
      </w:r>
      <w:r>
        <w:rPr>
          <w:b/>
          <w:i w:val="0"/>
        </w:rPr>
        <w:t>Not patient trajectories.</w:t>
      </w:r>
      <w:r>
        <w:rPr>
          <w:b w:val="0"/>
          <w:i w:val="0"/>
        </w:rPr>
        <w:t xml:space="preserve"> The MHN describes the published case mix; a high P(a before b) does not mean that every patient acquires a before b.</w:t>
      </w:r>
    </w:p>
    <w:p>
      <w:pPr>
        <w:spacing w:after="0"/>
        <w:ind w:firstLine="0" w:left="227"/>
        <w:jc w:val="both"/>
      </w:pPr>
      <w:r>
        <w:rPr>
          <w:b w:val="0"/>
          <w:i w:val="0"/>
        </w:rPr>
        <w:t xml:space="preserve">• </w:t>
      </w:r>
      <w:r>
        <w:rPr>
          <w:b/>
          <w:i w:val="0"/>
        </w:rPr>
        <w:t>Interactions are relative.</w:t>
      </w:r>
      <w:r>
        <w:rPr>
          <w:b w:val="0"/>
          <w:i w:val="0"/>
        </w:rPr>
        <w:t xml:space="preserve"> Negative log θ often means less co-occurrence than shared observation time would produce, not raw mutual exclusivity (CLL shows this most clearly).</w:t>
      </w:r>
    </w:p>
    <w:p>
      <w:pPr>
        <w:spacing w:after="0"/>
        <w:ind w:firstLine="0" w:left="227"/>
        <w:jc w:val="both"/>
      </w:pPr>
      <w:r>
        <w:rPr>
          <w:b w:val="0"/>
          <w:i w:val="0"/>
        </w:rPr>
        <w:t xml:space="preserve">• </w:t>
      </w:r>
      <w:r>
        <w:rPr>
          <w:b/>
          <w:i w:val="0"/>
        </w:rPr>
        <w:t>Vocabulary limits.</w:t>
      </w:r>
      <w:r>
        <w:rPr>
          <w:b w:val="0"/>
          <w:i w:val="0"/>
        </w:rPr>
        <w:t xml:space="preserve"> Events below N, cryptic lesions and sub-arm changes are invisible. Nested events (17p loss and i(17q) in CML) give definitional edges.</w:t>
      </w:r>
    </w:p>
    <w:p>
      <w:pPr>
        <w:spacing w:after="0"/>
        <w:ind w:firstLine="0" w:left="227"/>
        <w:jc w:val="both"/>
      </w:pPr>
      <w:r>
        <w:rPr>
          <w:b w:val="0"/>
          <w:i w:val="0"/>
        </w:rPr>
        <w:t xml:space="preserve">• </w:t>
      </w:r>
      <w:r>
        <w:rPr>
          <w:b/>
          <w:i w:val="0"/>
        </w:rPr>
        <w:t>Residual bias.</w:t>
      </w:r>
      <w:r>
        <w:rPr>
          <w:b w:val="0"/>
          <w:i w:val="0"/>
        </w:rPr>
        <w:t xml:space="preserve"> The Unselected and post-2000 refits bound but do not remove publication bias.</w:t>
      </w:r>
    </w:p>
    <w:p>
      <w:pPr>
        <w:spacing w:after="0"/>
        <w:ind w:firstLine="0" w:left="227"/>
        <w:jc w:val="both"/>
      </w:pPr>
      <w:r>
        <w:rPr>
          <w:b w:val="0"/>
          <w:i w:val="0"/>
        </w:rPr>
        <w:t xml:space="preserve">• </w:t>
      </w:r>
      <w:r>
        <w:rPr>
          <w:b/>
          <w:i w:val="0"/>
        </w:rPr>
        <w:t>Pooled timing.</w:t>
      </w:r>
      <w:r>
        <w:rPr>
          <w:b w:val="0"/>
          <w:i w:val="0"/>
        </w:rPr>
        <w:t xml:space="preserve"> The Bradley-Terry timing pools clone orders across patients and assumes one shared order per disease; subgroups with different routes (for example core-binding-factor and complex-karyotype AML) are averaged.</w:t>
      </w:r>
    </w:p>
    <w:p>
      <w:pPr>
        <w:spacing w:after="0"/>
        <w:ind w:firstLine="0" w:left="227"/>
        <w:jc w:val="both"/>
      </w:pPr>
      <w:r>
        <w:rPr>
          <w:b w:val="0"/>
          <w:i w:val="0"/>
        </w:rPr>
        <w:t xml:space="preserve">• </w:t>
      </w:r>
      <w:r>
        <w:rPr>
          <w:b/>
          <w:i w:val="0"/>
        </w:rPr>
        <w:t>No cross-dataset check.</w:t>
      </w:r>
      <w:r>
        <w:rPr>
          <w:b w:val="0"/>
          <w:i w:val="0"/>
        </w:rPr>
        <w:t xml:space="preserve"> TCGA and BeatAML could not be reached from the analysis environment (no outbound access to their portals), so external validation on sequencing-era cohorts remains to be done.</w:t>
      </w:r>
    </w:p>
    <w:p>
      <w:pPr>
        <w:spacing w:after="0"/>
        <w:ind w:firstLine="0" w:left="227"/>
        <w:jc w:val="both"/>
      </w:pPr>
      <w:r>
        <w:rPr>
          <w:b w:val="0"/>
          <w:i w:val="0"/>
        </w:rPr>
        <w:t xml:space="preserve">• </w:t>
      </w:r>
      <w:r>
        <w:rPr>
          <w:b/>
          <w:i w:val="0"/>
        </w:rPr>
        <w:t>No clinical use.</w:t>
      </w:r>
      <w:r>
        <w:rPr>
          <w:b w:val="0"/>
          <w:i w:val="0"/>
        </w:rPr>
        <w:t xml:space="preserve"> None of these results should inform diagnosis or treatment.</w:t>
      </w:r>
    </w:p>
    <w:p>
      <w:pPr>
        <w:spacing w:after="60" w:before="160"/>
        <w:ind w:firstLine="0"/>
        <w:jc w:val="center"/>
      </w:pPr>
      <w:r>
        <w:rPr>
          <w:b w:val="0"/>
          <w:i w:val="0"/>
          <w:sz w:val="20"/>
        </w:rPr>
        <w:t>VI. CONCLUSION</w:t>
      </w:r>
    </w:p>
    <w:p>
      <w:pPr>
        <w:spacing w:after="0"/>
        <w:jc w:val="both"/>
      </w:pPr>
      <w:r>
        <w:rPr>
          <w:b w:val="0"/>
          <w:i w:val="0"/>
        </w:rPr>
        <w:t>Fitted per disease on Mitelman karyotypes, the MHN describes which cytogenetic events go together and which avoid each other better than independence or a CBN, and that description is stable and robust to publication bias. Its event orders are a different matter: checked against the clone trees inside the same patients, they hold only in CML. Cross-sectional order inference is pulled toward events that are common as sole abnormalities, and the within-patient clone structure in Mitelman is the stronger ordering signal. Models that use the clone trees directly, and external validation on sequencing-era cohorts, are the natural next steps.</w:t>
      </w:r>
    </w:p>
    <w:p>
      <w:pPr>
        <w:spacing w:after="60" w:before="160"/>
        <w:ind w:firstLine="0"/>
        <w:jc w:val="center"/>
      </w:pPr>
      <w:r>
        <w:rPr>
          <w:b w:val="0"/>
          <w:i w:val="0"/>
          <w:sz w:val="20"/>
        </w:rPr>
        <w:t>VII. DATA AND CODE AVAILABILITY</w:t>
      </w:r>
    </w:p>
    <w:p>
      <w:pPr>
        <w:spacing w:after="0"/>
        <w:jc w:val="both"/>
      </w:pPr>
      <w:r>
        <w:rPr>
          <w:b w:val="0"/>
          <w:i w:val="0"/>
        </w:rPr>
        <w:t>Code, the frozen vocabulary, the released event tables, model outputs and figures are at github.com/shubhodeepcx/MitelmanProgression under the MIT licence. Running run_all.sh reproduces every number in this report from the Mitelman bulk download. A command-line tool runs any step, every threshold, resampling count and seed sits in one configuration file, a Docker image pins the exact package versions, and continuous integration runs the linter and tests on every push.</w:t>
      </w:r>
    </w:p>
    <w:p>
      <w:pPr>
        <w:spacing w:after="60" w:before="160"/>
        <w:ind w:firstLine="0"/>
        <w:jc w:val="center"/>
      </w:pPr>
      <w:r>
        <w:rPr>
          <w:b w:val="0"/>
          <w:i w:val="0"/>
          <w:sz w:val="20"/>
        </w:rPr>
        <w:t>VIII. APPENDIX: SUPPLEMENTARY FIGURES</w:t>
      </w:r>
    </w:p>
    <w:p>
      <w:pPr>
        <w:spacing w:after="0"/>
        <w:jc w:val="both"/>
      </w:pPr>
      <w:r>
        <w:rPr>
          <w:b w:val="0"/>
          <w:i w:val="0"/>
        </w:rPr>
        <w:t>Figures for the remaining diseases, with the panels of Fig. 2 for the diseases with enough clone orders and the co-occurrence baseline for APL and MM.</w:t>
      </w:r>
    </w:p>
    <w:p>
      <w:pPr>
        <w:ind w:firstLine="0"/>
        <w:jc w:val="center"/>
      </w:pPr>
      <w:r>
        <w:drawing>
          <wp:inline xmlns:a="http://schemas.openxmlformats.org/drawingml/2006/main" xmlns:pic="http://schemas.openxmlformats.org/drawingml/2006/picture">
            <wp:extent cx="3108960" cy="2799365"/>
            <wp:docPr id="5" name="Picture 5"/>
            <wp:cNvGraphicFramePr>
              <a:graphicFrameLocks noChangeAspect="1"/>
            </wp:cNvGraphicFramePr>
            <a:graphic>
              <a:graphicData uri="http://schemas.openxmlformats.org/drawingml/2006/picture">
                <pic:pic>
                  <pic:nvPicPr>
                    <pic:cNvPr id="0" name="APL.png"/>
                    <pic:cNvPicPr/>
                  </pic:nvPicPr>
                  <pic:blipFill>
                    <a:blip r:embed="rId13"/>
                    <a:stretch>
                      <a:fillRect/>
                    </a:stretch>
                  </pic:blipFill>
                  <pic:spPr>
                    <a:xfrm>
                      <a:off x="0" y="0"/>
                      <a:ext cx="3108960" cy="2799365"/>
                    </a:xfrm>
                    <a:prstGeom prst="rect"/>
                  </pic:spPr>
                </pic:pic>
              </a:graphicData>
            </a:graphic>
          </wp:inline>
        </w:drawing>
      </w:r>
    </w:p>
    <w:p>
      <w:pPr>
        <w:spacing w:after="120"/>
        <w:ind w:firstLine="0"/>
        <w:jc w:val="both"/>
      </w:pPr>
      <w:r>
        <w:rPr>
          <w:b w:val="0"/>
          <w:i w:val="0"/>
          <w:sz w:val="16"/>
        </w:rPr>
        <w:t>Fig. 5. APL: co-occurrence baseline only (fewer than 200 cases with a clone order); * significant.</w:t>
      </w:r>
    </w:p>
    <w:p>
      <w:pPr>
        <w:sectPr>
          <w:type w:val="continuous"/>
          <w:pgSz w:w="12240" w:h="15840"/>
          <w:pgMar w:top="1080" w:right="900" w:bottom="1440" w:left="900"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943600" cy="5247503"/>
            <wp:docPr id="6" name="Picture 6"/>
            <wp:cNvGraphicFramePr>
              <a:graphicFrameLocks noChangeAspect="1"/>
            </wp:cNvGraphicFramePr>
            <a:graphic>
              <a:graphicData uri="http://schemas.openxmlformats.org/drawingml/2006/picture">
                <pic:pic>
                  <pic:nvPicPr>
                    <pic:cNvPr id="0" name="MDS.png"/>
                    <pic:cNvPicPr/>
                  </pic:nvPicPr>
                  <pic:blipFill>
                    <a:blip r:embed="rId14"/>
                    <a:stretch>
                      <a:fillRect/>
                    </a:stretch>
                  </pic:blipFill>
                  <pic:spPr>
                    <a:xfrm>
                      <a:off x="0" y="0"/>
                      <a:ext cx="5943600" cy="5247503"/>
                    </a:xfrm>
                    <a:prstGeom prst="rect"/>
                  </pic:spPr>
                </pic:pic>
              </a:graphicData>
            </a:graphic>
          </wp:inline>
        </w:drawing>
      </w:r>
    </w:p>
    <w:p>
      <w:pPr>
        <w:spacing w:after="120"/>
        <w:ind w:firstLine="0"/>
        <w:jc w:val="both"/>
      </w:pPr>
      <w:r>
        <w:rPr>
          <w:b w:val="0"/>
          <w:i w:val="0"/>
          <w:sz w:val="16"/>
        </w:rPr>
        <w:t>Fig. 6. MDS, panels as in Fig. 2.</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943600" cy="5254217"/>
            <wp:docPr id="7" name="Picture 7"/>
            <wp:cNvGraphicFramePr>
              <a:graphicFrameLocks noChangeAspect="1"/>
            </wp:cNvGraphicFramePr>
            <a:graphic>
              <a:graphicData uri="http://schemas.openxmlformats.org/drawingml/2006/picture">
                <pic:pic>
                  <pic:nvPicPr>
                    <pic:cNvPr id="0" name="ALL.png"/>
                    <pic:cNvPicPr/>
                  </pic:nvPicPr>
                  <pic:blipFill>
                    <a:blip r:embed="rId15"/>
                    <a:stretch>
                      <a:fillRect/>
                    </a:stretch>
                  </pic:blipFill>
                  <pic:spPr>
                    <a:xfrm>
                      <a:off x="0" y="0"/>
                      <a:ext cx="5943600" cy="5254217"/>
                    </a:xfrm>
                    <a:prstGeom prst="rect"/>
                  </pic:spPr>
                </pic:pic>
              </a:graphicData>
            </a:graphic>
          </wp:inline>
        </w:drawing>
      </w:r>
    </w:p>
    <w:p>
      <w:pPr>
        <w:spacing w:after="120"/>
        <w:ind w:firstLine="0"/>
        <w:jc w:val="both"/>
      </w:pPr>
      <w:r>
        <w:rPr>
          <w:b w:val="0"/>
          <w:i w:val="0"/>
          <w:sz w:val="16"/>
        </w:rPr>
        <w:t>Fig. 7. ALL, panels as in Fig. 2.</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ind w:firstLine="0"/>
        <w:jc w:val="center"/>
      </w:pPr>
      <w:r>
        <w:drawing>
          <wp:inline xmlns:a="http://schemas.openxmlformats.org/drawingml/2006/main" xmlns:pic="http://schemas.openxmlformats.org/drawingml/2006/picture">
            <wp:extent cx="5943600" cy="5204983"/>
            <wp:docPr id="8" name="Picture 8"/>
            <wp:cNvGraphicFramePr>
              <a:graphicFrameLocks noChangeAspect="1"/>
            </wp:cNvGraphicFramePr>
            <a:graphic>
              <a:graphicData uri="http://schemas.openxmlformats.org/drawingml/2006/picture">
                <pic:pic>
                  <pic:nvPicPr>
                    <pic:cNvPr id="0" name="CLL.png"/>
                    <pic:cNvPicPr/>
                  </pic:nvPicPr>
                  <pic:blipFill>
                    <a:blip r:embed="rId16"/>
                    <a:stretch>
                      <a:fillRect/>
                    </a:stretch>
                  </pic:blipFill>
                  <pic:spPr>
                    <a:xfrm>
                      <a:off x="0" y="0"/>
                      <a:ext cx="5943600" cy="5204983"/>
                    </a:xfrm>
                    <a:prstGeom prst="rect"/>
                  </pic:spPr>
                </pic:pic>
              </a:graphicData>
            </a:graphic>
          </wp:inline>
        </w:drawing>
      </w:r>
    </w:p>
    <w:p>
      <w:pPr>
        <w:spacing w:after="120"/>
        <w:ind w:firstLine="0"/>
        <w:jc w:val="both"/>
      </w:pPr>
      <w:r>
        <w:rPr>
          <w:b w:val="0"/>
          <w:i w:val="0"/>
          <w:sz w:val="16"/>
        </w:rPr>
        <w:t>Fig. 8. CLL, panels as in Fig. 2.</w:t>
      </w:r>
    </w:p>
    <w:p>
      <w:pPr>
        <w:sectPr>
          <w:type w:val="continuous"/>
          <w:pgSz w:w="12240" w:h="15840"/>
          <w:pgMar w:top="1080" w:right="900" w:bottom="1440" w:left="900" w:header="720" w:footer="720" w:gutter="0"/>
          <w:cols w:space="360" w:num="1"/>
          <w:docGrid w:linePitch="360"/>
        </w:sectPr>
      </w:pPr>
    </w:p>
    <w:p>
      <w:pPr>
        <w:ind w:firstLine="0"/>
        <w:jc w:val="center"/>
      </w:pPr>
      <w:r>
        <w:drawing>
          <wp:inline xmlns:a="http://schemas.openxmlformats.org/drawingml/2006/main" xmlns:pic="http://schemas.openxmlformats.org/drawingml/2006/picture">
            <wp:extent cx="3108960" cy="2850533"/>
            <wp:docPr id="9" name="Picture 9"/>
            <wp:cNvGraphicFramePr>
              <a:graphicFrameLocks noChangeAspect="1"/>
            </wp:cNvGraphicFramePr>
            <a:graphic>
              <a:graphicData uri="http://schemas.openxmlformats.org/drawingml/2006/picture">
                <pic:pic>
                  <pic:nvPicPr>
                    <pic:cNvPr id="0" name="MM.png"/>
                    <pic:cNvPicPr/>
                  </pic:nvPicPr>
                  <pic:blipFill>
                    <a:blip r:embed="rId17"/>
                    <a:stretch>
                      <a:fillRect/>
                    </a:stretch>
                  </pic:blipFill>
                  <pic:spPr>
                    <a:xfrm>
                      <a:off x="0" y="0"/>
                      <a:ext cx="3108960" cy="2850533"/>
                    </a:xfrm>
                    <a:prstGeom prst="rect"/>
                  </pic:spPr>
                </pic:pic>
              </a:graphicData>
            </a:graphic>
          </wp:inline>
        </w:drawing>
      </w:r>
    </w:p>
    <w:p>
      <w:pPr>
        <w:spacing w:after="120"/>
        <w:ind w:firstLine="0"/>
        <w:jc w:val="both"/>
      </w:pPr>
      <w:r>
        <w:rPr>
          <w:b w:val="0"/>
          <w:i w:val="0"/>
          <w:sz w:val="16"/>
        </w:rPr>
        <w:t>Fig. 9. MM: co-occurrence baseline only (fewer than 200 cases with a clone order); * significant.</w:t>
      </w:r>
    </w:p>
    <w:p>
      <w:pPr>
        <w:spacing w:after="60" w:before="160"/>
        <w:ind w:firstLine="0"/>
        <w:jc w:val="center"/>
      </w:pPr>
      <w:r>
        <w:rPr>
          <w:b w:val="0"/>
          <w:i w:val="0"/>
          <w:sz w:val="20"/>
        </w:rPr>
        <w:t>REFERENCES</w:t>
      </w:r>
    </w:p>
    <w:p>
      <w:pPr>
        <w:spacing w:after="0"/>
        <w:ind w:left="283" w:hanging="283"/>
        <w:jc w:val="both"/>
      </w:pPr>
      <w:r>
        <w:rPr>
          <w:b w:val="0"/>
          <w:i w:val="0"/>
          <w:sz w:val="16"/>
        </w:rPr>
        <w:t>[1] B. Johansson, T. Fioretos, and F. Mitelman, "Cytogenetic and molecular genetic evolution of chronic myeloid leukemia," Acta Haematologica, vol. 107, no. 2, pp. 76-94, 2002.</w:t>
      </w:r>
    </w:p>
    <w:p>
      <w:pPr>
        <w:spacing w:after="0"/>
        <w:ind w:left="283" w:hanging="283"/>
        <w:jc w:val="both"/>
      </w:pPr>
      <w:r>
        <w:rPr>
          <w:b w:val="0"/>
          <w:i w:val="0"/>
          <w:sz w:val="16"/>
        </w:rPr>
        <w:t>[2] D. Grimwade et al., "Refinement of cytogenetic classification in acute myeloid leukemia," Blood, vol. 116, no. 3, pp. 354-365, 2010.</w:t>
      </w:r>
    </w:p>
    <w:p>
      <w:pPr>
        <w:spacing w:after="0"/>
        <w:ind w:left="283" w:hanging="283"/>
        <w:jc w:val="both"/>
      </w:pPr>
      <w:r>
        <w:rPr>
          <w:b w:val="0"/>
          <w:i w:val="0"/>
          <w:sz w:val="16"/>
        </w:rPr>
        <w:t>[3] F. Mitelman, B. Johansson, and F. Mertens (Eds.), "Mitelman Database of Chromosome Aberrations and Gene Fusions in Cancer," 2026. [Online]. Available: https://mitelmandatabase.isb-cgc.org</w:t>
      </w:r>
    </w:p>
    <w:p>
      <w:pPr>
        <w:spacing w:after="0"/>
        <w:ind w:left="283" w:hanging="283"/>
        <w:jc w:val="both"/>
      </w:pPr>
      <w:r>
        <w:rPr>
          <w:b w:val="0"/>
          <w:i w:val="0"/>
          <w:sz w:val="16"/>
        </w:rPr>
        <w:t>[4] J. McGowan-Jordan, R. J. Hastings, and S. Moore (Eds.), ISCN 2020: An International System for Human Cytogenomic Nomenclature. Basel: Karger, 2020.</w:t>
      </w:r>
    </w:p>
    <w:p>
      <w:pPr>
        <w:spacing w:after="0"/>
        <w:ind w:left="283" w:hanging="283"/>
        <w:jc w:val="both"/>
      </w:pPr>
      <w:r>
        <w:rPr>
          <w:b w:val="0"/>
          <w:i w:val="0"/>
          <w:sz w:val="16"/>
        </w:rPr>
        <w:t>[5] R. Desper et al., "Inferring tree models for oncogenesis from comparative genome hybridization data," Journal of Computational Biology, vol. 6, no. 1, pp. 37-51, 1999.</w:t>
      </w:r>
    </w:p>
    <w:p>
      <w:pPr>
        <w:spacing w:after="0"/>
        <w:ind w:left="283" w:hanging="283"/>
        <w:jc w:val="both"/>
      </w:pPr>
      <w:r>
        <w:rPr>
          <w:b w:val="0"/>
          <w:i w:val="0"/>
          <w:sz w:val="16"/>
        </w:rPr>
        <w:t>[6] N. Beerenwinkel, N. Eriksson, and B. Sturmfels, "Conjunctive Bayesian networks," Bernoulli, vol. 13, no. 4, pp. 893-909, 2007.</w:t>
      </w:r>
    </w:p>
    <w:p>
      <w:pPr>
        <w:spacing w:after="0"/>
        <w:ind w:left="283" w:hanging="283"/>
        <w:jc w:val="both"/>
      </w:pPr>
      <w:r>
        <w:rPr>
          <w:b w:val="0"/>
          <w:i w:val="0"/>
          <w:sz w:val="16"/>
        </w:rPr>
        <w:t>[7] M. Gerstung, M. Baudis, H. Moch, and N. Beerenwinkel, "Quantifying cancer progression with conjunctive Bayesian networks," Bioinformatics, vol. 25, no. 21, pp. 2809-2815, 2009.</w:t>
      </w:r>
    </w:p>
    <w:p>
      <w:pPr>
        <w:spacing w:after="0"/>
        <w:ind w:left="283" w:hanging="283"/>
        <w:jc w:val="both"/>
      </w:pPr>
      <w:r>
        <w:rPr>
          <w:b w:val="0"/>
          <w:i w:val="0"/>
          <w:sz w:val="16"/>
        </w:rPr>
        <w:t>[8] R. Schill, S. Solbrig, T. Wettig, and R. Spang, "Modelling cancer progression using Mutual Hazard Networks," Bioinformatics, vol. 36, no. 1, pp. 241-249, 2020.</w:t>
      </w:r>
    </w:p>
    <w:p>
      <w:pPr>
        <w:spacing w:after="0"/>
        <w:ind w:left="283" w:hanging="283"/>
        <w:jc w:val="both"/>
      </w:pPr>
      <w:r>
        <w:rPr>
          <w:b w:val="0"/>
          <w:i w:val="0"/>
          <w:sz w:val="16"/>
        </w:rPr>
        <w:t>[9] M. Höglund et al., "Multivariate analyses of genomic imbalances in solid tumors reveal distinct and converging pathways of karyotypic evolution," Genes, Chromosomes and Cancer, vol. 31, no. 2, pp. 156-171, 2001.</w:t>
      </w:r>
    </w:p>
    <w:p>
      <w:pPr>
        <w:spacing w:after="0"/>
        <w:ind w:left="283" w:hanging="283"/>
        <w:jc w:val="both"/>
      </w:pPr>
      <w:r>
        <w:rPr>
          <w:b w:val="0"/>
          <w:i w:val="0"/>
          <w:sz w:val="16"/>
        </w:rPr>
        <w:t>[10] J. Wang and T. LaFramboise, "CytoConverter: a web-based tool to convert karyotypes to genomic coordinates," BMC Bioinformatics, vol. 20, art. 467, 2019.</w:t>
      </w:r>
    </w:p>
    <w:p>
      <w:pPr>
        <w:spacing w:after="0"/>
        <w:ind w:left="283" w:hanging="283"/>
        <w:jc w:val="both"/>
      </w:pPr>
      <w:r>
        <w:rPr>
          <w:b w:val="0"/>
          <w:i w:val="0"/>
          <w:sz w:val="16"/>
        </w:rPr>
        <w:t>[11] H. Döhner et al., "Diagnosis and management of AML in adults: 2022 recommendations from an international expert panel on behalf of the ELN," Blood, vol. 140, no. 12, pp. 1345-1377, 2022.</w:t>
      </w:r>
    </w:p>
    <w:p>
      <w:pPr>
        <w:spacing w:after="0"/>
        <w:ind w:left="283" w:hanging="283"/>
        <w:jc w:val="both"/>
      </w:pPr>
      <w:r>
        <w:rPr>
          <w:b w:val="0"/>
          <w:i w:val="0"/>
          <w:sz w:val="16"/>
        </w:rPr>
        <w:t>[12] Y. Benjamini and Y. Hochberg, "Controlling the false discovery rate: a practical and powerful approach to multiple testing," Journal of the Royal Statistical Society: Series B, vol. 57, no. 1, pp. 289-300, 1995.</w:t>
      </w:r>
    </w:p>
    <w:p>
      <w:pPr>
        <w:spacing w:after="0"/>
        <w:ind w:left="283" w:hanging="283"/>
        <w:jc w:val="both"/>
      </w:pPr>
      <w:r>
        <w:rPr>
          <w:b w:val="0"/>
          <w:i w:val="0"/>
          <w:sz w:val="16"/>
        </w:rPr>
        <w:t>[13] R. A. Bradley and M. E. Terry, "Rank analysis of incomplete block designs: I. The method of paired comparisons," Biometrika, vol. 39, no. 3/4, pp. 324-345, 1952.</w:t>
      </w:r>
    </w:p>
    <w:p>
      <w:pPr>
        <w:spacing w:after="0"/>
        <w:ind w:left="283" w:hanging="283"/>
        <w:jc w:val="both"/>
      </w:pPr>
      <w:r>
        <w:rPr>
          <w:b w:val="0"/>
          <w:i w:val="0"/>
          <w:sz w:val="16"/>
        </w:rPr>
        <w:t>[14] A. V. Moorman, "The clinical relevance of chromosomal and genomic abnormalities in B-cell precursor acute lymphoblastic leukaemia," Blood Reviews, vol. 26, no. 3, pp. 123-135, 2012.</w:t>
      </w:r>
    </w:p>
    <w:p>
      <w:pPr>
        <w:spacing w:after="0"/>
        <w:ind w:left="283" w:hanging="283"/>
        <w:jc w:val="both"/>
      </w:pPr>
      <w:r>
        <w:rPr>
          <w:b w:val="0"/>
          <w:i w:val="0"/>
          <w:sz w:val="16"/>
        </w:rPr>
        <w:t>[15] H. Döhner et al., "Genomic aberrations and survival in chronic lymphocytic leukemia," New England Journal of Medicine, vol. 343, no. 26, pp. 1910-1916, 2000.</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ind w:firstLine="198"/>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Per-Disease Cytogenetic Progression Models from the Mitelman Database: Co-occurrence, Conjunctive Bayesian Networks and Mutual Hazard Networks</dc:title>
  <dc:subject>Cytogenetic progression models from the Mitelman Database</dc:subject>
  <dc:creator>Shubhodeep Chatterjee</dc:creator>
  <cp:keywords>Cancer cytogenetics, karyotype, ISCN, Mitelman Database, tumour progression, Mutual Hazard Networks, conjunctive Bayesian networks, haematological malignancy</cp:keywords>
  <dc:description/>
  <cp:lastModifiedBy>Shubhodeep Chatterjee</cp:lastModifiedBy>
  <cp:revision>1</cp:revision>
  <dcterms:created xsi:type="dcterms:W3CDTF">2026-10-13T05:33:54Z</dcterms:created>
  <dcterms:modified xsi:type="dcterms:W3CDTF">2026-10-13T05:33:54Z</dcterms:modified>
  <cp:category/>
</cp:coreProperties>
</file>