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before="0" w:line="240" w:lineRule="auto"/>
        <w:ind w:firstLine="0"/>
        <w:jc w:val="center"/>
      </w:pPr>
      <w:r>
        <w:rPr>
          <w:rFonts w:ascii="Times New Roman" w:hAnsi="Times New Roman" w:cs="Times New Roman"/>
          <w:b w:val="0"/>
          <w:i w:val="0"/>
          <w:caps w:val="0"/>
          <w:sz w:val="48"/>
        </w:rPr>
        <w:t>Somatic CAG-Repeat Expansion as a Druggable Rate Process in Huntington's Disease</w:t>
      </w:r>
    </w:p>
    <w:p>
      <w:pPr>
        <w:spacing w:after="280" w:before="0" w:line="240" w:lineRule="auto"/>
        <w:ind w:firstLine="0"/>
        <w:jc w:val="center"/>
      </w:pPr>
      <w:r>
        <w:rPr>
          <w:rFonts w:ascii="Times New Roman" w:hAnsi="Times New Roman" w:cs="Times New Roman"/>
          <w:b w:val="0"/>
          <w:i/>
          <w:caps w:val="0"/>
          <w:sz w:val="26"/>
        </w:rPr>
        <w:t>A Multiscale In Silico Model Linking MutSβ Biochemistry, Striatal Neuron Loss, and the Delivery Gap for MSH3-Lowering Oligonucleotides</w:t>
      </w:r>
    </w:p>
    <w:p>
      <w:pPr>
        <w:spacing w:after="20" w:before="0" w:line="240" w:lineRule="auto"/>
        <w:ind w:firstLine="0"/>
        <w:jc w:val="center"/>
      </w:pPr>
      <w:r>
        <w:rPr>
          <w:rFonts w:ascii="Times New Roman" w:hAnsi="Times New Roman" w:cs="Times New Roman"/>
          <w:b w:val="0"/>
          <w:i w:val="0"/>
          <w:caps w:val="0"/>
          <w:sz w:val="22"/>
        </w:rPr>
        <w:t>Shubho</w:t>
      </w:r>
    </w:p>
    <w:p>
      <w:pPr>
        <w:spacing w:after="20" w:before="0" w:line="240" w:lineRule="auto"/>
        <w:ind w:firstLine="0"/>
        <w:jc w:val="center"/>
      </w:pPr>
      <w:r>
        <w:rPr>
          <w:rFonts w:ascii="Times New Roman" w:hAnsi="Times New Roman" w:cs="Times New Roman"/>
          <w:b w:val="0"/>
          <w:i/>
          <w:caps w:val="0"/>
          <w:sz w:val="22"/>
        </w:rPr>
        <w:t>Independent Research</w:t>
      </w:r>
    </w:p>
    <w:p>
      <w:pPr>
        <w:spacing w:after="20" w:before="0" w:line="240" w:lineRule="auto"/>
        <w:ind w:firstLine="0"/>
        <w:jc w:val="center"/>
      </w:pPr>
      <w:r>
        <w:rPr>
          <w:rFonts w:ascii="Times New Roman" w:hAnsi="Times New Roman" w:cs="Times New Roman"/>
          <w:b w:val="0"/>
          <w:i w:val="0"/>
          <w:caps w:val="0"/>
          <w:sz w:val="22"/>
        </w:rPr>
        <w:t>shubhodeepcx@gmail.com</w:t>
      </w:r>
    </w:p>
    <w:p>
      <w:pPr>
        <w:spacing w:after="120" w:before="0" w:line="240" w:lineRule="auto"/>
        <w:ind w:firstLine="0"/>
        <w:jc w:val="center"/>
      </w:pPr>
    </w:p>
    <w:p>
      <w:pPr>
        <w:sectPr>
          <w:pgSz w:w="12240" w:h="15840"/>
          <w:pgMar w:top="1080" w:right="900" w:bottom="1440" w:left="900" w:header="720" w:footer="720" w:gutter="0"/>
          <w:cols w:space="360" w:num="1" w:equalWidth="1"/>
          <w:docGrid w:linePitch="360"/>
        </w:sectPr>
      </w:pPr>
    </w:p>
    <w:p>
      <w:pPr>
        <w:spacing w:after="120" w:before="0" w:line="240" w:lineRule="auto"/>
        <w:ind w:firstLine="288"/>
        <w:jc w:val="both"/>
      </w:pPr>
      <w:r>
        <w:rPr>
          <w:rFonts w:ascii="Times New Roman" w:hAnsi="Times New Roman" w:cs="Times New Roman"/>
          <w:b/>
          <w:i/>
          <w:caps w:val="0"/>
          <w:sz w:val="18"/>
        </w:rPr>
        <w:t xml:space="preserve">Abstract: </w:t>
      </w:r>
      <w:r>
        <w:rPr>
          <w:rFonts w:ascii="Times New Roman" w:hAnsi="Times New Roman" w:cs="Times New Roman"/>
          <w:b/>
          <w:i w:val="0"/>
          <w:caps w:val="0"/>
          <w:sz w:val="18"/>
        </w:rPr>
        <w:t>Huntington's disease has long been modelled as a polyglutamine dose problem, but single-cell sequencing of post-mortem striatum shows that striatal projection neurons expand their CAG tract somatically for decades, tolerate it until roughly 150 repeats, and are then eliminated within months. That makes the expansion rate, not the inherited allele, the quantity a drug should target, and MSH3 the most direct way to reach it. This work builds a three-layer stochastic model of that clock, fits four parameters to four published kinetic anchors, and keeps five further observations back for validation. The fit requires a switch-like rather than a graded length dependence, centred on 80.2 repeats, and a first-order rather than cooperative dependence on MSH3, so suppression tracks target engagement proportionally. The calibrated model reproduces two of five held-out observations cleanly, misses the upper tail of terminal tract lengths and the small fraction of neurons that never expand, and predicts, without being fitted to them, indirect-pathway depletion, three genetic-modifier effect sizes and the loss at which clinical onset should occur. The conclusions are shown to survive a change in the calibration estimator that raises end-stage neuron loss substantially. Twenty-nine percent striatal MSH3 lowering, the best figure measured in primates, begun at age 30, preserves 11.5 percentage points of striatum at age 70 across full parameter uncertainty; starting at 50 removes the benefit. The limiting factor is target engagement rather than pharmacology: the striatum needs 7 mg of drug and a systemic transferrin-receptor nanocarrier would require 7.6 g. A three-year trial enrolling at 40 would need about 133 participants per arm.</w:t>
      </w:r>
    </w:p>
    <w:p>
      <w:pPr>
        <w:spacing w:after="200" w:before="0" w:line="240" w:lineRule="auto"/>
        <w:ind w:firstLine="288"/>
        <w:jc w:val="both"/>
      </w:pPr>
      <w:r>
        <w:rPr>
          <w:rFonts w:ascii="Times New Roman" w:hAnsi="Times New Roman" w:cs="Times New Roman"/>
          <w:b/>
          <w:i/>
          <w:caps w:val="0"/>
          <w:sz w:val="18"/>
        </w:rPr>
        <w:t xml:space="preserve">Index Terms: </w:t>
      </w:r>
      <w:r>
        <w:rPr>
          <w:rFonts w:ascii="Times New Roman" w:hAnsi="Times New Roman" w:cs="Times New Roman"/>
          <w:b/>
          <w:i w:val="0"/>
          <w:caps w:val="0"/>
          <w:sz w:val="18"/>
        </w:rPr>
        <w:t>Huntington's disease, somatic repeat expansion, mismatch repair, MSH3, stochastic simulation, Gillespie algorithm, parameter identifiability, antisense oligonucleotide delivery, blood-brain barrier, clinical trial design</w:t>
      </w:r>
    </w:p>
    <w:p>
      <w:pPr>
        <w:spacing w:after="60" w:before="160" w:line="240" w:lineRule="auto"/>
        <w:ind w:firstLine="0"/>
        <w:jc w:val="center"/>
      </w:pPr>
      <w:r>
        <w:rPr>
          <w:rFonts w:ascii="Times New Roman" w:hAnsi="Times New Roman" w:cs="Times New Roman"/>
          <w:b w:val="0"/>
          <w:i w:val="0"/>
          <w:caps/>
          <w:sz w:val="20"/>
        </w:rPr>
        <w:t>I.  Introduction</w:t>
      </w:r>
    </w:p>
    <w:p>
      <w:pPr>
        <w:spacing w:after="40" w:before="120" w:line="240" w:lineRule="auto"/>
        <w:ind w:firstLine="0"/>
        <w:jc w:val="left"/>
      </w:pPr>
      <w:r>
        <w:rPr>
          <w:rFonts w:ascii="Times New Roman" w:hAnsi="Times New Roman" w:cs="Times New Roman"/>
          <w:b w:val="0"/>
          <w:i/>
          <w:caps w:val="0"/>
          <w:sz w:val="20"/>
        </w:rPr>
        <w:t>A.  What the inherited allele does and does not explain</w:t>
      </w:r>
    </w:p>
    <w:p>
      <w:pPr>
        <w:spacing w:after="60" w:before="0" w:line="240" w:lineRule="auto"/>
        <w:ind w:firstLine="288"/>
        <w:jc w:val="both"/>
      </w:pPr>
      <w:r>
        <w:rPr>
          <w:rFonts w:ascii="Times New Roman" w:hAnsi="Times New Roman" w:cs="Times New Roman"/>
          <w:b w:val="0"/>
          <w:i w:val="0"/>
          <w:caps w:val="0"/>
          <w:sz w:val="20"/>
        </w:rPr>
        <w:t xml:space="preserve">Huntington's disease follows from an expanded CAG tract in the first exon of </w:t>
      </w:r>
      <w:r>
        <w:rPr>
          <w:rFonts w:ascii="Times New Roman" w:hAnsi="Times New Roman" w:cs="Times New Roman"/>
          <w:b w:val="0"/>
          <w:i/>
          <w:caps w:val="0"/>
          <w:sz w:val="20"/>
        </w:rPr>
        <w:t>HTT</w:t>
      </w:r>
      <w:r>
        <w:rPr>
          <w:rFonts w:ascii="Times New Roman" w:hAnsi="Times New Roman" w:cs="Times New Roman"/>
          <w:b w:val="0"/>
          <w:i w:val="0"/>
          <w:caps w:val="0"/>
          <w:sz w:val="20"/>
        </w:rPr>
        <w:t>. Tracts of 40 repeats or more are fully penetrant, and length is inversely related to age at motor onset, but the relationship is loose: inherited length accounts for only about half the variance in onset age [10]. The residual variance is heritable, which means something other than the inherited tract is setting the pace.</w:t>
      </w:r>
    </w:p>
    <w:p>
      <w:pPr>
        <w:spacing w:after="60" w:before="0" w:line="240" w:lineRule="auto"/>
        <w:ind w:firstLine="288"/>
        <w:jc w:val="both"/>
      </w:pPr>
      <w:r>
        <w:rPr>
          <w:rFonts w:ascii="Times New Roman" w:hAnsi="Times New Roman" w:cs="Times New Roman"/>
          <w:b w:val="0"/>
          <w:i w:val="0"/>
          <w:caps w:val="0"/>
          <w:sz w:val="20"/>
        </w:rPr>
        <w:t xml:space="preserve">The standard interpretation has been that the expanded polyglutamine tract is toxic in proportion to its length, acting continuously from conception. Two observations sit awkwardly with that. The first is the long clinical silence. A carrier of 42 repeats has carried that allele since fertilisation, expresses the protein in every tissue, and is usually unremarkable for four decades. A dose-dependent poison with a forty-year induction period needs an explanation that the dose model does not supply. The second is the identity of the genetic modifiers. Genome-wide association studies of onset age have repeatedly pointed not at </w:t>
      </w:r>
      <w:r>
        <w:rPr>
          <w:rFonts w:ascii="Times New Roman" w:hAnsi="Times New Roman" w:cs="Times New Roman"/>
          <w:b w:val="0"/>
          <w:i/>
          <w:caps w:val="0"/>
          <w:sz w:val="20"/>
        </w:rPr>
        <w:t>HTT</w:t>
      </w:r>
      <w:r>
        <w:rPr>
          <w:rFonts w:ascii="Times New Roman" w:hAnsi="Times New Roman" w:cs="Times New Roman"/>
          <w:b w:val="0"/>
          <w:i w:val="0"/>
          <w:caps w:val="0"/>
          <w:sz w:val="20"/>
        </w:rPr>
        <w:t xml:space="preserve">, not at protein quality control, and not at any of the pathways that dominate the cell-biological literature, but at DNA mismatch repair: </w:t>
      </w:r>
      <w:r>
        <w:rPr>
          <w:rFonts w:ascii="Times New Roman" w:hAnsi="Times New Roman" w:cs="Times New Roman"/>
          <w:b w:val="0"/>
          <w:i/>
          <w:caps w:val="0"/>
          <w:sz w:val="20"/>
        </w:rPr>
        <w:t>MSH3</w:t>
      </w:r>
      <w:r>
        <w:rPr>
          <w:rFonts w:ascii="Times New Roman" w:hAnsi="Times New Roman" w:cs="Times New Roman"/>
          <w:b w:val="0"/>
          <w:i w:val="0"/>
          <w:caps w:val="0"/>
          <w:sz w:val="20"/>
        </w:rPr>
        <w:t xml:space="preserve">, </w:t>
      </w:r>
      <w:r>
        <w:rPr>
          <w:rFonts w:ascii="Times New Roman" w:hAnsi="Times New Roman" w:cs="Times New Roman"/>
          <w:b w:val="0"/>
          <w:i/>
          <w:caps w:val="0"/>
          <w:sz w:val="20"/>
        </w:rPr>
        <w:t>FAN1</w:t>
      </w:r>
      <w:r>
        <w:rPr>
          <w:rFonts w:ascii="Times New Roman" w:hAnsi="Times New Roman" w:cs="Times New Roman"/>
          <w:b w:val="0"/>
          <w:i w:val="0"/>
          <w:caps w:val="0"/>
          <w:sz w:val="20"/>
        </w:rPr>
        <w:t xml:space="preserve">, </w:t>
      </w:r>
      <w:r>
        <w:rPr>
          <w:rFonts w:ascii="Times New Roman" w:hAnsi="Times New Roman" w:cs="Times New Roman"/>
          <w:b w:val="0"/>
          <w:i/>
          <w:caps w:val="0"/>
          <w:sz w:val="20"/>
        </w:rPr>
        <w:t>MLH1</w:t>
      </w:r>
      <w:r>
        <w:rPr>
          <w:rFonts w:ascii="Times New Roman" w:hAnsi="Times New Roman" w:cs="Times New Roman"/>
          <w:b w:val="0"/>
          <w:i w:val="0"/>
          <w:caps w:val="0"/>
          <w:sz w:val="20"/>
        </w:rPr>
        <w:t xml:space="preserve">, </w:t>
      </w:r>
      <w:r>
        <w:rPr>
          <w:rFonts w:ascii="Times New Roman" w:hAnsi="Times New Roman" w:cs="Times New Roman"/>
          <w:b w:val="0"/>
          <w:i/>
          <w:caps w:val="0"/>
          <w:sz w:val="20"/>
        </w:rPr>
        <w:t>LIG1</w:t>
      </w:r>
      <w:r>
        <w:rPr>
          <w:rFonts w:ascii="Times New Roman" w:hAnsi="Times New Roman" w:cs="Times New Roman"/>
          <w:b w:val="0"/>
          <w:i w:val="0"/>
          <w:caps w:val="0"/>
          <w:sz w:val="20"/>
        </w:rPr>
        <w:t xml:space="preserve">, </w:t>
      </w:r>
      <w:r>
        <w:rPr>
          <w:rFonts w:ascii="Times New Roman" w:hAnsi="Times New Roman" w:cs="Times New Roman"/>
          <w:b w:val="0"/>
          <w:i/>
          <w:caps w:val="0"/>
          <w:sz w:val="20"/>
        </w:rPr>
        <w:t>PMS1</w:t>
      </w:r>
      <w:r>
        <w:rPr>
          <w:rFonts w:ascii="Times New Roman" w:hAnsi="Times New Roman" w:cs="Times New Roman"/>
          <w:b w:val="0"/>
          <w:i w:val="0"/>
          <w:caps w:val="0"/>
          <w:sz w:val="20"/>
        </w:rPr>
        <w:t xml:space="preserve"> and </w:t>
      </w:r>
      <w:r>
        <w:rPr>
          <w:rFonts w:ascii="Times New Roman" w:hAnsi="Times New Roman" w:cs="Times New Roman"/>
          <w:b w:val="0"/>
          <w:i/>
          <w:caps w:val="0"/>
          <w:sz w:val="20"/>
        </w:rPr>
        <w:t>PMS2</w:t>
      </w:r>
      <w:r>
        <w:rPr>
          <w:rFonts w:ascii="Times New Roman" w:hAnsi="Times New Roman" w:cs="Times New Roman"/>
          <w:b w:val="0"/>
          <w:i w:val="0"/>
          <w:caps w:val="0"/>
          <w:sz w:val="20"/>
        </w:rPr>
        <w:t xml:space="preserve"> [1]. Modifiers of a protein-toxicity disease ought to modify protein handling. These modify DNA repair.</w:t>
      </w:r>
    </w:p>
    <w:p>
      <w:pPr>
        <w:spacing w:after="40" w:before="120" w:line="240" w:lineRule="auto"/>
        <w:ind w:firstLine="0"/>
        <w:jc w:val="left"/>
      </w:pPr>
      <w:r>
        <w:rPr>
          <w:rFonts w:ascii="Times New Roman" w:hAnsi="Times New Roman" w:cs="Times New Roman"/>
          <w:b w:val="0"/>
          <w:i/>
          <w:caps w:val="0"/>
          <w:sz w:val="20"/>
        </w:rPr>
        <w:t>B.  What the single-cell data changed</w:t>
      </w:r>
    </w:p>
    <w:p>
      <w:pPr>
        <w:spacing w:after="60" w:before="0" w:line="240" w:lineRule="auto"/>
        <w:ind w:firstLine="288"/>
        <w:jc w:val="both"/>
      </w:pPr>
      <w:r>
        <w:rPr>
          <w:rFonts w:ascii="Times New Roman" w:hAnsi="Times New Roman" w:cs="Times New Roman"/>
          <w:b w:val="0"/>
          <w:i w:val="0"/>
          <w:caps w:val="0"/>
          <w:sz w:val="20"/>
        </w:rPr>
        <w:t>Deep single-cell sequencing of post-mortem caudate has supplied an account that fits both observations [1]. In striatal projection neurons, and to a far smaller degree in any other striatal cell type, the mutant allele expands somatically across the lifespan. In 95 to 98% of a donor's projection neurons the tract has grown beyond the inherited length. Observed lengths run from the inherited 40-odd repeats up past 500, with a maximum of 842. Other interneurons, astrocytes, oligodendrocytes, oligodendrocyte precursors and microglia stay within a few repeats of their inherited length; cholinergic interneurons expand somewhat, but much less than projection neurons. In an unaffected donor neither allele showed substantial instability. The expansion is allele-specific, affecting the expanded allele and not its normal partner.</w:t>
      </w:r>
    </w:p>
    <w:p>
      <w:pPr>
        <w:spacing w:after="60" w:before="0" w:line="240" w:lineRule="auto"/>
        <w:ind w:firstLine="288"/>
        <w:jc w:val="both"/>
      </w:pPr>
      <w:r>
        <w:rPr>
          <w:rFonts w:ascii="Times New Roman" w:hAnsi="Times New Roman" w:cs="Times New Roman"/>
          <w:b w:val="0"/>
          <w:i w:val="0"/>
          <w:caps w:val="0"/>
          <w:sz w:val="20"/>
        </w:rPr>
        <w:t>The kinetics are strongly non-uniform. A projection neuron takes about 50 years on average to go from 40 to 60 repeats and a further 12 years to reach 80. Somewhere across 70 to 90 repeats the mutation rate rises at least six-fold, and the tract may then cover 80 to 150 repeats in a few years. Below 55 repeats mutation events occur less than once per cell per year.</w:t>
      </w:r>
    </w:p>
    <w:p>
      <w:pPr>
        <w:spacing w:after="60" w:before="0" w:line="240" w:lineRule="auto"/>
        <w:ind w:firstLine="288"/>
        <w:jc w:val="both"/>
      </w:pPr>
      <w:r>
        <w:rPr>
          <w:rFonts w:ascii="Times New Roman" w:hAnsi="Times New Roman" w:cs="Times New Roman"/>
          <w:b w:val="0"/>
          <w:i w:val="0"/>
          <w:caps w:val="0"/>
          <w:sz w:val="20"/>
        </w:rPr>
        <w:t xml:space="preserve">What makes this a reframing rather than a detail is the lack of consequence. Expansion from 40 to 150 repeats has no apparent cell-autonomous effect: transcriptional changes are almost undetectable at 150 to 180 repeats. Beyond that point more than 500 genes change expression with length, including markers of projection-neuron identity such as </w:t>
      </w:r>
      <w:r>
        <w:rPr>
          <w:rFonts w:ascii="Times New Roman" w:hAnsi="Times New Roman" w:cs="Times New Roman"/>
          <w:b w:val="0"/>
          <w:i/>
          <w:caps w:val="0"/>
          <w:sz w:val="20"/>
        </w:rPr>
        <w:t>PDE10A</w:t>
      </w:r>
      <w:r>
        <w:rPr>
          <w:rFonts w:ascii="Times New Roman" w:hAnsi="Times New Roman" w:cs="Times New Roman"/>
          <w:b w:val="0"/>
          <w:i w:val="0"/>
          <w:caps w:val="0"/>
          <w:sz w:val="20"/>
        </w:rPr>
        <w:t xml:space="preserve"> and </w:t>
      </w:r>
      <w:r>
        <w:rPr>
          <w:rFonts w:ascii="Times New Roman" w:hAnsi="Times New Roman" w:cs="Times New Roman"/>
          <w:b w:val="0"/>
          <w:i/>
          <w:caps w:val="0"/>
          <w:sz w:val="20"/>
        </w:rPr>
        <w:t>PPP2R2B</w:t>
      </w:r>
      <w:r>
        <w:rPr>
          <w:rFonts w:ascii="Times New Roman" w:hAnsi="Times New Roman" w:cs="Times New Roman"/>
          <w:b w:val="0"/>
          <w:i w:val="0"/>
          <w:caps w:val="0"/>
          <w:sz w:val="20"/>
        </w:rPr>
        <w:t xml:space="preserve">; beyond roughly 350 repeats, normally silent loci are de-repressed in more than half of cells, among them </w:t>
      </w:r>
      <w:r>
        <w:rPr>
          <w:rFonts w:ascii="Times New Roman" w:hAnsi="Times New Roman" w:cs="Times New Roman"/>
          <w:b w:val="0"/>
          <w:i/>
          <w:caps w:val="0"/>
          <w:sz w:val="20"/>
        </w:rPr>
        <w:t>CDKN2A</w:t>
      </w:r>
      <w:r>
        <w:rPr>
          <w:rFonts w:ascii="Times New Roman" w:hAnsi="Times New Roman" w:cs="Times New Roman"/>
          <w:b w:val="0"/>
          <w:i w:val="0"/>
          <w:caps w:val="0"/>
          <w:sz w:val="20"/>
        </w:rPr>
        <w:t xml:space="preserve"> and </w:t>
      </w:r>
      <w:r>
        <w:rPr>
          <w:rFonts w:ascii="Times New Roman" w:hAnsi="Times New Roman" w:cs="Times New Roman"/>
          <w:b w:val="0"/>
          <w:i/>
          <w:caps w:val="0"/>
          <w:sz w:val="20"/>
        </w:rPr>
        <w:t>CDKN2B</w:t>
      </w:r>
      <w:r>
        <w:rPr>
          <w:rFonts w:ascii="Times New Roman" w:hAnsi="Times New Roman" w:cs="Times New Roman"/>
          <w:b w:val="0"/>
          <w:i w:val="0"/>
          <w:caps w:val="0"/>
          <w:sz w:val="20"/>
        </w:rPr>
        <w:t xml:space="preserve"> and genes of the </w:t>
      </w:r>
      <w:r>
        <w:rPr>
          <w:rFonts w:ascii="Times New Roman" w:hAnsi="Times New Roman" w:cs="Times New Roman"/>
          <w:b w:val="0"/>
          <w:i/>
          <w:caps w:val="0"/>
          <w:sz w:val="20"/>
        </w:rPr>
        <w:t>HOX</w:t>
      </w:r>
      <w:r>
        <w:rPr>
          <w:rFonts w:ascii="Times New Roman" w:hAnsi="Times New Roman" w:cs="Times New Roman"/>
          <w:b w:val="0"/>
          <w:i w:val="0"/>
          <w:caps w:val="0"/>
          <w:sz w:val="20"/>
        </w:rPr>
        <w:t xml:space="preserve"> clusters. The neuron then dies over months rather than decades. Simulation in the same study put the average projection neuron with a 42-repeat allele at 96.4% of its life inside the silent expansion phase.</w:t>
      </w:r>
    </w:p>
    <w:p>
      <w:pPr>
        <w:spacing w:after="60" w:before="0" w:line="240" w:lineRule="auto"/>
        <w:ind w:firstLine="288"/>
        <w:jc w:val="both"/>
      </w:pPr>
      <w:r>
        <w:rPr>
          <w:rFonts w:ascii="Times New Roman" w:hAnsi="Times New Roman" w:cs="Times New Roman"/>
          <w:b w:val="0"/>
          <w:i w:val="0"/>
          <w:caps w:val="0"/>
          <w:sz w:val="20"/>
        </w:rPr>
        <w:t>If that is right, the disease has a long, silent, cell-autonomous timer, and the clinically relevant question is how fast the timer runs.</w:t>
      </w:r>
    </w:p>
    <w:p>
      <w:pPr>
        <w:spacing w:after="40" w:before="120" w:line="240" w:lineRule="auto"/>
        <w:ind w:firstLine="0"/>
        <w:jc w:val="left"/>
      </w:pPr>
      <w:r>
        <w:rPr>
          <w:rFonts w:ascii="Times New Roman" w:hAnsi="Times New Roman" w:cs="Times New Roman"/>
          <w:b w:val="0"/>
          <w:i/>
          <w:caps w:val="0"/>
          <w:sz w:val="20"/>
        </w:rPr>
        <w:t>C.  The biochemistry of the timer</w:t>
      </w:r>
    </w:p>
    <w:p>
      <w:pPr>
        <w:spacing w:after="60" w:before="0" w:line="240" w:lineRule="auto"/>
        <w:ind w:firstLine="288"/>
        <w:jc w:val="both"/>
      </w:pPr>
      <w:r>
        <w:rPr>
          <w:rFonts w:ascii="Times New Roman" w:hAnsi="Times New Roman" w:cs="Times New Roman"/>
          <w:b w:val="0"/>
          <w:i w:val="0"/>
          <w:caps w:val="0"/>
          <w:sz w:val="20"/>
        </w:rPr>
        <w:t>CAG tracts are unstable because they can form extrahelical structures. A short run of repeats can slip out of register during replication or repair, leaving an unpaired loop that the mismatch repair machinery recognises. MutSβ, the heterodimer of MSH2 and MSH3, is the sensor. Structural and binding work on CAG hairpins gives a detailed picture [3]: MutSβ binds the stem of a hairpin in preference to its end or its junction with duplex DNA, occupies about 17 repeats per molecule at the stem, and in more than 90% of CAG particles engages a one-unit slip-out, a three-nucleotide bulge. Longer hairpins accommodate more molecules in tandem, with three or more fitting beyond about 40 to 45 repeats. Reported dissociation constants are in the low hundreds of picomolar.</w:t>
      </w:r>
    </w:p>
    <w:p>
      <w:pPr>
        <w:spacing w:after="60" w:before="0" w:line="240" w:lineRule="auto"/>
        <w:ind w:firstLine="288"/>
        <w:jc w:val="both"/>
      </w:pPr>
      <w:r>
        <w:rPr>
          <w:rFonts w:ascii="Times New Roman" w:hAnsi="Times New Roman" w:cs="Times New Roman"/>
          <w:b w:val="0"/>
          <w:i w:val="0"/>
          <w:caps w:val="0"/>
          <w:sz w:val="20"/>
        </w:rPr>
        <w:t>Recognition is only the first step. Reconstituted reactions show that MutSβ activates MutLγ (MLH1 with MLH3), which incises the strand opposite the loop; polymerase δ then performs displacement synthesis using the looped strand as template, and the loop is copied into the duplex [5]. In those experiments the recovered product was a 12-nucleotide, four-repeat insertion matching the loop, which gives a direct measurement of the step size of a single expansion event. FAN1 opposes the process: it incises the looped strand instead, about one nucleotide downstream of the loop, with RFC and PCNA restraining its exonuclease and stimulating its endonuclease, and it inhibits MutLγ directly [5]. The genetics and the biochemistry agree: MutSβ drives expansion, FAN1 restrains it, and variants in either shift onset.</w:t>
      </w:r>
    </w:p>
    <w:p>
      <w:pPr>
        <w:spacing w:after="60" w:before="0" w:line="240" w:lineRule="auto"/>
        <w:ind w:firstLine="288"/>
        <w:jc w:val="both"/>
      </w:pPr>
      <w:r>
        <w:rPr>
          <w:rFonts w:ascii="Times New Roman" w:hAnsi="Times New Roman" w:cs="Times New Roman"/>
          <w:b w:val="0"/>
          <w:i w:val="0"/>
          <w:caps w:val="0"/>
          <w:sz w:val="20"/>
        </w:rPr>
        <w:t>One further result shapes the model built here. Isolated short CTG/CAG slip-outs are repaired efficiently by human MutSβ, whereas clustered slip-outs are repaired poorly [6]. That supplies a length dependence of a specific kind. A short tract can only present one slip-out at a time and repair succeeds; a long tract can present several at once and repair begins to fail. The transition between those regimes should be sharp, and should sit at whatever length first allows clustering.</w:t>
      </w:r>
    </w:p>
    <w:p>
      <w:pPr>
        <w:spacing w:after="40" w:before="120" w:line="240" w:lineRule="auto"/>
        <w:ind w:firstLine="0"/>
        <w:jc w:val="left"/>
      </w:pPr>
      <w:r>
        <w:rPr>
          <w:rFonts w:ascii="Times New Roman" w:hAnsi="Times New Roman" w:cs="Times New Roman"/>
          <w:b w:val="0"/>
          <w:i/>
          <w:caps w:val="0"/>
          <w:sz w:val="20"/>
        </w:rPr>
        <w:t>D.  Why MSH3 is the target</w:t>
      </w:r>
    </w:p>
    <w:p>
      <w:pPr>
        <w:spacing w:after="60" w:before="0" w:line="240" w:lineRule="auto"/>
        <w:ind w:firstLine="288"/>
        <w:jc w:val="both"/>
      </w:pPr>
      <w:r>
        <w:rPr>
          <w:rFonts w:ascii="Times New Roman" w:hAnsi="Times New Roman" w:cs="Times New Roman"/>
          <w:b w:val="0"/>
          <w:i w:val="0"/>
          <w:caps w:val="0"/>
          <w:sz w:val="20"/>
        </w:rPr>
        <w:t>Of the mismatch repair proteins implicated by genetics, MSH3 is the most attractive target. It is not required for the core MutSα-dependent mismatch repair pathway, so lowering it is less obviously dangerous than lowering MSH2 or MLH1. It is limiting for MutSβ. And it is reachable with current oligonucleotide chemistry.</w:t>
      </w:r>
    </w:p>
    <w:p>
      <w:pPr>
        <w:spacing w:after="60" w:before="0" w:line="240" w:lineRule="auto"/>
        <w:ind w:firstLine="288"/>
        <w:jc w:val="both"/>
      </w:pPr>
      <w:r>
        <w:rPr>
          <w:rFonts w:ascii="Times New Roman" w:hAnsi="Times New Roman" w:cs="Times New Roman"/>
          <w:b w:val="0"/>
          <w:i w:val="0"/>
          <w:caps w:val="0"/>
          <w:sz w:val="20"/>
        </w:rPr>
        <w:t xml:space="preserve">The relevant pharmacology has been measured. Divalent siRNA against </w:t>
      </w:r>
      <w:r>
        <w:rPr>
          <w:rFonts w:ascii="Times New Roman" w:hAnsi="Times New Roman" w:cs="Times New Roman"/>
          <w:b w:val="0"/>
          <w:i/>
          <w:caps w:val="0"/>
          <w:sz w:val="20"/>
        </w:rPr>
        <w:t>Msh3</w:t>
      </w:r>
      <w:r>
        <w:rPr>
          <w:rFonts w:ascii="Times New Roman" w:hAnsi="Times New Roman" w:cs="Times New Roman"/>
          <w:b w:val="0"/>
          <w:i w:val="0"/>
          <w:caps w:val="0"/>
          <w:sz w:val="20"/>
        </w:rPr>
        <w:t xml:space="preserve"> delivered into mouse brain lowers striatal MSH3 protein in a dose-dependent way, to 59% of control at 3 nmol and 25% at 10 nmol, and reduces the striatal somatic expansion index by 45.1% and 78.1% respectively [4]. Regressing percent expansion prevented against percent MSH3 protein gives a straight line with a slope near unity, intercepts of 92.4 on the y axis and 110.4 on the x axis, and R² of 0.65. The authors read this as a directly proportional relationship and note that complete suppression would require close to complete lowering. Antisense oligonucleotides against </w:t>
      </w:r>
      <w:r>
        <w:rPr>
          <w:rFonts w:ascii="Times New Roman" w:hAnsi="Times New Roman" w:cs="Times New Roman"/>
          <w:b w:val="0"/>
          <w:i/>
          <w:caps w:val="0"/>
          <w:sz w:val="20"/>
        </w:rPr>
        <w:t>MSH3</w:t>
      </w:r>
      <w:r>
        <w:rPr>
          <w:rFonts w:ascii="Times New Roman" w:hAnsi="Times New Roman" w:cs="Times New Roman"/>
          <w:b w:val="0"/>
          <w:i w:val="0"/>
          <w:caps w:val="0"/>
          <w:sz w:val="20"/>
        </w:rPr>
        <w:t xml:space="preserve"> reduce somatic expansion in patient-derived striatal neurons as well [11]. Two features of the mouse data matter for anything built on top of it. No contraction of already-expanded tracts was seen, even above 95% knockdown: the drug can stop the clock but cannot wind it back. And MSH6 protein rose to 142% of control at the top dose, a reminder that the complex is not lowered in isolation.</w:t>
      </w:r>
    </w:p>
    <w:p>
      <w:pPr>
        <w:spacing w:after="40" w:before="120" w:line="240" w:lineRule="auto"/>
        <w:ind w:firstLine="0"/>
        <w:jc w:val="left"/>
      </w:pPr>
      <w:r>
        <w:rPr>
          <w:rFonts w:ascii="Times New Roman" w:hAnsi="Times New Roman" w:cs="Times New Roman"/>
          <w:b w:val="0"/>
          <w:i/>
          <w:caps w:val="0"/>
          <w:sz w:val="20"/>
        </w:rPr>
        <w:t>E.  Why delivery is the hard part</w:t>
      </w:r>
    </w:p>
    <w:p>
      <w:pPr>
        <w:spacing w:after="60" w:before="0" w:line="240" w:lineRule="auto"/>
        <w:ind w:firstLine="288"/>
        <w:jc w:val="both"/>
      </w:pPr>
      <w:r>
        <w:rPr>
          <w:rFonts w:ascii="Times New Roman" w:hAnsi="Times New Roman" w:cs="Times New Roman"/>
          <w:b w:val="0"/>
          <w:i w:val="0"/>
          <w:caps w:val="0"/>
          <w:sz w:val="20"/>
        </w:rPr>
        <w:t xml:space="preserve">Oligonucleotides do not cross the blood-brain barrier, so CNS programmes deliver them into the cerebrospinal fluid, intrathecally or into a ventricle. CSF delivery reaches the cortex and the spinal cord well. It reaches deep grey matter poorly, and the striatum worst of all. In adult macaques given 25 mg intrathecally on three occasions, deep brain accumulation was more than an order of magnitude below many cortical regions, and caudate and putamen were the lowest of all, with three of four animals at the lower limit of quantification [7]. Residual target RNA, measured for </w:t>
      </w:r>
      <w:r>
        <w:rPr>
          <w:rFonts w:ascii="Times New Roman" w:hAnsi="Times New Roman" w:cs="Times New Roman"/>
          <w:b w:val="0"/>
          <w:i/>
          <w:caps w:val="0"/>
          <w:sz w:val="20"/>
        </w:rPr>
        <w:t>Malat1</w:t>
      </w:r>
      <w:r>
        <w:rPr>
          <w:rFonts w:ascii="Times New Roman" w:hAnsi="Times New Roman" w:cs="Times New Roman"/>
          <w:b w:val="0"/>
          <w:i w:val="0"/>
          <w:caps w:val="0"/>
          <w:sz w:val="20"/>
        </w:rPr>
        <w:t xml:space="preserve"> as a reporter of where the oligonucleotide is active, was 71% in putamen projection neurons against 31% in thalamus and 34% by qPCR in the same animals. That regimen is heavier than clinical dosing, and the human brain is larger.</w:t>
      </w:r>
    </w:p>
    <w:p>
      <w:pPr>
        <w:spacing w:after="60" w:before="0" w:line="240" w:lineRule="auto"/>
        <w:ind w:firstLine="288"/>
        <w:jc w:val="both"/>
      </w:pPr>
      <w:r>
        <w:rPr>
          <w:rFonts w:ascii="Times New Roman" w:hAnsi="Times New Roman" w:cs="Times New Roman"/>
          <w:b w:val="0"/>
          <w:i w:val="0"/>
          <w:caps w:val="0"/>
          <w:sz w:val="20"/>
        </w:rPr>
        <w:t>The alternative is to cross the barrier from the blood using receptor-mediated transcytosis, most often via the transferrin receptor. Here the measured numbers are sobering. Transferrin-receptor-targeted gold nanoparticles of about 75 nm hydrodynamic diameter, given intravenously to mice, reached parenchymal concentrations of 0.04 to 0.23% of injected dose per gram at 8 hours, depending on antibody affinity and valency, with monovalent binding outperforming bivalent by roughly five-fold at matched affinity [8].</w:t>
      </w:r>
    </w:p>
    <w:p>
      <w:pPr>
        <w:spacing w:after="60" w:before="0" w:line="240" w:lineRule="auto"/>
        <w:ind w:firstLine="288"/>
        <w:jc w:val="both"/>
      </w:pPr>
      <w:r>
        <w:rPr>
          <w:rFonts w:ascii="Times New Roman" w:hAnsi="Times New Roman" w:cs="Times New Roman"/>
          <w:b w:val="0"/>
          <w:i w:val="0"/>
          <w:caps w:val="0"/>
          <w:sz w:val="20"/>
        </w:rPr>
        <w:t>So the question is not only how much MSH3 lowering helps. It is whether the amount that helps can be delivered to the one structure where it is needed.</w:t>
      </w:r>
    </w:p>
    <w:p>
      <w:pPr>
        <w:spacing w:after="40" w:before="120" w:line="240" w:lineRule="auto"/>
        <w:ind w:firstLine="0"/>
        <w:jc w:val="left"/>
      </w:pPr>
      <w:r>
        <w:rPr>
          <w:rFonts w:ascii="Times New Roman" w:hAnsi="Times New Roman" w:cs="Times New Roman"/>
          <w:b w:val="0"/>
          <w:i/>
          <w:caps w:val="0"/>
          <w:sz w:val="20"/>
        </w:rPr>
        <w:t>F.  What this project adds</w:t>
      </w:r>
    </w:p>
    <w:p>
      <w:pPr>
        <w:spacing w:after="60" w:before="0" w:line="240" w:lineRule="auto"/>
        <w:ind w:firstLine="288"/>
        <w:jc w:val="both"/>
      </w:pPr>
      <w:r>
        <w:rPr>
          <w:rFonts w:ascii="Times New Roman" w:hAnsi="Times New Roman" w:cs="Times New Roman"/>
          <w:b w:val="0"/>
          <w:i w:val="0"/>
          <w:caps w:val="0"/>
          <w:sz w:val="20"/>
        </w:rPr>
        <w:t>This work contributes six things.</w:t>
      </w:r>
    </w:p>
    <w:p>
      <w:pPr>
        <w:spacing w:after="40" w:before="0" w:line="240" w:lineRule="auto"/>
        <w:ind w:left="288" w:hanging="173"/>
        <w:jc w:val="both"/>
      </w:pPr>
      <w:r>
        <w:rPr>
          <w:rFonts w:ascii="Times New Roman" w:hAnsi="Times New Roman" w:cs="Times New Roman"/>
          <w:b w:val="0"/>
          <w:i w:val="0"/>
          <w:caps w:val="0"/>
          <w:sz w:val="20"/>
        </w:rPr>
        <w:t xml:space="preserve">1) </w:t>
      </w:r>
      <w:r>
        <w:rPr>
          <w:rFonts w:ascii="Times New Roman" w:hAnsi="Times New Roman" w:cs="Times New Roman"/>
          <w:b w:val="0"/>
          <w:i w:val="0"/>
          <w:caps w:val="0"/>
          <w:sz w:val="20"/>
        </w:rPr>
        <w:t>A mechanistic rate law for somatic CAG expansion, assembled from MutSβ footprint, slip-out occupancy and clustered-repair failure, and fitted exactly to four published kinetic anchors.</w:t>
      </w:r>
    </w:p>
    <w:p>
      <w:pPr>
        <w:spacing w:after="40" w:before="0" w:line="240" w:lineRule="auto"/>
        <w:ind w:left="288" w:hanging="173"/>
        <w:jc w:val="both"/>
      </w:pPr>
      <w:r>
        <w:rPr>
          <w:rFonts w:ascii="Times New Roman" w:hAnsi="Times New Roman" w:cs="Times New Roman"/>
          <w:b w:val="0"/>
          <w:i w:val="0"/>
          <w:caps w:val="0"/>
          <w:sz w:val="20"/>
        </w:rPr>
        <w:t xml:space="preserve">2) </w:t>
      </w:r>
      <w:r>
        <w:rPr>
          <w:rFonts w:ascii="Times New Roman" w:hAnsi="Times New Roman" w:cs="Times New Roman"/>
          <w:b w:val="0"/>
          <w:i w:val="0"/>
          <w:caps w:val="0"/>
          <w:sz w:val="20"/>
        </w:rPr>
        <w:t>A profile analysis giving feasible ranges for each fitted parameter, which shows which features of the clock are determined by the data and which are not.</w:t>
      </w:r>
    </w:p>
    <w:p>
      <w:pPr>
        <w:spacing w:after="40" w:before="0" w:line="240" w:lineRule="auto"/>
        <w:ind w:left="288" w:hanging="173"/>
        <w:jc w:val="both"/>
      </w:pPr>
      <w:r>
        <w:rPr>
          <w:rFonts w:ascii="Times New Roman" w:hAnsi="Times New Roman" w:cs="Times New Roman"/>
          <w:b w:val="0"/>
          <w:i w:val="0"/>
          <w:caps w:val="0"/>
          <w:sz w:val="20"/>
        </w:rPr>
        <w:t xml:space="preserve">3) </w:t>
      </w:r>
      <w:r>
        <w:rPr>
          <w:rFonts w:ascii="Times New Roman" w:hAnsi="Times New Roman" w:cs="Times New Roman"/>
          <w:b w:val="0"/>
          <w:i w:val="0"/>
          <w:caps w:val="0"/>
          <w:sz w:val="20"/>
        </w:rPr>
        <w:t>An inference, from an independent dataset, that the productive MutSβ species is first-order rather than a tandem assembly, with the implication that suppression tracks target engagement proportionally.</w:t>
      </w:r>
    </w:p>
    <w:p>
      <w:pPr>
        <w:spacing w:after="40" w:before="0" w:line="240" w:lineRule="auto"/>
        <w:ind w:left="288" w:hanging="173"/>
        <w:jc w:val="both"/>
      </w:pPr>
      <w:r>
        <w:rPr>
          <w:rFonts w:ascii="Times New Roman" w:hAnsi="Times New Roman" w:cs="Times New Roman"/>
          <w:b w:val="0"/>
          <w:i w:val="0"/>
          <w:caps w:val="0"/>
          <w:sz w:val="20"/>
        </w:rPr>
        <w:t xml:space="preserve">4) </w:t>
      </w:r>
      <w:r>
        <w:rPr>
          <w:rFonts w:ascii="Times New Roman" w:hAnsi="Times New Roman" w:cs="Times New Roman"/>
          <w:b w:val="0"/>
          <w:i w:val="0"/>
          <w:caps w:val="0"/>
          <w:sz w:val="20"/>
        </w:rPr>
        <w:t>A demonstration that two independent published constraints on striatal degeneration cannot both be satisfied by a cell-autonomous threshold model, with the candidate resolutions tested rather than asserted.</w:t>
      </w:r>
    </w:p>
    <w:p>
      <w:pPr>
        <w:spacing w:after="40" w:before="0" w:line="240" w:lineRule="auto"/>
        <w:ind w:left="288" w:hanging="173"/>
        <w:jc w:val="both"/>
      </w:pPr>
      <w:r>
        <w:rPr>
          <w:rFonts w:ascii="Times New Roman" w:hAnsi="Times New Roman" w:cs="Times New Roman"/>
          <w:b w:val="0"/>
          <w:i w:val="0"/>
          <w:caps w:val="0"/>
          <w:sz w:val="20"/>
        </w:rPr>
        <w:t xml:space="preserve">5) </w:t>
      </w:r>
      <w:r>
        <w:rPr>
          <w:rFonts w:ascii="Times New Roman" w:hAnsi="Times New Roman" w:cs="Times New Roman"/>
          <w:b w:val="0"/>
          <w:i w:val="0"/>
          <w:caps w:val="0"/>
          <w:sz w:val="20"/>
        </w:rPr>
        <w:t>A delivery analysis that converts measured primate target engagement and measured nanoparticle brain uptake into an explicit, falsifiable engineering specification, and a dosing-schedule analysis that shows when intermittency matters.</w:t>
      </w:r>
    </w:p>
    <w:p>
      <w:pPr>
        <w:spacing w:after="40" w:before="0" w:line="240" w:lineRule="auto"/>
        <w:ind w:left="288" w:hanging="173"/>
        <w:jc w:val="both"/>
      </w:pPr>
      <w:r>
        <w:rPr>
          <w:rFonts w:ascii="Times New Roman" w:hAnsi="Times New Roman" w:cs="Times New Roman"/>
          <w:b w:val="0"/>
          <w:i w:val="0"/>
          <w:caps w:val="0"/>
          <w:sz w:val="20"/>
        </w:rPr>
        <w:t xml:space="preserve">6) </w:t>
      </w:r>
      <w:r>
        <w:rPr>
          <w:rFonts w:ascii="Times New Roman" w:hAnsi="Times New Roman" w:cs="Times New Roman"/>
          <w:b w:val="0"/>
          <w:i w:val="0"/>
          <w:caps w:val="0"/>
          <w:sz w:val="20"/>
        </w:rPr>
        <w:t>An in silico trial with full uncertainty propagation, a set of genotype-to-onset predictions for the known modifiers, and a sample-size calculation for a real trial.</w:t>
      </w:r>
    </w:p>
    <w:p>
      <w:pPr>
        <w:spacing w:after="60" w:before="160" w:line="240" w:lineRule="auto"/>
        <w:ind w:firstLine="0"/>
        <w:jc w:val="center"/>
      </w:pPr>
      <w:r>
        <w:rPr>
          <w:rFonts w:ascii="Times New Roman" w:hAnsi="Times New Roman" w:cs="Times New Roman"/>
          <w:b w:val="0"/>
          <w:i w:val="0"/>
          <w:caps/>
          <w:sz w:val="20"/>
        </w:rPr>
        <w:t>II.  Methods</w:t>
      </w:r>
    </w:p>
    <w:p>
      <w:pPr>
        <w:spacing w:after="40" w:before="120" w:line="240" w:lineRule="auto"/>
        <w:ind w:firstLine="0"/>
        <w:jc w:val="left"/>
      </w:pPr>
      <w:r>
        <w:rPr>
          <w:rFonts w:ascii="Times New Roman" w:hAnsi="Times New Roman" w:cs="Times New Roman"/>
          <w:b w:val="0"/>
          <w:i/>
          <w:caps w:val="0"/>
          <w:sz w:val="20"/>
        </w:rPr>
        <w:t>A.  Software and reproducibility</w:t>
      </w:r>
    </w:p>
    <w:p>
      <w:pPr>
        <w:spacing w:after="60" w:before="0" w:line="240" w:lineRule="auto"/>
        <w:ind w:firstLine="288"/>
        <w:jc w:val="both"/>
      </w:pPr>
      <w:r>
        <w:rPr>
          <w:rFonts w:ascii="Times New Roman" w:hAnsi="Times New Roman" w:cs="Times New Roman"/>
          <w:b w:val="0"/>
          <w:i w:val="0"/>
          <w:caps w:val="0"/>
          <w:sz w:val="20"/>
        </w:rPr>
        <w:t xml:space="preserve">Everything is implemented in Python 3 using NumPy 2.5.3, SciPy 1.18.1 and Matplotlib 3.11.2, in the </w:t>
      </w:r>
      <w:r>
        <w:rPr>
          <w:rFonts w:ascii="Consolas" w:hAnsi="Consolas" w:cs="Consolas"/>
          <w:b w:val="0"/>
          <w:i w:val="0"/>
          <w:caps w:val="0"/>
          <w:sz w:val="20"/>
        </w:rPr>
        <w:t>code/</w:t>
      </w:r>
      <w:r>
        <w:rPr>
          <w:rFonts w:ascii="Times New Roman" w:hAnsi="Times New Roman" w:cs="Times New Roman"/>
          <w:b w:val="0"/>
          <w:i w:val="0"/>
          <w:caps w:val="0"/>
          <w:sz w:val="20"/>
        </w:rPr>
        <w:t xml:space="preserve"> directory. Scripts run in numerical order and each writes its own tables to </w:t>
      </w:r>
      <w:r>
        <w:rPr>
          <w:rFonts w:ascii="Consolas" w:hAnsi="Consolas" w:cs="Consolas"/>
          <w:b w:val="0"/>
          <w:i w:val="0"/>
          <w:caps w:val="0"/>
          <w:sz w:val="20"/>
        </w:rPr>
        <w:t>results/</w:t>
      </w:r>
      <w:r>
        <w:rPr>
          <w:rFonts w:ascii="Times New Roman" w:hAnsi="Times New Roman" w:cs="Times New Roman"/>
          <w:b w:val="0"/>
          <w:i w:val="0"/>
          <w:caps w:val="0"/>
          <w:sz w:val="20"/>
        </w:rPr>
        <w:t xml:space="preserve"> and its own figures to </w:t>
      </w:r>
      <w:r>
        <w:rPr>
          <w:rFonts w:ascii="Consolas" w:hAnsi="Consolas" w:cs="Consolas"/>
          <w:b w:val="0"/>
          <w:i w:val="0"/>
          <w:caps w:val="0"/>
          <w:sz w:val="20"/>
        </w:rPr>
        <w:t>figures/</w:t>
      </w:r>
      <w:r>
        <w:rPr>
          <w:rFonts w:ascii="Times New Roman" w:hAnsi="Times New Roman" w:cs="Times New Roman"/>
          <w:b w:val="0"/>
          <w:i w:val="0"/>
          <w:caps w:val="0"/>
          <w:sz w:val="20"/>
        </w:rPr>
        <w:t>. All random seeds are fixed. Total runtime is about forty minutes.</w:t>
      </w:r>
    </w:p>
    <w:p>
      <w:pPr>
        <w:spacing w:after="60" w:before="0" w:line="240" w:lineRule="auto"/>
        <w:ind w:firstLine="288"/>
        <w:jc w:val="both"/>
      </w:pPr>
      <w:r>
        <w:rPr>
          <w:rFonts w:ascii="Times New Roman" w:hAnsi="Times New Roman" w:cs="Times New Roman"/>
          <w:b w:val="0"/>
          <w:i w:val="0"/>
          <w:caps w:val="0"/>
          <w:sz w:val="20"/>
        </w:rPr>
        <w:t>No experimental data were obtained or redistributed. Calibration uses published summary statistics, each listed with its source in Table III. Three categories of number appear in this paper and are kept distinct throughout: values read from published papers, values fitted here by optimisation against those published values, and values assumed. Every assumed value is varied, but not all of them in the same way, and the distinction matters enough to state up front. The assumed constants of the expansion and elimination model are varied simultaneously in the global sensitivity analysis of Section III-M, which recalibrates the rate law inside every sample. The delivery and translation constants, the assumed parental age at onset behind the external regression, and the molecular weight and endosomal escape fraction are varied one at a time in dedicated scans instead, because they do not enter the expansion model and sweeping them jointly with it would add dimensions without adding information. Table III marks which treatment each constant receives.</w:t>
      </w:r>
    </w:p>
    <w:p>
      <w:pPr>
        <w:spacing w:after="40" w:before="120" w:line="240" w:lineRule="auto"/>
        <w:ind w:firstLine="0"/>
        <w:jc w:val="left"/>
      </w:pPr>
      <w:r>
        <w:rPr>
          <w:rFonts w:ascii="Times New Roman" w:hAnsi="Times New Roman" w:cs="Times New Roman"/>
          <w:b w:val="0"/>
          <w:i/>
          <w:caps w:val="0"/>
          <w:sz w:val="20"/>
        </w:rPr>
        <w:t>B.  Layer 1: the expansion rate law</w:t>
      </w:r>
    </w:p>
    <w:p>
      <w:pPr>
        <w:spacing w:after="60" w:before="0" w:line="240" w:lineRule="auto"/>
        <w:ind w:firstLine="288"/>
        <w:jc w:val="both"/>
      </w:pPr>
      <w:r>
        <w:rPr>
          <w:rFonts w:ascii="Times New Roman" w:hAnsi="Times New Roman" w:cs="Times New Roman"/>
          <w:b w:val="0"/>
          <w:i w:val="0"/>
          <w:caps w:val="0"/>
          <w:sz w:val="20"/>
        </w:rPr>
        <w:t xml:space="preserve">The rate at which expansion events occur in one striatal projection neuron carrying a tract of length </w:t>
      </w:r>
      <w:r>
        <w:rPr>
          <w:rFonts w:ascii="Times New Roman" w:hAnsi="Times New Roman" w:cs="Times New Roman"/>
          <w:b w:val="0"/>
          <w:i/>
          <w:caps w:val="0"/>
          <w:sz w:val="20"/>
        </w:rPr>
        <w:t>L</w:t>
      </w:r>
      <w:r>
        <w:rPr>
          <w:rFonts w:ascii="Times New Roman" w:hAnsi="Times New Roman" w:cs="Times New Roman"/>
          <w:b w:val="0"/>
          <w:i w:val="0"/>
          <w:caps w:val="0"/>
          <w:sz w:val="20"/>
        </w:rPr>
        <w:t>, measured in repeats, is written as a product of four factors:</w:t>
      </w:r>
    </w:p>
    <w:p>
      <w:pPr>
        <w:spacing w:after="80" w:before="80" w:line="240" w:lineRule="auto"/>
        <w:ind w:firstLine="0"/>
        <w:jc w:val="center"/>
      </w:pPr>
      <w:r>
        <w:rPr>
          <w:rFonts w:ascii="Times New Roman" w:hAnsi="Times New Roman" w:cs="Times New Roman"/>
          <w:b w:val="0"/>
          <w:i/>
          <w:caps w:val="0"/>
          <w:sz w:val="20"/>
        </w:rPr>
        <w:t>λ(L) = A · n(L) · φ(L) · [ (1 − C(L)) + R · C(L) ] · θ / f</w:t>
      </w:r>
    </w:p>
    <w:p>
      <w:pPr>
        <w:spacing w:after="60" w:before="0" w:line="240" w:lineRule="auto"/>
        <w:ind w:firstLine="288"/>
        <w:jc w:val="both"/>
      </w:pPr>
      <w:r>
        <w:rPr>
          <w:rFonts w:ascii="Times New Roman" w:hAnsi="Times New Roman" w:cs="Times New Roman"/>
          <w:b w:val="0"/>
          <w:i w:val="0"/>
          <w:caps w:val="0"/>
          <w:sz w:val="20"/>
        </w:rPr>
        <w:t>Each factor corresponds to a step in the mechanism described in Section I-C, and each is sourced separately: the footprint from structural work [3], the slip-out equilibrium from polymer thermodynamics, the clustering penalty from the in vitro repair assays [6], and the MSH3 and FAN1 terms from the genetics and the mouse dose-response [4,5].</w:t>
      </w:r>
    </w:p>
    <w:p>
      <w:pPr>
        <w:spacing w:after="60" w:before="0" w:line="240" w:lineRule="auto"/>
        <w:ind w:firstLine="288"/>
        <w:jc w:val="both"/>
      </w:pPr>
      <w:r>
        <w:rPr>
          <w:rFonts w:ascii="Times New Roman" w:hAnsi="Times New Roman" w:cs="Times New Roman"/>
          <w:b w:val="0"/>
          <w:i w:val="0"/>
          <w:caps w:val="0"/>
          <w:sz w:val="20"/>
        </w:rPr>
        <w:t>Combining them as a product is a modelling choice rather than a published result, and it is the one piece of this structure with no direct support. It treats the steps as independent stages of a single pathway, so that the rate of a productive event is the product of the chances of each stage. That is reasonable if the stages really are sequential and non-interacting. It would be wrong if, for example, MutSβ bound at one site altered the slip-out probability at a neighbouring one, which tandem binding [3] makes conceivable. No available dataset separates these possibilities, so the product form is carried as an explicit structural assumption and named as such in the limitations.</w:t>
      </w:r>
    </w:p>
    <w:p>
      <w:pPr>
        <w:spacing w:after="60" w:before="0" w:line="240" w:lineRule="auto"/>
        <w:ind w:firstLine="288"/>
        <w:jc w:val="both"/>
      </w:pPr>
      <w:r>
        <w:rPr>
          <w:rFonts w:ascii="Times New Roman" w:hAnsi="Times New Roman" w:cs="Times New Roman"/>
          <w:b/>
          <w:i w:val="0"/>
          <w:caps w:val="0"/>
          <w:sz w:val="20"/>
        </w:rPr>
        <w:t>Site multiplicity, n(L) = L / w.</w:t>
      </w:r>
      <w:r>
        <w:rPr>
          <w:rFonts w:ascii="Times New Roman" w:hAnsi="Times New Roman" w:cs="Times New Roman"/>
          <w:b w:val="0"/>
          <w:i w:val="0"/>
          <w:caps w:val="0"/>
          <w:sz w:val="20"/>
        </w:rPr>
        <w:t xml:space="preserve"> A single MutSβ molecule occludes about </w:t>
      </w:r>
      <w:r>
        <w:rPr>
          <w:rFonts w:ascii="Times New Roman" w:hAnsi="Times New Roman" w:cs="Times New Roman"/>
          <w:b w:val="0"/>
          <w:i/>
          <w:caps w:val="0"/>
          <w:sz w:val="20"/>
        </w:rPr>
        <w:t>w</w:t>
      </w:r>
      <w:r>
        <w:rPr>
          <w:rFonts w:ascii="Times New Roman" w:hAnsi="Times New Roman" w:cs="Times New Roman"/>
          <w:b w:val="0"/>
          <w:i w:val="0"/>
          <w:caps w:val="0"/>
          <w:sz w:val="20"/>
        </w:rPr>
        <w:t xml:space="preserve"> = 17 repeats at a hairpin stem [3], so a longer tract can carry proportionally more. This is the weakest of the length dependences, growing linearly, and it turns out to contribute very little; it is retained because it is measured rather than assumed.</w:t>
      </w:r>
    </w:p>
    <w:p>
      <w:pPr>
        <w:spacing w:after="60" w:before="0" w:line="240" w:lineRule="auto"/>
        <w:ind w:firstLine="288"/>
        <w:jc w:val="both"/>
      </w:pPr>
      <w:r>
        <w:rPr>
          <w:rFonts w:ascii="Times New Roman" w:hAnsi="Times New Roman" w:cs="Times New Roman"/>
          <w:b/>
          <w:i w:val="0"/>
          <w:caps w:val="0"/>
          <w:sz w:val="20"/>
        </w:rPr>
        <w:t>Slip-out occupancy, φ(L) = 1 / (1 + exp(−β(L − L₅₀))).</w:t>
      </w:r>
      <w:r>
        <w:rPr>
          <w:rFonts w:ascii="Times New Roman" w:hAnsi="Times New Roman" w:cs="Times New Roman"/>
          <w:b w:val="0"/>
          <w:i w:val="0"/>
          <w:caps w:val="0"/>
          <w:sz w:val="20"/>
        </w:rPr>
        <w:t xml:space="preserve"> MutSβ binds a one-unit slip-out, so the substrate must be present before anything can happen. Treating slipped and unslipped registers as a two-state equilibrium whose free-energy difference falls linearly with tract length gives a logistic function of </w:t>
      </w:r>
      <w:r>
        <w:rPr>
          <w:rFonts w:ascii="Times New Roman" w:hAnsi="Times New Roman" w:cs="Times New Roman"/>
          <w:b w:val="0"/>
          <w:i/>
          <w:caps w:val="0"/>
          <w:sz w:val="20"/>
        </w:rPr>
        <w:t>L</w:t>
      </w:r>
      <w:r>
        <w:rPr>
          <w:rFonts w:ascii="Times New Roman" w:hAnsi="Times New Roman" w:cs="Times New Roman"/>
          <w:b w:val="0"/>
          <w:i w:val="0"/>
          <w:caps w:val="0"/>
          <w:sz w:val="20"/>
        </w:rPr>
        <w:t>. The parameter β is α/RT, where α = d(ΔG_slip)/dL per repeat, and L₅₀ is the length at which the slipped state is half-populated. L₅₀ acts only as a ceiling at very long tracts and is fixed at 400 repeats, a value varied in the sensitivity analysis.</w:t>
      </w:r>
    </w:p>
    <w:p>
      <w:pPr>
        <w:spacing w:after="60" w:before="0" w:line="240" w:lineRule="auto"/>
        <w:ind w:firstLine="288"/>
        <w:jc w:val="both"/>
      </w:pPr>
      <w:r>
        <w:rPr>
          <w:rFonts w:ascii="Times New Roman" w:hAnsi="Times New Roman" w:cs="Times New Roman"/>
          <w:b/>
          <w:i w:val="0"/>
          <w:caps w:val="0"/>
          <w:sz w:val="20"/>
        </w:rPr>
        <w:t xml:space="preserve">Clustered-repair failure, (1 − C) + R·C with C(L) = 1 / (1 + exp(−(L − </w:t>
      </w:r>
      <w:r>
        <w:rPr>
          <w:rFonts w:ascii="Times New Roman" w:hAnsi="Times New Roman" w:cs="Times New Roman"/>
          <w:b/>
          <w:i/>
          <w:caps w:val="0"/>
          <w:sz w:val="20"/>
        </w:rPr>
        <w:t>L</w:t>
      </w:r>
      <w:r>
        <w:rPr>
          <w:rFonts w:ascii="Times New Roman" w:hAnsi="Times New Roman" w:cs="Times New Roman"/>
          <w:b/>
          <w:i/>
          <w:caps w:val="0"/>
          <w:sz w:val="20"/>
          <w:vertAlign w:val="subscript"/>
        </w:rPr>
        <w:t>sw</w:t>
      </w:r>
      <w:r>
        <w:rPr>
          <w:rFonts w:ascii="Times New Roman" w:hAnsi="Times New Roman" w:cs="Times New Roman"/>
          <w:b/>
          <w:i w:val="0"/>
          <w:caps w:val="0"/>
          <w:sz w:val="20"/>
        </w:rPr>
        <w:t>)/</w:t>
      </w:r>
      <w:r>
        <w:rPr>
          <w:rFonts w:ascii="Times New Roman" w:hAnsi="Times New Roman" w:cs="Times New Roman"/>
          <w:b/>
          <w:i/>
          <w:caps w:val="0"/>
          <w:sz w:val="20"/>
        </w:rPr>
        <w:t>w</w:t>
      </w:r>
      <w:r>
        <w:rPr>
          <w:rFonts w:ascii="Times New Roman" w:hAnsi="Times New Roman" w:cs="Times New Roman"/>
          <w:b/>
          <w:i/>
          <w:caps w:val="0"/>
          <w:sz w:val="20"/>
          <w:vertAlign w:val="subscript"/>
        </w:rPr>
        <w:t>sw</w:t>
      </w:r>
      <w:r>
        <w:rPr>
          <w:rFonts w:ascii="Times New Roman" w:hAnsi="Times New Roman" w:cs="Times New Roman"/>
          <w:b/>
          <w:i w:val="0"/>
          <w:caps w:val="0"/>
          <w:sz w:val="20"/>
        </w:rPr>
        <w:t>)).</w:t>
      </w:r>
      <w:r>
        <w:rPr>
          <w:rFonts w:ascii="Times New Roman" w:hAnsi="Times New Roman" w:cs="Times New Roman"/>
          <w:b w:val="0"/>
          <w:i w:val="0"/>
          <w:caps w:val="0"/>
          <w:sz w:val="20"/>
        </w:rPr>
        <w:t xml:space="preserve"> Isolated slip-outs are repaired efficiently and clustered slip-outs are not [6]. C(L) is the fraction of slip-outs that occur in clusters, modelled as a logistic switch centred on </w:t>
      </w:r>
      <w:r>
        <w:rPr>
          <w:rFonts w:ascii="Times New Roman" w:hAnsi="Times New Roman" w:cs="Times New Roman"/>
          <w:b w:val="0"/>
          <w:i/>
          <w:caps w:val="0"/>
          <w:sz w:val="20"/>
        </w:rPr>
        <w:t>L</w:t>
      </w:r>
      <w:r>
        <w:rPr>
          <w:rFonts w:ascii="Times New Roman" w:hAnsi="Times New Roman" w:cs="Times New Roman"/>
          <w:b w:val="0"/>
          <w:i/>
          <w:caps w:val="0"/>
          <w:sz w:val="20"/>
          <w:vertAlign w:val="subscript"/>
        </w:rPr>
        <w:t>sw</w:t>
      </w:r>
      <w:r>
        <w:rPr>
          <w:rFonts w:ascii="Times New Roman" w:hAnsi="Times New Roman" w:cs="Times New Roman"/>
          <w:b w:val="0"/>
          <w:i w:val="0"/>
          <w:caps w:val="0"/>
          <w:sz w:val="20"/>
        </w:rPr>
        <w:t xml:space="preserve"> with width </w:t>
      </w:r>
      <w:r>
        <w:rPr>
          <w:rFonts w:ascii="Times New Roman" w:hAnsi="Times New Roman" w:cs="Times New Roman"/>
          <w:b w:val="0"/>
          <w:i/>
          <w:caps w:val="0"/>
          <w:sz w:val="20"/>
        </w:rPr>
        <w:t>w</w:t>
      </w:r>
      <w:r>
        <w:rPr>
          <w:rFonts w:ascii="Times New Roman" w:hAnsi="Times New Roman" w:cs="Times New Roman"/>
          <w:b w:val="0"/>
          <w:i/>
          <w:caps w:val="0"/>
          <w:sz w:val="20"/>
          <w:vertAlign w:val="subscript"/>
        </w:rPr>
        <w:t>sw</w:t>
      </w:r>
      <w:r>
        <w:rPr>
          <w:rFonts w:ascii="Times New Roman" w:hAnsi="Times New Roman" w:cs="Times New Roman"/>
          <w:b w:val="0"/>
          <w:i w:val="0"/>
          <w:caps w:val="0"/>
          <w:sz w:val="20"/>
        </w:rPr>
        <w:t>, and R is the fold rise in the probability that a slip-out escapes to an expansion event once it is part of a cluster. Setting R = 1 recovers a model with no clustering effect.</w:t>
      </w:r>
    </w:p>
    <w:p>
      <w:pPr>
        <w:spacing w:after="60" w:before="0" w:line="240" w:lineRule="auto"/>
        <w:ind w:firstLine="288"/>
        <w:jc w:val="both"/>
      </w:pPr>
      <w:r>
        <w:rPr>
          <w:rFonts w:ascii="Times New Roman" w:hAnsi="Times New Roman" w:cs="Times New Roman"/>
          <w:b/>
          <w:i w:val="0"/>
          <w:caps w:val="0"/>
          <w:sz w:val="20"/>
        </w:rPr>
        <w:t>Target abundance, θ and f.</w:t>
      </w:r>
      <w:r>
        <w:rPr>
          <w:rFonts w:ascii="Times New Roman" w:hAnsi="Times New Roman" w:cs="Times New Roman"/>
          <w:b w:val="0"/>
          <w:i w:val="0"/>
          <w:caps w:val="0"/>
          <w:sz w:val="20"/>
        </w:rPr>
        <w:t xml:space="preserve"> θ is relative MSH3 protein, entering the expression to the first power for reasons established in Section III-B. The divisor f is relative FAN1 activity, which protects.</w:t>
      </w:r>
    </w:p>
    <w:p>
      <w:pPr>
        <w:spacing w:after="60" w:before="0" w:line="240" w:lineRule="auto"/>
        <w:ind w:firstLine="288"/>
        <w:jc w:val="both"/>
      </w:pPr>
      <w:r>
        <w:rPr>
          <w:rFonts w:ascii="Times New Roman" w:hAnsi="Times New Roman" w:cs="Times New Roman"/>
          <w:b w:val="0"/>
          <w:i w:val="0"/>
          <w:caps w:val="0"/>
          <w:sz w:val="20"/>
        </w:rPr>
        <w:t>Repeats gained per event are drawn from a geometric distribution with mean 4, following the four-repeat insertion recovered in the reconstituted system [5]. The mean is measured; the shape is not, and the choice deserves a word because it is the shape that sets the tail of the terminal length distribution. A geometric law is the memoryless choice on the positive integers, which is what follows if each repeat unit copied during repair synthesis carries the same independent chance of being the last one. That is the weakest assumption available given a single measured mean, and it is deliberately the thin-tailed option: anything heavier, such as a power law, would widen the terminal lengths in Section III-C towards the observed spread, so the narrow tail reported there is a consequence of this conservative choice rather than evidence against the mechanism. Contractions occur at a fixed fraction of the expansion rate with a mean of 2 repeats; both numbers are assumed and both are varied in Section III-M.</w:t>
      </w:r>
    </w:p>
    <w:p>
      <w:pPr>
        <w:spacing w:after="40" w:before="120" w:line="240" w:lineRule="auto"/>
        <w:ind w:firstLine="0"/>
        <w:jc w:val="left"/>
      </w:pPr>
      <w:r>
        <w:rPr>
          <w:rFonts w:ascii="Times New Roman" w:hAnsi="Times New Roman" w:cs="Times New Roman"/>
          <w:b w:val="0"/>
          <w:i/>
          <w:caps w:val="0"/>
          <w:sz w:val="20"/>
        </w:rPr>
        <w:t>C.  Calibration</w:t>
      </w:r>
    </w:p>
    <w:p>
      <w:pPr>
        <w:spacing w:after="60" w:before="0" w:line="240" w:lineRule="auto"/>
        <w:ind w:firstLine="288"/>
        <w:jc w:val="both"/>
      </w:pPr>
      <w:r>
        <w:rPr>
          <w:rFonts w:ascii="Times New Roman" w:hAnsi="Times New Roman" w:cs="Times New Roman"/>
          <w:b w:val="0"/>
          <w:i w:val="0"/>
          <w:caps w:val="0"/>
          <w:sz w:val="20"/>
        </w:rPr>
        <w:t xml:space="preserve">Four parameters, λ(40), β, R and </w:t>
      </w:r>
      <w:r>
        <w:rPr>
          <w:rFonts w:ascii="Times New Roman" w:hAnsi="Times New Roman" w:cs="Times New Roman"/>
          <w:b w:val="0"/>
          <w:i/>
          <w:caps w:val="0"/>
          <w:sz w:val="20"/>
        </w:rPr>
        <w:t>L</w:t>
      </w:r>
      <w:r>
        <w:rPr>
          <w:rFonts w:ascii="Times New Roman" w:hAnsi="Times New Roman" w:cs="Times New Roman"/>
          <w:b w:val="0"/>
          <w:i/>
          <w:caps w:val="0"/>
          <w:sz w:val="20"/>
          <w:vertAlign w:val="subscript"/>
        </w:rPr>
        <w:t>sw</w:t>
      </w:r>
      <w:r>
        <w:rPr>
          <w:rFonts w:ascii="Times New Roman" w:hAnsi="Times New Roman" w:cs="Times New Roman"/>
          <w:b w:val="0"/>
          <w:i w:val="0"/>
          <w:caps w:val="0"/>
          <w:sz w:val="20"/>
        </w:rPr>
        <w:t>, were fitted to four published anchors [1]:</w:t>
      </w:r>
    </w:p>
    <w:p>
      <w:pPr>
        <w:spacing w:after="20" w:before="120" w:line="240" w:lineRule="auto"/>
        <w:ind w:firstLine="0"/>
        <w:jc w:val="center"/>
      </w:pPr>
      <w:r>
        <w:rPr>
          <w:rFonts w:ascii="Times New Roman" w:hAnsi="Times New Roman" w:cs="Times New Roman"/>
          <w:b w:val="0"/>
          <w:i w:val="0"/>
          <w:caps w:val="0"/>
          <w:sz w:val="16"/>
        </w:rPr>
        <w:t>TABLE I</w:t>
      </w:r>
    </w:p>
    <w:p>
      <w:pPr>
        <w:spacing w:after="60" w:before="0" w:line="240" w:lineRule="auto"/>
        <w:ind w:firstLine="0"/>
        <w:jc w:val="center"/>
      </w:pPr>
      <w:r>
        <w:rPr>
          <w:rFonts w:ascii="Times New Roman" w:hAnsi="Times New Roman" w:cs="Times New Roman"/>
          <w:b w:val="0"/>
          <w:i w:val="0"/>
          <w:caps/>
          <w:sz w:val="16"/>
        </w:rPr>
        <w:t>Published kinetic anchors used for calibration.</w:t>
      </w:r>
    </w:p>
    <w:tbl>
      <w:tblPr>
        <w:tblStyle w:val="TableGrid"/>
        <w:tblW w:type="auto" w:w="0"/>
        <w:jc w:val="center"/>
        <w:tblLook w:firstColumn="1" w:firstRow="1" w:lastColumn="0" w:lastRow="0" w:noHBand="0" w:noVBand="1" w:val="04A0"/>
      </w:tblPr>
      <w:tblGrid>
        <w:gridCol w:w="5220"/>
        <w:gridCol w:w="5220"/>
      </w:tblGrid>
      <w:tr>
        <w:tc>
          <w:tcPr>
            <w:tcW w:type="dxa" w:w="5220"/>
          </w:tcPr>
          <w:p>
            <w:pPr>
              <w:spacing w:after="0"/>
            </w:pPr>
            <w:r/>
            <w:r>
              <w:rPr>
                <w:rFonts w:ascii="Times New Roman" w:hAnsi="Times New Roman" w:cs="Times New Roman"/>
                <w:b/>
                <w:i w:val="0"/>
                <w:caps w:val="0"/>
                <w:sz w:val="16"/>
              </w:rPr>
              <w:t>Anchor</w:t>
            </w:r>
          </w:p>
        </w:tc>
        <w:tc>
          <w:tcPr>
            <w:tcW w:type="dxa" w:w="5220"/>
          </w:tcPr>
          <w:p>
            <w:pPr>
              <w:spacing w:after="0"/>
            </w:pPr>
            <w:r/>
            <w:r>
              <w:rPr>
                <w:rFonts w:ascii="Times New Roman" w:hAnsi="Times New Roman" w:cs="Times New Roman"/>
                <w:b/>
                <w:i w:val="0"/>
                <w:caps w:val="0"/>
                <w:sz w:val="16"/>
              </w:rPr>
              <w:t>Published value</w:t>
            </w:r>
          </w:p>
        </w:tc>
      </w:tr>
      <w:tr>
        <w:tc>
          <w:tcPr>
            <w:tcW w:type="dxa" w:w="5220"/>
          </w:tcPr>
          <w:p>
            <w:pPr>
              <w:spacing w:after="0"/>
            </w:pPr>
            <w:r>
              <w:rPr>
                <w:rFonts w:ascii="Times New Roman" w:hAnsi="Times New Roman" w:cs="Times New Roman"/>
                <w:b w:val="0"/>
                <w:i w:val="0"/>
                <w:caps w:val="0"/>
                <w:sz w:val="16"/>
              </w:rPr>
              <w:t>Mean transit time, 40 to 60 repeats</w:t>
            </w:r>
          </w:p>
        </w:tc>
        <w:tc>
          <w:tcPr>
            <w:tcW w:type="dxa" w:w="5220"/>
          </w:tcPr>
          <w:p>
            <w:pPr>
              <w:spacing w:after="0"/>
            </w:pPr>
            <w:r>
              <w:rPr>
                <w:rFonts w:ascii="Times New Roman" w:hAnsi="Times New Roman" w:cs="Times New Roman"/>
                <w:b w:val="0"/>
                <w:i w:val="0"/>
                <w:caps w:val="0"/>
                <w:sz w:val="16"/>
              </w:rPr>
              <w:t>50 years</w:t>
            </w:r>
          </w:p>
        </w:tc>
      </w:tr>
      <w:tr>
        <w:tc>
          <w:tcPr>
            <w:tcW w:type="dxa" w:w="5220"/>
          </w:tcPr>
          <w:p>
            <w:pPr>
              <w:spacing w:after="0"/>
            </w:pPr>
            <w:r>
              <w:rPr>
                <w:rFonts w:ascii="Times New Roman" w:hAnsi="Times New Roman" w:cs="Times New Roman"/>
                <w:b w:val="0"/>
                <w:i w:val="0"/>
                <w:caps w:val="0"/>
                <w:sz w:val="16"/>
              </w:rPr>
              <w:t>Mean transit time, 60 to 80 repeats</w:t>
            </w:r>
          </w:p>
        </w:tc>
        <w:tc>
          <w:tcPr>
            <w:tcW w:type="dxa" w:w="5220"/>
          </w:tcPr>
          <w:p>
            <w:pPr>
              <w:spacing w:after="0"/>
            </w:pPr>
            <w:r>
              <w:rPr>
                <w:rFonts w:ascii="Times New Roman" w:hAnsi="Times New Roman" w:cs="Times New Roman"/>
                <w:b w:val="0"/>
                <w:i w:val="0"/>
                <w:caps w:val="0"/>
                <w:sz w:val="16"/>
              </w:rPr>
              <w:t>12 years</w:t>
            </w:r>
          </w:p>
        </w:tc>
      </w:tr>
      <w:tr>
        <w:tc>
          <w:tcPr>
            <w:tcW w:type="dxa" w:w="5220"/>
          </w:tcPr>
          <w:p>
            <w:pPr>
              <w:spacing w:after="0"/>
            </w:pPr>
            <w:r>
              <w:rPr>
                <w:rFonts w:ascii="Times New Roman" w:hAnsi="Times New Roman" w:cs="Times New Roman"/>
                <w:b w:val="0"/>
                <w:i w:val="0"/>
                <w:caps w:val="0"/>
                <w:sz w:val="16"/>
              </w:rPr>
              <w:t>Mean transit time, 80 to 150 repeats</w:t>
            </w:r>
          </w:p>
        </w:tc>
        <w:tc>
          <w:tcPr>
            <w:tcW w:type="dxa" w:w="5220"/>
          </w:tcPr>
          <w:p>
            <w:pPr>
              <w:spacing w:after="0"/>
            </w:pPr>
            <w:r>
              <w:rPr>
                <w:rFonts w:ascii="Times New Roman" w:hAnsi="Times New Roman" w:cs="Times New Roman"/>
                <w:b w:val="0"/>
                <w:i w:val="0"/>
                <w:caps w:val="0"/>
                <w:sz w:val="16"/>
              </w:rPr>
              <w:t>about 4 years</w:t>
            </w:r>
          </w:p>
        </w:tc>
      </w:tr>
      <w:tr>
        <w:tc>
          <w:tcPr>
            <w:tcW w:type="dxa" w:w="5220"/>
          </w:tcPr>
          <w:p>
            <w:pPr>
              <w:spacing w:after="0"/>
            </w:pPr>
            <w:r>
              <w:rPr>
                <w:rFonts w:ascii="Times New Roman" w:hAnsi="Times New Roman" w:cs="Times New Roman"/>
                <w:b w:val="0"/>
                <w:i w:val="0"/>
                <w:caps w:val="0"/>
                <w:sz w:val="16"/>
              </w:rPr>
              <w:t>Rise in mutation rate across 70 to 90 repeats</w:t>
            </w:r>
          </w:p>
        </w:tc>
        <w:tc>
          <w:tcPr>
            <w:tcW w:type="dxa" w:w="5220"/>
          </w:tcPr>
          <w:p>
            <w:pPr>
              <w:spacing w:after="0"/>
            </w:pPr>
            <w:r>
              <w:rPr>
                <w:rFonts w:ascii="Times New Roman" w:hAnsi="Times New Roman" w:cs="Times New Roman"/>
                <w:b w:val="0"/>
                <w:i w:val="0"/>
                <w:caps w:val="0"/>
                <w:sz w:val="16"/>
              </w:rPr>
              <w:t>at least 6-fold</w:t>
            </w:r>
          </w:p>
        </w:tc>
      </w:tr>
    </w:tbl>
    <w:p>
      <w:pPr>
        <w:spacing w:after="120" w:before="0" w:line="240" w:lineRule="auto"/>
        <w:ind w:firstLine="0"/>
        <w:jc w:val="both"/>
      </w:pPr>
    </w:p>
    <w:p>
      <w:pPr>
        <w:spacing w:after="60" w:before="0" w:line="240" w:lineRule="auto"/>
        <w:ind w:firstLine="288"/>
        <w:jc w:val="both"/>
      </w:pPr>
      <w:r>
        <w:rPr>
          <w:rFonts w:ascii="Times New Roman" w:hAnsi="Times New Roman" w:cs="Times New Roman"/>
          <w:b w:val="0"/>
          <w:i w:val="0"/>
          <w:caps w:val="0"/>
          <w:sz w:val="20"/>
        </w:rPr>
        <w:t>The fourth is published as a lower bound and was used as an equality target, so the fitted model sits at the slowest acceleration consistent with the report. Transit times were computed from the mean-field integral T = ∫ dL / (s(L)·λ(L)), which follows the mean trajectory. The published anchors are mean first-passage times of a jump process, and for a nonlinear λ those are not the same quantity; the integral also ignores contractions, which the simulated process does not. The two estimators were therefore compared directly rather than assumed to agree, and they do not agree: the stochastic process is slower than the integral by 21 to 50% on the three legs (</w:t>
      </w:r>
      <w:r>
        <w:rPr>
          <w:rFonts w:ascii="Consolas" w:hAnsi="Consolas" w:cs="Consolas"/>
          <w:b w:val="0"/>
          <w:i w:val="0"/>
          <w:caps w:val="0"/>
          <w:sz w:val="20"/>
        </w:rPr>
        <w:t>results/transit_time_check.csv</w:t>
      </w:r>
      <w:r>
        <w:rPr>
          <w:rFonts w:ascii="Times New Roman" w:hAnsi="Times New Roman" w:cs="Times New Roman"/>
          <w:b w:val="0"/>
          <w:i w:val="0"/>
          <w:caps w:val="0"/>
          <w:sz w:val="20"/>
        </w:rPr>
        <w:t>). Section III-E refits all four parameters against stochastic first-passage times instead and reports what changes. The mean-field fit is kept as the primary parameterisation because it reproduces the anchors exactly as published, but which estimator the source intended is not recoverable from its text, so the alternative is carried alongside rather than hidden. Residuals were taken in log space so that all four anchors carry equal weight, and minimised by multi-start trust-region least squares from 54 starting points. The fit is exact, with a residual cost of about 6 × 10⁻³³.</w:t>
      </w:r>
    </w:p>
    <w:p>
      <w:pPr>
        <w:spacing w:after="60" w:before="0" w:line="240" w:lineRule="auto"/>
        <w:ind w:firstLine="288"/>
        <w:jc w:val="both"/>
      </w:pPr>
      <w:r>
        <w:rPr>
          <w:rFonts w:ascii="Times New Roman" w:hAnsi="Times New Roman" w:cs="Times New Roman"/>
          <w:b w:val="0"/>
          <w:i w:val="0"/>
          <w:caps w:val="0"/>
          <w:sz w:val="20"/>
        </w:rPr>
        <w:t>Five observations were kept out of the fit entirely and used only for validation: the fraction of projection neurons exceeding their inherited length, the fraction of neuronal life spent below 150 repeats, the duration of the terminal decline, the distribution of terminal tract lengths, and the relationship between CAP score and neuron loss. A sixth, the difference in expansion rate between direct and indirect pathway neurons, is used in Section III-K.</w:t>
      </w:r>
    </w:p>
    <w:p>
      <w:pPr>
        <w:spacing w:after="40" w:before="120" w:line="240" w:lineRule="auto"/>
        <w:ind w:firstLine="0"/>
        <w:jc w:val="left"/>
      </w:pPr>
      <w:r>
        <w:rPr>
          <w:rFonts w:ascii="Times New Roman" w:hAnsi="Times New Roman" w:cs="Times New Roman"/>
          <w:b w:val="0"/>
          <w:i/>
          <w:caps w:val="0"/>
          <w:sz w:val="20"/>
        </w:rPr>
        <w:t>D.  Feasible parameter ranges</w:t>
      </w:r>
    </w:p>
    <w:p>
      <w:pPr>
        <w:spacing w:after="60" w:before="0" w:line="240" w:lineRule="auto"/>
        <w:ind w:firstLine="288"/>
        <w:jc w:val="both"/>
      </w:pPr>
      <w:r>
        <w:rPr>
          <w:rFonts w:ascii="Times New Roman" w:hAnsi="Times New Roman" w:cs="Times New Roman"/>
          <w:b w:val="0"/>
          <w:i w:val="0"/>
          <w:caps w:val="0"/>
          <w:sz w:val="20"/>
        </w:rPr>
        <w:t>With four parameters and four anchors the fit is exact, so there is no residual variance from which to construct a conventional confidence interval, and the anchors themselves are published without uncertainty. The question that can be answered instead is a profile question: holding one parameter fixed at a given value and refitting the other three, how badly does the worst anchor miss?</w:t>
      </w:r>
    </w:p>
    <w:p>
      <w:pPr>
        <w:spacing w:after="60" w:before="0" w:line="240" w:lineRule="auto"/>
        <w:ind w:firstLine="288"/>
        <w:jc w:val="both"/>
      </w:pPr>
      <w:r>
        <w:rPr>
          <w:rFonts w:ascii="Times New Roman" w:hAnsi="Times New Roman" w:cs="Times New Roman"/>
          <w:b w:val="0"/>
          <w:i w:val="0"/>
          <w:caps w:val="0"/>
          <w:sz w:val="20"/>
        </w:rPr>
        <w:t>For each parameter, a grid of fixed values was scanned, the remaining three were refitted by bounded least squares from three starting points, and the maximum relative deviation across the four anchors was recorded. Feasible ranges are reported at three tolerances, 10%, 25% and 50%. These are not confidence intervals and are not described as such; they state how much freedom each parameter has while the model still reproduces the published kinetics.</w:t>
      </w:r>
    </w:p>
    <w:p>
      <w:pPr>
        <w:spacing w:after="40" w:before="120" w:line="240" w:lineRule="auto"/>
        <w:ind w:firstLine="0"/>
        <w:jc w:val="left"/>
      </w:pPr>
      <w:r>
        <w:rPr>
          <w:rFonts w:ascii="Times New Roman" w:hAnsi="Times New Roman" w:cs="Times New Roman"/>
          <w:b w:val="0"/>
          <w:i/>
          <w:caps w:val="0"/>
          <w:sz w:val="20"/>
        </w:rPr>
        <w:t>E.  Layer 2: stochastic simulation of neuron populations</w:t>
      </w:r>
    </w:p>
    <w:p>
      <w:pPr>
        <w:spacing w:after="60" w:before="0" w:line="240" w:lineRule="auto"/>
        <w:ind w:firstLine="288"/>
        <w:jc w:val="both"/>
      </w:pPr>
      <w:r>
        <w:rPr>
          <w:rFonts w:ascii="Times New Roman" w:hAnsi="Times New Roman" w:cs="Times New Roman"/>
          <w:b w:val="0"/>
          <w:i w:val="0"/>
          <w:caps w:val="0"/>
          <w:sz w:val="20"/>
        </w:rPr>
        <w:t xml:space="preserve">Single neurons were simulated by an exact Gillespie algorithm over three events: expansion, contraction and elimination. The elimination hazard is zero below the 150-repeat threshold and rises logistically in </w:t>
      </w:r>
      <w:r>
        <w:rPr>
          <w:rFonts w:ascii="Times New Roman" w:hAnsi="Times New Roman" w:cs="Times New Roman"/>
          <w:b w:val="0"/>
          <w:i/>
          <w:caps w:val="0"/>
          <w:sz w:val="20"/>
        </w:rPr>
        <w:t>L</w:t>
      </w:r>
      <w:r>
        <w:rPr>
          <w:rFonts w:ascii="Times New Roman" w:hAnsi="Times New Roman" w:cs="Times New Roman"/>
          <w:b w:val="0"/>
          <w:i w:val="0"/>
          <w:caps w:val="0"/>
          <w:sz w:val="20"/>
        </w:rPr>
        <w:t xml:space="preserve"> above it. It is written this way so that the short terminal decline is an emergent consequence of how fast the tract grows at long lengths rather than something imposed by hand.</w:t>
      </w:r>
    </w:p>
    <w:p>
      <w:pPr>
        <w:spacing w:after="60" w:before="0" w:line="240" w:lineRule="auto"/>
        <w:ind w:firstLine="288"/>
        <w:jc w:val="both"/>
      </w:pPr>
      <w:r>
        <w:rPr>
          <w:rFonts w:ascii="Times New Roman" w:hAnsi="Times New Roman" w:cs="Times New Roman"/>
          <w:b w:val="0"/>
          <w:i w:val="0"/>
          <w:caps w:val="0"/>
          <w:sz w:val="20"/>
        </w:rPr>
        <w:t>Parameter sweeps need something faster. A vectorised tau-leaping scheme advances the whole population in steps of 1/24 year, drawing the number of events per step from a Poisson distribution and the total repeats gained from the corresponding negative binomial, which makes the step-size distribution exact and leaves only the constancy of λ within a step as an approximation. Treatment enters as a step change in θ at a given age; the exact solver advances precisely to that time and resamples, so the piecewise-constant rates stay exact there too.</w:t>
      </w:r>
    </w:p>
    <w:p>
      <w:pPr>
        <w:spacing w:after="60" w:before="0" w:line="240" w:lineRule="auto"/>
        <w:ind w:firstLine="288"/>
        <w:jc w:val="both"/>
      </w:pPr>
      <w:r>
        <w:rPr>
          <w:rFonts w:ascii="Times New Roman" w:hAnsi="Times New Roman" w:cs="Times New Roman"/>
          <w:b w:val="0"/>
          <w:i w:val="0"/>
          <w:caps w:val="0"/>
          <w:sz w:val="20"/>
        </w:rPr>
        <w:t>Agreement between the two solvers was checked at three step sizes and two inherited lengths. The largest absolute difference between survival curves was 0.013 to 0.034, and ages at 50% loss agreed to within 1.1 years (</w:t>
      </w:r>
      <w:r>
        <w:rPr>
          <w:rFonts w:ascii="Consolas" w:hAnsi="Consolas" w:cs="Consolas"/>
          <w:b w:val="0"/>
          <w:i w:val="0"/>
          <w:caps w:val="0"/>
          <w:sz w:val="20"/>
        </w:rPr>
        <w:t>results/solver_agreement.csv</w:t>
      </w:r>
      <w:r>
        <w:rPr>
          <w:rFonts w:ascii="Times New Roman" w:hAnsi="Times New Roman" w:cs="Times New Roman"/>
          <w:b w:val="0"/>
          <w:i w:val="0"/>
          <w:caps w:val="0"/>
          <w:sz w:val="20"/>
        </w:rPr>
        <w:t>). That comparison has a resolution limit which should be stated, because it is easy to over-read. Both solvers are stochastic and each run used 4,000 cells, so the difference between them contains sampling scatter as well as discretisation error. Comparing two exact runs that differ only in their random seed gives a noise floor of 0.012 to 0.024 on the same quantity, which is the same size as the differences actually observed, and the observed differences stop falling as the step is halved from 1/12 to 1/48 of a year. The honest reading is that tau-leaping introduces no bias larger than about two to three percentage points of survival, and that the test cannot resolve anything smaller.</w:t>
      </w:r>
    </w:p>
    <w:p>
      <w:pPr>
        <w:spacing w:after="60" w:before="0" w:line="240" w:lineRule="auto"/>
        <w:ind w:firstLine="288"/>
        <w:jc w:val="both"/>
      </w:pPr>
      <w:r>
        <w:rPr>
          <w:rFonts w:ascii="Times New Roman" w:hAnsi="Times New Roman" w:cs="Times New Roman"/>
          <w:b w:val="0"/>
          <w:i w:val="0"/>
          <w:caps w:val="0"/>
          <w:sz w:val="20"/>
        </w:rPr>
        <w:t xml:space="preserve">The tau-leaping solver also carries an optional non-cell-autonomous term, multiplying every surviving neuron's hazard by (1 + </w:t>
      </w:r>
      <w:r>
        <w:rPr>
          <w:rFonts w:ascii="Times New Roman" w:hAnsi="Times New Roman" w:cs="Times New Roman"/>
          <w:b w:val="0"/>
          <w:i/>
          <w:caps w:val="0"/>
          <w:sz w:val="20"/>
        </w:rPr>
        <w:t>k</w:t>
      </w:r>
      <w:r>
        <w:rPr>
          <w:rFonts w:ascii="Times New Roman" w:hAnsi="Times New Roman" w:cs="Times New Roman"/>
          <w:b w:val="0"/>
          <w:i/>
          <w:caps w:val="0"/>
          <w:sz w:val="20"/>
          <w:vertAlign w:val="subscript"/>
        </w:rPr>
        <w:t>nca</w:t>
      </w:r>
      <w:r>
        <w:rPr>
          <w:rFonts w:ascii="Times New Roman" w:hAnsi="Times New Roman" w:cs="Times New Roman"/>
          <w:b w:val="0"/>
          <w:i w:val="0"/>
          <w:caps w:val="0"/>
          <w:sz w:val="20"/>
        </w:rPr>
        <w:t xml:space="preserve"> · </w:t>
      </w:r>
      <w:r>
        <w:rPr>
          <w:rFonts w:ascii="Times New Roman" w:hAnsi="Times New Roman" w:cs="Times New Roman"/>
          <w:b w:val="0"/>
          <w:i/>
          <w:caps w:val="0"/>
          <w:sz w:val="20"/>
        </w:rPr>
        <w:t>f</w:t>
      </w:r>
      <w:r>
        <w:rPr>
          <w:rFonts w:ascii="Times New Roman" w:hAnsi="Times New Roman" w:cs="Times New Roman"/>
          <w:b w:val="0"/>
          <w:i/>
          <w:caps w:val="0"/>
          <w:sz w:val="20"/>
          <w:vertAlign w:val="subscript"/>
        </w:rPr>
        <w:t>lost</w:t>
      </w:r>
      <w:r>
        <w:rPr>
          <w:rFonts w:ascii="Times New Roman" w:hAnsi="Times New Roman" w:cs="Times New Roman"/>
          <w:b w:val="0"/>
          <w:i w:val="0"/>
          <w:caps w:val="0"/>
          <w:sz w:val="20"/>
        </w:rPr>
        <w:t xml:space="preserve">) where </w:t>
      </w:r>
      <w:r>
        <w:rPr>
          <w:rFonts w:ascii="Times New Roman" w:hAnsi="Times New Roman" w:cs="Times New Roman"/>
          <w:b w:val="0"/>
          <w:i/>
          <w:caps w:val="0"/>
          <w:sz w:val="20"/>
        </w:rPr>
        <w:t>f</w:t>
      </w:r>
      <w:r>
        <w:rPr>
          <w:rFonts w:ascii="Times New Roman" w:hAnsi="Times New Roman" w:cs="Times New Roman"/>
          <w:b w:val="0"/>
          <w:i/>
          <w:caps w:val="0"/>
          <w:sz w:val="20"/>
          <w:vertAlign w:val="subscript"/>
        </w:rPr>
        <w:t>lost</w:t>
      </w:r>
      <w:r>
        <w:rPr>
          <w:rFonts w:ascii="Times New Roman" w:hAnsi="Times New Roman" w:cs="Times New Roman"/>
          <w:b w:val="0"/>
          <w:i w:val="0"/>
          <w:caps w:val="0"/>
          <w:sz w:val="20"/>
        </w:rPr>
        <w:t xml:space="preserve"> is the fraction of the population already eliminated. Setting </w:t>
      </w:r>
      <w:r>
        <w:rPr>
          <w:rFonts w:ascii="Times New Roman" w:hAnsi="Times New Roman" w:cs="Times New Roman"/>
          <w:b w:val="0"/>
          <w:i/>
          <w:caps w:val="0"/>
          <w:sz w:val="20"/>
        </w:rPr>
        <w:t>k</w:t>
      </w:r>
      <w:r>
        <w:rPr>
          <w:rFonts w:ascii="Times New Roman" w:hAnsi="Times New Roman" w:cs="Times New Roman"/>
          <w:b w:val="0"/>
          <w:i/>
          <w:caps w:val="0"/>
          <w:sz w:val="20"/>
          <w:vertAlign w:val="subscript"/>
        </w:rPr>
        <w:t>nca</w:t>
      </w:r>
      <w:r>
        <w:rPr>
          <w:rFonts w:ascii="Times New Roman" w:hAnsi="Times New Roman" w:cs="Times New Roman"/>
          <w:b w:val="0"/>
          <w:i w:val="0"/>
          <w:caps w:val="0"/>
          <w:sz w:val="20"/>
        </w:rPr>
        <w:t xml:space="preserve"> to zero recovers the purely cell-autonomous model.</w:t>
      </w:r>
    </w:p>
    <w:p>
      <w:pPr>
        <w:spacing w:after="40" w:before="120" w:line="240" w:lineRule="auto"/>
        <w:ind w:firstLine="0"/>
        <w:jc w:val="left"/>
      </w:pPr>
      <w:r>
        <w:rPr>
          <w:rFonts w:ascii="Times New Roman" w:hAnsi="Times New Roman" w:cs="Times New Roman"/>
          <w:b w:val="0"/>
          <w:i/>
          <w:caps w:val="0"/>
          <w:sz w:val="20"/>
        </w:rPr>
        <w:t>F.  Layer 3: from MSH3 protein to expansion rate</w:t>
      </w:r>
    </w:p>
    <w:p>
      <w:pPr>
        <w:spacing w:after="60" w:before="0" w:line="240" w:lineRule="auto"/>
        <w:ind w:firstLine="288"/>
        <w:jc w:val="both"/>
      </w:pPr>
      <w:r>
        <w:rPr>
          <w:rFonts w:ascii="Times New Roman" w:hAnsi="Times New Roman" w:cs="Times New Roman"/>
          <w:b w:val="0"/>
          <w:i w:val="0"/>
          <w:caps w:val="0"/>
          <w:sz w:val="20"/>
        </w:rPr>
        <w:t xml:space="preserve">Because MutSβ engagement enters λ as a product, a treatment that leaves a fraction </w:t>
      </w:r>
      <w:r>
        <w:rPr>
          <w:rFonts w:ascii="Times New Roman" w:hAnsi="Times New Roman" w:cs="Times New Roman"/>
          <w:b w:val="0"/>
          <w:i/>
          <w:caps w:val="0"/>
          <w:sz w:val="20"/>
        </w:rPr>
        <w:t>m</w:t>
      </w:r>
      <w:r>
        <w:rPr>
          <w:rFonts w:ascii="Times New Roman" w:hAnsi="Times New Roman" w:cs="Times New Roman"/>
          <w:b w:val="0"/>
          <w:i w:val="0"/>
          <w:caps w:val="0"/>
          <w:sz w:val="20"/>
        </w:rPr>
        <w:t xml:space="preserve"> of MSH3 protein multiplies λ by </w:t>
      </w:r>
      <w:r>
        <w:rPr>
          <w:rFonts w:ascii="Times New Roman" w:hAnsi="Times New Roman" w:cs="Times New Roman"/>
          <w:b w:val="0"/>
          <w:i/>
          <w:caps w:val="0"/>
          <w:sz w:val="20"/>
        </w:rPr>
        <w:t>m</w:t>
      </w:r>
      <w:r>
        <w:rPr>
          <w:rFonts w:ascii="Times New Roman" w:hAnsi="Times New Roman" w:cs="Times New Roman"/>
          <w:b w:val="0"/>
          <w:i/>
          <w:caps w:val="0"/>
          <w:sz w:val="20"/>
          <w:vertAlign w:val="superscript"/>
        </w:rPr>
        <w:t>k</w:t>
      </w:r>
      <w:r>
        <w:rPr>
          <w:rFonts w:ascii="Times New Roman" w:hAnsi="Times New Roman" w:cs="Times New Roman"/>
          <w:b w:val="0"/>
          <w:i w:val="0"/>
          <w:caps w:val="0"/>
          <w:sz w:val="20"/>
        </w:rPr>
        <w:t xml:space="preserve">, where </w:t>
      </w:r>
      <w:r>
        <w:rPr>
          <w:rFonts w:ascii="Times New Roman" w:hAnsi="Times New Roman" w:cs="Times New Roman"/>
          <w:b w:val="0"/>
          <w:i/>
          <w:caps w:val="0"/>
          <w:sz w:val="20"/>
        </w:rPr>
        <w:t>k</w:t>
      </w:r>
      <w:r>
        <w:rPr>
          <w:rFonts w:ascii="Times New Roman" w:hAnsi="Times New Roman" w:cs="Times New Roman"/>
          <w:b w:val="0"/>
          <w:i w:val="0"/>
          <w:caps w:val="0"/>
          <w:sz w:val="20"/>
        </w:rPr>
        <w:t xml:space="preserve"> is the number of MutSβ molecules in the productive species. That makes </w:t>
      </w:r>
      <w:r>
        <w:rPr>
          <w:rFonts w:ascii="Times New Roman" w:hAnsi="Times New Roman" w:cs="Times New Roman"/>
          <w:b w:val="0"/>
          <w:i/>
          <w:caps w:val="0"/>
          <w:sz w:val="20"/>
        </w:rPr>
        <w:t>k</w:t>
      </w:r>
      <w:r>
        <w:rPr>
          <w:rFonts w:ascii="Times New Roman" w:hAnsi="Times New Roman" w:cs="Times New Roman"/>
          <w:b w:val="0"/>
          <w:i w:val="0"/>
          <w:caps w:val="0"/>
          <w:sz w:val="20"/>
        </w:rPr>
        <w:t xml:space="preserve"> measurable from a dose-response curve: a first-order species predicts proportional suppression, a tandem trimer predicts cubic suppression.</w:t>
      </w:r>
    </w:p>
    <w:p>
      <w:pPr>
        <w:spacing w:after="60" w:before="0" w:line="240" w:lineRule="auto"/>
        <w:ind w:firstLine="288"/>
        <w:jc w:val="both"/>
      </w:pPr>
      <w:r>
        <w:rPr>
          <w:rFonts w:ascii="Times New Roman" w:hAnsi="Times New Roman" w:cs="Times New Roman"/>
          <w:b w:val="0"/>
          <w:i w:val="0"/>
          <w:caps w:val="0"/>
          <w:sz w:val="20"/>
        </w:rPr>
        <w:t xml:space="preserve">The evidence was weighed in order of strength. The primary comparison is against the two individually measured doses, at 59% and 25% residual MSH3, since those are the only points where a measurement exists. As a secondary check, k = 1, 1.5, 2 and 3 were also scored by root-mean-square error against the published regression line [4] over the full range of MSH3 levels. That second test is weaker than its numbers suggest and the reason is worth stating plainly: the comparator is a straight line through two points, only one of the candidate orders is itself a straight line in </w:t>
      </w:r>
      <w:r>
        <w:rPr>
          <w:rFonts w:ascii="Times New Roman" w:hAnsi="Times New Roman" w:cs="Times New Roman"/>
          <w:b w:val="0"/>
          <w:i/>
          <w:caps w:val="0"/>
          <w:sz w:val="20"/>
        </w:rPr>
        <w:t>m</w:t>
      </w:r>
      <w:r>
        <w:rPr>
          <w:rFonts w:ascii="Times New Roman" w:hAnsi="Times New Roman" w:cs="Times New Roman"/>
          <w:b w:val="0"/>
          <w:i w:val="0"/>
          <w:caps w:val="0"/>
          <w:sz w:val="20"/>
        </w:rPr>
        <w:t>, and nineteen of the twenty-one comparison points are regression values at MSH3 levels where nothing was measured. A test that asks which curve is most like a line, and offers exactly one line, will return that line. The spread of the resulting errors is therefore reported as corroboration rather than as the measurement, and the conclusion drawn from it is correspondingly narrow.</w:t>
      </w:r>
    </w:p>
    <w:p>
      <w:pPr>
        <w:spacing w:after="40" w:before="120" w:line="240" w:lineRule="auto"/>
        <w:ind w:firstLine="0"/>
        <w:jc w:val="left"/>
      </w:pPr>
      <w:r>
        <w:rPr>
          <w:rFonts w:ascii="Times New Roman" w:hAnsi="Times New Roman" w:cs="Times New Roman"/>
          <w:b w:val="0"/>
          <w:i/>
          <w:caps w:val="0"/>
          <w:sz w:val="20"/>
        </w:rPr>
        <w:t>G.  Direct and indirect pathway neurons</w:t>
      </w:r>
    </w:p>
    <w:p>
      <w:pPr>
        <w:spacing w:after="60" w:before="0" w:line="240" w:lineRule="auto"/>
        <w:ind w:firstLine="288"/>
        <w:jc w:val="both"/>
      </w:pPr>
      <w:r>
        <w:rPr>
          <w:rFonts w:ascii="Times New Roman" w:hAnsi="Times New Roman" w:cs="Times New Roman"/>
          <w:b w:val="0"/>
          <w:i w:val="0"/>
          <w:caps w:val="0"/>
          <w:sz w:val="20"/>
        </w:rPr>
        <w:t>Indirect-pathway projection neurons are reported to expand about 15% faster than direct-pathway neurons, and to be depleted relative to controls, where they make up 47% (SD 6) of projection neurons [1]. Neither figure was used in calibration.</w:t>
      </w:r>
    </w:p>
    <w:p>
      <w:pPr>
        <w:spacing w:after="60" w:before="0" w:line="240" w:lineRule="auto"/>
        <w:ind w:firstLine="288"/>
        <w:jc w:val="both"/>
      </w:pPr>
      <w:r>
        <w:rPr>
          <w:rFonts w:ascii="Times New Roman" w:hAnsi="Times New Roman" w:cs="Times New Roman"/>
          <w:b w:val="0"/>
          <w:i w:val="0"/>
          <w:caps w:val="0"/>
          <w:sz w:val="20"/>
        </w:rPr>
        <w:t xml:space="preserve">Two populations were simulated with rate multipliers of 1.00 and 1.15, combined in the control proportion, and the indirect-pathway share of surviving neurons was tracked against age and against overall neuron loss. One substitution is involved and is not neutral. The published 15% is a difference in a measured somatic expansion index, a summary of observed tract-length distributions, whereas it is applied here as a uniform multiplier on the rate constant A at every tract length. Those coincide only if the subtype difference is length-independent. If instead the difference arises at the clustered-repair step, it would act more like a shift in </w:t>
      </w:r>
      <w:r>
        <w:rPr>
          <w:rFonts w:ascii="Times New Roman" w:hAnsi="Times New Roman" w:cs="Times New Roman"/>
          <w:b w:val="0"/>
          <w:i/>
          <w:caps w:val="0"/>
          <w:sz w:val="20"/>
        </w:rPr>
        <w:t>L</w:t>
      </w:r>
      <w:r>
        <w:rPr>
          <w:rFonts w:ascii="Times New Roman" w:hAnsi="Times New Roman" w:cs="Times New Roman"/>
          <w:b w:val="0"/>
          <w:i/>
          <w:caps w:val="0"/>
          <w:sz w:val="20"/>
          <w:vertAlign w:val="subscript"/>
        </w:rPr>
        <w:t>sw</w:t>
      </w:r>
      <w:r>
        <w:rPr>
          <w:rFonts w:ascii="Times New Roman" w:hAnsi="Times New Roman" w:cs="Times New Roman"/>
          <w:b w:val="0"/>
          <w:i w:val="0"/>
          <w:caps w:val="0"/>
          <w:sz w:val="20"/>
        </w:rPr>
        <w:t xml:space="preserve"> and the depletion would be larger at late stages than the figures below suggest. Nothing in the available data distinguishes the two, so the uniform multiplier is used as the simpler and more conservative of them. The rate ratio was then scanned from 1.00 to 2.00 to establish how large a difference would be needed to produce a given depletion.</w:t>
      </w:r>
    </w:p>
    <w:p>
      <w:pPr>
        <w:spacing w:after="40" w:before="120" w:line="240" w:lineRule="auto"/>
        <w:ind w:firstLine="0"/>
        <w:jc w:val="left"/>
      </w:pPr>
      <w:r>
        <w:rPr>
          <w:rFonts w:ascii="Times New Roman" w:hAnsi="Times New Roman" w:cs="Times New Roman"/>
          <w:b w:val="0"/>
          <w:i/>
          <w:caps w:val="0"/>
          <w:sz w:val="20"/>
        </w:rPr>
        <w:t>H.  Genetic modifiers as parameter perturbations</w:t>
      </w:r>
    </w:p>
    <w:p>
      <w:pPr>
        <w:spacing w:after="60" w:before="0" w:line="240" w:lineRule="auto"/>
        <w:ind w:firstLine="288"/>
        <w:jc w:val="both"/>
      </w:pPr>
      <w:r>
        <w:rPr>
          <w:rFonts w:ascii="Times New Roman" w:hAnsi="Times New Roman" w:cs="Times New Roman"/>
          <w:b w:val="0"/>
          <w:i w:val="0"/>
          <w:caps w:val="0"/>
          <w:sz w:val="20"/>
        </w:rPr>
        <w:t>Each known class of modifier maps onto a parameter of the rate law, which turns a genotype into a predicted shift in onset:</w:t>
      </w:r>
    </w:p>
    <w:p>
      <w:pPr>
        <w:sectPr>
          <w:type w:val="continuous"/>
          <w:pgSz w:w="12240" w:h="15840"/>
          <w:pgMar w:top="1080" w:right="900" w:bottom="1440" w:left="900" w:header="720" w:footer="720" w:gutter="0"/>
          <w:cols w:space="360" w:num="2" w:equalWidth="1"/>
          <w:docGrid w:linePitch="360"/>
        </w:sectPr>
      </w:pPr>
    </w:p>
    <w:p>
      <w:pPr>
        <w:spacing w:after="20" w:before="120" w:line="240" w:lineRule="auto"/>
        <w:ind w:firstLine="0"/>
        <w:jc w:val="center"/>
      </w:pPr>
      <w:r>
        <w:rPr>
          <w:rFonts w:ascii="Times New Roman" w:hAnsi="Times New Roman" w:cs="Times New Roman"/>
          <w:b w:val="0"/>
          <w:i w:val="0"/>
          <w:caps w:val="0"/>
          <w:sz w:val="16"/>
        </w:rPr>
        <w:t>TABLE II</w:t>
      </w:r>
    </w:p>
    <w:p>
      <w:pPr>
        <w:spacing w:after="60" w:before="0" w:line="240" w:lineRule="auto"/>
        <w:ind w:firstLine="0"/>
        <w:jc w:val="center"/>
      </w:pPr>
      <w:r>
        <w:rPr>
          <w:rFonts w:ascii="Times New Roman" w:hAnsi="Times New Roman" w:cs="Times New Roman"/>
          <w:b w:val="0"/>
          <w:i w:val="0"/>
          <w:caps/>
          <w:sz w:val="16"/>
        </w:rPr>
        <w:t>Mapping of known genetic modifiers onto parameters of the fitted rate law.</w:t>
      </w:r>
    </w:p>
    <w:tbl>
      <w:tblPr>
        <w:tblStyle w:val="TableGrid"/>
        <w:tblW w:type="auto" w:w="0"/>
        <w:jc w:val="center"/>
        <w:tblLook w:firstColumn="1" w:firstRow="1" w:lastColumn="0" w:lastRow="0" w:noHBand="0" w:noVBand="1" w:val="04A0"/>
      </w:tblPr>
      <w:tblGrid>
        <w:gridCol w:w="3480"/>
        <w:gridCol w:w="3480"/>
        <w:gridCol w:w="3480"/>
      </w:tblGrid>
      <w:tr>
        <w:tc>
          <w:tcPr>
            <w:tcW w:type="dxa" w:w="3480"/>
          </w:tcPr>
          <w:p>
            <w:pPr>
              <w:spacing w:after="0"/>
            </w:pPr>
            <w:r/>
            <w:r>
              <w:rPr>
                <w:rFonts w:ascii="Times New Roman" w:hAnsi="Times New Roman" w:cs="Times New Roman"/>
                <w:b/>
                <w:i w:val="0"/>
                <w:caps w:val="0"/>
                <w:sz w:val="16"/>
              </w:rPr>
              <w:t>Modifier</w:t>
            </w:r>
          </w:p>
        </w:tc>
        <w:tc>
          <w:tcPr>
            <w:tcW w:type="dxa" w:w="3480"/>
          </w:tcPr>
          <w:p>
            <w:pPr>
              <w:spacing w:after="0"/>
            </w:pPr>
            <w:r/>
            <w:r>
              <w:rPr>
                <w:rFonts w:ascii="Times New Roman" w:hAnsi="Times New Roman" w:cs="Times New Roman"/>
                <w:b/>
                <w:i w:val="0"/>
                <w:caps w:val="0"/>
                <w:sz w:val="16"/>
              </w:rPr>
              <w:t>Parameter</w:t>
            </w:r>
          </w:p>
        </w:tc>
        <w:tc>
          <w:tcPr>
            <w:tcW w:type="dxa" w:w="3480"/>
          </w:tcPr>
          <w:p>
            <w:pPr>
              <w:spacing w:after="0"/>
            </w:pPr>
            <w:r/>
            <w:r>
              <w:rPr>
                <w:rFonts w:ascii="Times New Roman" w:hAnsi="Times New Roman" w:cs="Times New Roman"/>
                <w:b/>
                <w:i w:val="0"/>
                <w:caps w:val="0"/>
                <w:sz w:val="16"/>
              </w:rPr>
              <w:t>Direction</w:t>
            </w:r>
          </w:p>
        </w:tc>
      </w:tr>
      <w:tr>
        <w:tc>
          <w:tcPr>
            <w:tcW w:type="dxa" w:w="3480"/>
          </w:tcPr>
          <w:p>
            <w:pPr>
              <w:spacing w:after="0"/>
            </w:pPr>
            <w:r>
              <w:rPr>
                <w:rFonts w:ascii="Times New Roman" w:hAnsi="Times New Roman" w:cs="Times New Roman"/>
                <w:b w:val="0"/>
                <w:i/>
                <w:caps w:val="0"/>
                <w:sz w:val="16"/>
              </w:rPr>
              <w:t>MSH3</w:t>
            </w:r>
            <w:r>
              <w:rPr>
                <w:rFonts w:ascii="Times New Roman" w:hAnsi="Times New Roman" w:cs="Times New Roman"/>
                <w:b w:val="0"/>
                <w:i w:val="0"/>
                <w:caps w:val="0"/>
                <w:sz w:val="16"/>
              </w:rPr>
              <w:t xml:space="preserve"> expression</w:t>
            </w:r>
          </w:p>
        </w:tc>
        <w:tc>
          <w:tcPr>
            <w:tcW w:type="dxa" w:w="3480"/>
          </w:tcPr>
          <w:p>
            <w:pPr>
              <w:spacing w:after="0"/>
            </w:pPr>
            <w:r>
              <w:rPr>
                <w:rFonts w:ascii="Times New Roman" w:hAnsi="Times New Roman" w:cs="Times New Roman"/>
                <w:b w:val="0"/>
                <w:i w:val="0"/>
                <w:caps w:val="0"/>
                <w:sz w:val="16"/>
              </w:rPr>
              <w:t>θ</w:t>
            </w:r>
          </w:p>
        </w:tc>
        <w:tc>
          <w:tcPr>
            <w:tcW w:type="dxa" w:w="3480"/>
          </w:tcPr>
          <w:p>
            <w:pPr>
              <w:spacing w:after="0"/>
            </w:pPr>
            <w:r>
              <w:rPr>
                <w:rFonts w:ascii="Times New Roman" w:hAnsi="Times New Roman" w:cs="Times New Roman"/>
                <w:b w:val="0"/>
                <w:i w:val="0"/>
                <w:caps w:val="0"/>
                <w:sz w:val="16"/>
              </w:rPr>
              <w:t>more MSH3 is faster</w:t>
            </w:r>
          </w:p>
        </w:tc>
      </w:tr>
      <w:tr>
        <w:tc>
          <w:tcPr>
            <w:tcW w:type="dxa" w:w="3480"/>
          </w:tcPr>
          <w:p>
            <w:pPr>
              <w:spacing w:after="0"/>
            </w:pPr>
            <w:r>
              <w:rPr>
                <w:rFonts w:ascii="Times New Roman" w:hAnsi="Times New Roman" w:cs="Times New Roman"/>
                <w:b w:val="0"/>
                <w:i/>
                <w:caps w:val="0"/>
                <w:sz w:val="16"/>
              </w:rPr>
              <w:t>FAN1</w:t>
            </w:r>
            <w:r>
              <w:rPr>
                <w:rFonts w:ascii="Times New Roman" w:hAnsi="Times New Roman" w:cs="Times New Roman"/>
                <w:b w:val="0"/>
                <w:i w:val="0"/>
                <w:caps w:val="0"/>
                <w:sz w:val="16"/>
              </w:rPr>
              <w:t xml:space="preserve"> activity</w:t>
            </w:r>
          </w:p>
        </w:tc>
        <w:tc>
          <w:tcPr>
            <w:tcW w:type="dxa" w:w="3480"/>
          </w:tcPr>
          <w:p>
            <w:pPr>
              <w:spacing w:after="0"/>
            </w:pPr>
            <w:r>
              <w:rPr>
                <w:rFonts w:ascii="Times New Roman" w:hAnsi="Times New Roman" w:cs="Times New Roman"/>
                <w:b w:val="0"/>
                <w:i w:val="0"/>
                <w:caps w:val="0"/>
                <w:sz w:val="16"/>
              </w:rPr>
              <w:t>f</w:t>
            </w:r>
          </w:p>
        </w:tc>
        <w:tc>
          <w:tcPr>
            <w:tcW w:type="dxa" w:w="3480"/>
          </w:tcPr>
          <w:p>
            <w:pPr>
              <w:spacing w:after="0"/>
            </w:pPr>
            <w:r>
              <w:rPr>
                <w:rFonts w:ascii="Times New Roman" w:hAnsi="Times New Roman" w:cs="Times New Roman"/>
                <w:b w:val="0"/>
                <w:i w:val="0"/>
                <w:caps w:val="0"/>
                <w:sz w:val="16"/>
              </w:rPr>
              <w:t>more FAN1 is slower</w:t>
            </w:r>
          </w:p>
        </w:tc>
      </w:tr>
      <w:tr>
        <w:tc>
          <w:tcPr>
            <w:tcW w:type="dxa" w:w="3480"/>
          </w:tcPr>
          <w:p>
            <w:pPr>
              <w:spacing w:after="0"/>
            </w:pPr>
            <w:r>
              <w:rPr>
                <w:rFonts w:ascii="Times New Roman" w:hAnsi="Times New Roman" w:cs="Times New Roman"/>
                <w:b w:val="0"/>
                <w:i w:val="0"/>
                <w:caps w:val="0"/>
                <w:sz w:val="16"/>
              </w:rPr>
              <w:t>Loss of a CAA interruption</w:t>
            </w:r>
          </w:p>
        </w:tc>
        <w:tc>
          <w:tcPr>
            <w:tcW w:type="dxa" w:w="3480"/>
          </w:tcPr>
          <w:p>
            <w:pPr>
              <w:spacing w:after="0"/>
            </w:pPr>
            <w:r>
              <w:rPr>
                <w:rFonts w:ascii="Times New Roman" w:hAnsi="Times New Roman" w:cs="Times New Roman"/>
                <w:b w:val="0"/>
                <w:i/>
                <w:caps w:val="0"/>
                <w:sz w:val="16"/>
              </w:rPr>
              <w:t>L</w:t>
            </w:r>
            <w:r>
              <w:rPr>
                <w:rFonts w:ascii="Times New Roman" w:hAnsi="Times New Roman" w:cs="Times New Roman"/>
                <w:b w:val="0"/>
                <w:i/>
                <w:caps w:val="0"/>
                <w:sz w:val="16"/>
                <w:vertAlign w:val="subscript"/>
              </w:rPr>
              <w:t>sw</w:t>
            </w:r>
          </w:p>
        </w:tc>
        <w:tc>
          <w:tcPr>
            <w:tcW w:type="dxa" w:w="3480"/>
          </w:tcPr>
          <w:p>
            <w:pPr>
              <w:spacing w:after="0"/>
            </w:pPr>
            <w:r>
              <w:rPr>
                <w:rFonts w:ascii="Times New Roman" w:hAnsi="Times New Roman" w:cs="Times New Roman"/>
                <w:b w:val="0"/>
                <w:i w:val="0"/>
                <w:caps w:val="0"/>
                <w:sz w:val="16"/>
              </w:rPr>
              <w:t xml:space="preserve">an uninterrupted tract reaches the clustered regime at shorter total length, so </w:t>
            </w:r>
            <w:r>
              <w:rPr>
                <w:rFonts w:ascii="Times New Roman" w:hAnsi="Times New Roman" w:cs="Times New Roman"/>
                <w:b w:val="0"/>
                <w:i/>
                <w:caps w:val="0"/>
                <w:sz w:val="16"/>
              </w:rPr>
              <w:t>L</w:t>
            </w:r>
            <w:r>
              <w:rPr>
                <w:rFonts w:ascii="Times New Roman" w:hAnsi="Times New Roman" w:cs="Times New Roman"/>
                <w:b w:val="0"/>
                <w:i/>
                <w:caps w:val="0"/>
                <w:sz w:val="16"/>
                <w:vertAlign w:val="subscript"/>
              </w:rPr>
              <w:t>sw</w:t>
            </w:r>
            <w:r>
              <w:rPr>
                <w:rFonts w:ascii="Times New Roman" w:hAnsi="Times New Roman" w:cs="Times New Roman"/>
                <w:b w:val="0"/>
                <w:i w:val="0"/>
                <w:caps w:val="0"/>
                <w:sz w:val="16"/>
              </w:rPr>
              <w:t xml:space="preserve"> falls</w:t>
            </w:r>
          </w:p>
        </w:tc>
      </w:tr>
    </w:tbl>
    <w:p>
      <w:pPr>
        <w:spacing w:after="120" w:before="0" w:line="240" w:lineRule="auto"/>
        <w:ind w:firstLine="0"/>
        <w:jc w:val="both"/>
      </w:pPr>
    </w:p>
    <w:p>
      <w:pPr>
        <w:sectPr>
          <w:type w:val="continuous"/>
          <w:pgSz w:w="12240" w:h="15840"/>
          <w:pgMar w:top="1080" w:right="900" w:bottom="1440" w:left="900" w:header="720" w:footer="720" w:gutter="0"/>
          <w:cols w:space="360" w:num="1" w:equalWidth="1"/>
          <w:docGrid w:linePitch="360"/>
        </w:sectPr>
      </w:pPr>
    </w:p>
    <w:p>
      <w:pPr>
        <w:spacing w:after="60" w:before="0" w:line="240" w:lineRule="auto"/>
        <w:ind w:firstLine="288"/>
        <w:jc w:val="both"/>
      </w:pPr>
      <w:r>
        <w:rPr>
          <w:rFonts w:ascii="Times New Roman" w:hAnsi="Times New Roman" w:cs="Times New Roman"/>
          <w:b w:val="0"/>
          <w:i w:val="0"/>
          <w:caps w:val="0"/>
          <w:sz w:val="20"/>
        </w:rPr>
        <w:t>Each was scanned around its baseline and the shift in age at 25% neuron loss recorded for a 42-repeat carrier. These are predictions: no modifier effect size entered the calibration.</w:t>
      </w:r>
    </w:p>
    <w:p>
      <w:pPr>
        <w:spacing w:after="40" w:before="120" w:line="240" w:lineRule="auto"/>
        <w:ind w:firstLine="0"/>
        <w:jc w:val="left"/>
      </w:pPr>
      <w:r>
        <w:rPr>
          <w:rFonts w:ascii="Times New Roman" w:hAnsi="Times New Roman" w:cs="Times New Roman"/>
          <w:b w:val="0"/>
          <w:i/>
          <w:caps w:val="0"/>
          <w:sz w:val="20"/>
        </w:rPr>
        <w:t>I.  Delivery module</w:t>
      </w:r>
    </w:p>
    <w:p>
      <w:pPr>
        <w:spacing w:after="60" w:before="0" w:line="240" w:lineRule="auto"/>
        <w:ind w:firstLine="288"/>
        <w:jc w:val="both"/>
      </w:pPr>
      <w:r>
        <w:rPr>
          <w:rFonts w:ascii="Times New Roman" w:hAnsi="Times New Roman" w:cs="Times New Roman"/>
          <w:b/>
          <w:i w:val="0"/>
          <w:caps w:val="0"/>
          <w:sz w:val="20"/>
        </w:rPr>
        <w:t>Exposure to response.</w:t>
      </w:r>
      <w:r>
        <w:rPr>
          <w:rFonts w:ascii="Times New Roman" w:hAnsi="Times New Roman" w:cs="Times New Roman"/>
          <w:b w:val="0"/>
          <w:i w:val="0"/>
          <w:caps w:val="0"/>
          <w:sz w:val="20"/>
        </w:rPr>
        <w:t xml:space="preserve"> An Emax curve, MSH3(%) = 100/(1 + (x/EC₅₀)^h), was fitted to the two published mouse intracerebroventricular doses expressed per gram of brain, giving EC₅₀ = 10.1 nmol g⁻¹ and h = 1.22. Inverting it converts a target knockdown into a required tissue exposure.</w:t>
      </w:r>
    </w:p>
    <w:p>
      <w:pPr>
        <w:spacing w:after="60" w:before="0" w:line="240" w:lineRule="auto"/>
        <w:ind w:firstLine="288"/>
        <w:jc w:val="both"/>
      </w:pPr>
      <w:r>
        <w:rPr>
          <w:rFonts w:ascii="Times New Roman" w:hAnsi="Times New Roman" w:cs="Times New Roman"/>
          <w:b w:val="0"/>
          <w:i w:val="0"/>
          <w:caps w:val="0"/>
          <w:sz w:val="20"/>
        </w:rPr>
        <w:t xml:space="preserve">Two features of that curve limit what can be claimed from it, and since everything in the delivery and dosing analysis passes through it they are stated here rather than buried. First, two free parameters fitted to two points is an exact interpolation with zero degrees of freedom: the curve passes through both measurements by construction, </w:t>
      </w:r>
      <w:r>
        <w:rPr>
          <w:rFonts w:ascii="Consolas" w:hAnsi="Consolas" w:cs="Consolas"/>
          <w:b w:val="0"/>
          <w:i w:val="0"/>
          <w:caps w:val="0"/>
          <w:sz w:val="20"/>
        </w:rPr>
        <w:t>results/emax_fit.csv</w:t>
      </w:r>
      <w:r>
        <w:rPr>
          <w:rFonts w:ascii="Times New Roman" w:hAnsi="Times New Roman" w:cs="Times New Roman"/>
          <w:b w:val="0"/>
          <w:i w:val="0"/>
          <w:caps w:val="0"/>
          <w:sz w:val="20"/>
        </w:rPr>
        <w:t xml:space="preserve"> shows the fitted values equal to the measured ones to the decimal, and the residual carries no information. The Hill coefficient of 1.22 is therefore not an estimate of cooperativity, it is whatever value threads the curve through both points, and its closeness to one should not be read as evidence of anything. Second, the two points span 7.5 to 25 nmol g⁻¹, and the curve is used outside that span: at 4.1 nmol g⁻¹ for putaminal bulk tissue, at 61.8 nmol g⁻¹ for the 90% knockdown target, and at steady-state peaks up to 388 nmol g⁻¹ in the dosing analysis, fifteen times the highest calibration point. The calibrated interval is marked on Fig. 9A so that every exposure quoted later can be read against it, and the quantitative claims outside it should be treated as the shape of the curve carried forward, not as a measurement.</w:t>
      </w:r>
    </w:p>
    <w:p>
      <w:pPr>
        <w:spacing w:after="60" w:before="0" w:line="240" w:lineRule="auto"/>
        <w:ind w:firstLine="288"/>
        <w:jc w:val="both"/>
      </w:pPr>
      <w:r>
        <w:rPr>
          <w:rFonts w:ascii="Times New Roman" w:hAnsi="Times New Roman" w:cs="Times New Roman"/>
          <w:b/>
          <w:i w:val="0"/>
          <w:caps w:val="0"/>
          <w:sz w:val="20"/>
        </w:rPr>
        <w:t>Route A, CSF administration.</w:t>
      </w:r>
      <w:r>
        <w:rPr>
          <w:rFonts w:ascii="Times New Roman" w:hAnsi="Times New Roman" w:cs="Times New Roman"/>
          <w:b w:val="0"/>
          <w:i w:val="0"/>
          <w:caps w:val="0"/>
          <w:sz w:val="20"/>
        </w:rPr>
        <w:t xml:space="preserve"> Rather than invent a CSF transport model with parameters that cannot be checked, measured primate target engagement was used directly [7] and converted through the Emax curve into an implied striatal exposure. This step carries the single largest substitution in the paper and it is made explicit here. The primate study did not measure MSH3. Its oligonucleotide targeted </w:t>
      </w:r>
      <w:r>
        <w:rPr>
          <w:rFonts w:ascii="Times New Roman" w:hAnsi="Times New Roman" w:cs="Times New Roman"/>
          <w:b w:val="0"/>
          <w:i/>
          <w:caps w:val="0"/>
          <w:sz w:val="20"/>
        </w:rPr>
        <w:t>Malat1</w:t>
      </w:r>
      <w:r>
        <w:rPr>
          <w:rFonts w:ascii="Times New Roman" w:hAnsi="Times New Roman" w:cs="Times New Roman"/>
          <w:b w:val="0"/>
          <w:i w:val="0"/>
          <w:caps w:val="0"/>
          <w:sz w:val="20"/>
        </w:rPr>
        <w:t>, a nuclear long non-coding RNA used as a reporter of where an intrathecally delivered gapmer is active, and the readout was residual target RNA by single-nucleus sequencing and quantitative PCR. The figures are therefore used as a property of the route and the cell type rather than as an MSH3 measurement: what they establish is how much knockdown of its own target a stabilised oligonucleotide of this class achieves in putaminal projection neurons after intrathecal dosing, and MSH3 is assumed to respond the same way. Two things are assumed in that move. One is target equivalence, which is standard for route comparisons but unverified for MSH3. The other is that residual RNA stands in for residual protein, which the Emax curve actually requires; the two differ by the protein's turnover, and for a lncRNA with no protein product the substitution cannot be checked within the source at all. Both are carried into the limitations.</w:t>
      </w:r>
    </w:p>
    <w:p>
      <w:pPr>
        <w:spacing w:after="60" w:before="0" w:line="240" w:lineRule="auto"/>
        <w:ind w:firstLine="288"/>
        <w:jc w:val="both"/>
      </w:pPr>
      <w:r>
        <w:rPr>
          <w:rFonts w:ascii="Times New Roman" w:hAnsi="Times New Roman" w:cs="Times New Roman"/>
          <w:b w:val="0"/>
          <w:i w:val="0"/>
          <w:caps w:val="0"/>
          <w:sz w:val="20"/>
        </w:rPr>
        <w:t xml:space="preserve">A related asymmetry in how the two species are treated should also be named, because it runs the other way. For the primate route the analysis declines to assume uniform distribution and instead infers a penetration length from the reported regional gradient. For the mouse route the intracerebroventricular dose is converted to tissue exposure as dose divided by whole-brain mass, which does assume uniform distribution through the brain, and an intraventricular injection is no more uniform in a mouse than in a macaque. The mouse calculation is kept in that form because the published dose-response is reported against whole-brain dose and nothing in the source supports a mouse-specific gradient, but the consequence is that the Emax curve's horizontal axis is a nominal exposure rather than a measured striatal concentration. If mouse striatal exposure is in fact lower than the whole-brain average, EC₅₀ is overstated and the exposures required later are correspondingly overstated too, so the direction of this error is conservative for the paper's conclusion. A tissue penetration length was then inferred from the reported gradient rather than assumed: with an exponential depth profile, a ten-fold difference over a depth difference of about 9 mm implies </w:t>
      </w:r>
      <w:r>
        <w:rPr>
          <w:rFonts w:ascii="Times New Roman" w:hAnsi="Times New Roman" w:cs="Times New Roman"/>
          <w:b w:val="0"/>
          <w:i/>
          <w:caps w:val="0"/>
          <w:sz w:val="20"/>
        </w:rPr>
        <w:t>L</w:t>
      </w:r>
      <w:r>
        <w:rPr>
          <w:rFonts w:ascii="Times New Roman" w:hAnsi="Times New Roman" w:cs="Times New Roman"/>
          <w:b w:val="0"/>
          <w:i/>
          <w:caps w:val="0"/>
          <w:sz w:val="20"/>
          <w:vertAlign w:val="subscript"/>
        </w:rPr>
        <w:t>pen</w:t>
      </w:r>
      <w:r>
        <w:rPr>
          <w:rFonts w:ascii="Times New Roman" w:hAnsi="Times New Roman" w:cs="Times New Roman"/>
          <w:b w:val="0"/>
          <w:i w:val="0"/>
          <w:caps w:val="0"/>
          <w:sz w:val="20"/>
        </w:rPr>
        <w:t xml:space="preserve"> = Δdepth / ln(ratio) = 3.9 mm. Applying the same penetration length to a human putamen predicts how much worse the human case should be. That prediction needs an assumed human putaminal depth, which is not available from the source, so four scenarios are carried instead of one: anatomical depths of 12, 16 and 20 mm, and the depth obtained by scaling the macaque value by the cube root of brain mass. Section III-H reports all four and names which is carried forward.</w:t>
      </w:r>
    </w:p>
    <w:p>
      <w:pPr>
        <w:spacing w:after="60" w:before="0" w:line="240" w:lineRule="auto"/>
        <w:ind w:firstLine="288"/>
        <w:jc w:val="both"/>
      </w:pPr>
      <w:r>
        <w:rPr>
          <w:rFonts w:ascii="Times New Roman" w:hAnsi="Times New Roman" w:cs="Times New Roman"/>
          <w:b/>
          <w:i w:val="0"/>
          <w:caps w:val="0"/>
          <w:sz w:val="20"/>
        </w:rPr>
        <w:t>Route B, systemic nanocarrier.</w:t>
      </w:r>
      <w:r>
        <w:rPr>
          <w:rFonts w:ascii="Times New Roman" w:hAnsi="Times New Roman" w:cs="Times New Roman"/>
          <w:b w:val="0"/>
          <w:i w:val="0"/>
          <w:caps w:val="0"/>
          <w:sz w:val="20"/>
        </w:rPr>
        <w:t xml:space="preserve"> Transcytosis efficiency was modelled as the product of two opposing terms, surface capture and abluminal release:</w:t>
      </w:r>
    </w:p>
    <w:p>
      <w:pPr>
        <w:spacing w:after="80" w:before="80" w:line="240" w:lineRule="auto"/>
        <w:ind w:firstLine="0"/>
        <w:jc w:val="center"/>
      </w:pPr>
      <w:r>
        <w:rPr>
          <w:rFonts w:ascii="Times New Roman" w:hAnsi="Times New Roman" w:cs="Times New Roman"/>
          <w:b w:val="0"/>
          <w:i/>
          <w:caps w:val="0"/>
          <w:sz w:val="20"/>
        </w:rPr>
        <w:t>η(K_D, v) = f_v · [K_D,b/(K_D + K_D,b)] · [1/(1 + K_r/K_D)]</w:t>
      </w:r>
    </w:p>
    <w:p>
      <w:pPr>
        <w:spacing w:after="60" w:before="0" w:line="240" w:lineRule="auto"/>
        <w:ind w:firstLine="288"/>
        <w:jc w:val="both"/>
      </w:pPr>
      <w:r>
        <w:rPr>
          <w:rFonts w:ascii="Times New Roman" w:hAnsi="Times New Roman" w:cs="Times New Roman"/>
          <w:b w:val="0"/>
          <w:i w:val="0"/>
          <w:caps w:val="0"/>
          <w:sz w:val="20"/>
        </w:rPr>
        <w:t xml:space="preserve">The first term rises as affinity rises, the second falls, and the product peaks at </w:t>
      </w:r>
      <w:r>
        <w:rPr>
          <w:rFonts w:ascii="Times New Roman" w:hAnsi="Times New Roman" w:cs="Times New Roman"/>
          <w:b w:val="0"/>
          <w:i/>
          <w:caps w:val="0"/>
          <w:sz w:val="20"/>
        </w:rPr>
        <w:t>K</w:t>
      </w:r>
      <w:r>
        <w:rPr>
          <w:rFonts w:ascii="Times New Roman" w:hAnsi="Times New Roman" w:cs="Times New Roman"/>
          <w:b w:val="0"/>
          <w:i/>
          <w:caps w:val="0"/>
          <w:sz w:val="20"/>
          <w:vertAlign w:val="subscript"/>
        </w:rPr>
        <w:t>D</w:t>
      </w:r>
      <w:r>
        <w:rPr>
          <w:rFonts w:ascii="Times New Roman" w:hAnsi="Times New Roman" w:cs="Times New Roman"/>
          <w:b w:val="0"/>
          <w:i w:val="0"/>
          <w:caps w:val="0"/>
          <w:sz w:val="20"/>
        </w:rPr>
        <w:t xml:space="preserve"> = √(</w:t>
      </w:r>
      <w:r>
        <w:rPr>
          <w:rFonts w:ascii="Times New Roman" w:hAnsi="Times New Roman" w:cs="Times New Roman"/>
          <w:b w:val="0"/>
          <w:i/>
          <w:caps w:val="0"/>
          <w:sz w:val="20"/>
        </w:rPr>
        <w:t>K</w:t>
      </w:r>
      <w:r>
        <w:rPr>
          <w:rFonts w:ascii="Times New Roman" w:hAnsi="Times New Roman" w:cs="Times New Roman"/>
          <w:b w:val="0"/>
          <w:i/>
          <w:caps w:val="0"/>
          <w:sz w:val="20"/>
          <w:vertAlign w:val="subscript"/>
        </w:rPr>
        <w:t>D,b</w:t>
      </w:r>
      <w:r>
        <w:rPr>
          <w:rFonts w:ascii="Times New Roman" w:hAnsi="Times New Roman" w:cs="Times New Roman"/>
          <w:b w:val="0"/>
          <w:i w:val="0"/>
          <w:caps w:val="0"/>
          <w:sz w:val="20"/>
        </w:rPr>
        <w:t xml:space="preserve"> · </w:t>
      </w:r>
      <w:r>
        <w:rPr>
          <w:rFonts w:ascii="Times New Roman" w:hAnsi="Times New Roman" w:cs="Times New Roman"/>
          <w:b w:val="0"/>
          <w:i/>
          <w:caps w:val="0"/>
          <w:sz w:val="20"/>
        </w:rPr>
        <w:t>K</w:t>
      </w:r>
      <w:r>
        <w:rPr>
          <w:rFonts w:ascii="Times New Roman" w:hAnsi="Times New Roman" w:cs="Times New Roman"/>
          <w:b w:val="0"/>
          <w:i/>
          <w:caps w:val="0"/>
          <w:sz w:val="20"/>
          <w:vertAlign w:val="subscript"/>
        </w:rPr>
        <w:t>r</w:t>
      </w:r>
      <w:r>
        <w:rPr>
          <w:rFonts w:ascii="Times New Roman" w:hAnsi="Times New Roman" w:cs="Times New Roman"/>
          <w:b w:val="0"/>
          <w:i w:val="0"/>
          <w:caps w:val="0"/>
          <w:sz w:val="20"/>
        </w:rPr>
        <w:t xml:space="preserve">). The two constants were fitted to the two bivalent variants of the measured anti-transferrin-receptor gold nanoparticle series, and the valency factor </w:t>
      </w:r>
      <w:r>
        <w:rPr>
          <w:rFonts w:ascii="Times New Roman" w:hAnsi="Times New Roman" w:cs="Times New Roman"/>
          <w:b w:val="0"/>
          <w:i/>
          <w:caps w:val="0"/>
          <w:sz w:val="20"/>
        </w:rPr>
        <w:t>f</w:t>
      </w:r>
      <w:r>
        <w:rPr>
          <w:rFonts w:ascii="Times New Roman" w:hAnsi="Times New Roman" w:cs="Times New Roman"/>
          <w:b w:val="0"/>
          <w:i/>
          <w:caps w:val="0"/>
          <w:sz w:val="20"/>
          <w:vertAlign w:val="subscript"/>
        </w:rPr>
        <w:t>v</w:t>
      </w:r>
      <w:r>
        <w:rPr>
          <w:rFonts w:ascii="Times New Roman" w:hAnsi="Times New Roman" w:cs="Times New Roman"/>
          <w:b w:val="0"/>
          <w:i w:val="0"/>
          <w:caps w:val="0"/>
          <w:sz w:val="20"/>
        </w:rPr>
        <w:t xml:space="preserve"> was taken from the monovalent to bivalent ratio at matched affinity [8]. The required systemic dose follows from the target tissue exposure, the parenchymal accumulation and an assumed endosomal escape fraction, which is swept because it is the least constrained number in the calculation.</w:t>
      </w:r>
    </w:p>
    <w:p>
      <w:pPr>
        <w:spacing w:after="40" w:before="120" w:line="240" w:lineRule="auto"/>
        <w:ind w:firstLine="0"/>
        <w:jc w:val="left"/>
      </w:pPr>
      <w:r>
        <w:rPr>
          <w:rFonts w:ascii="Times New Roman" w:hAnsi="Times New Roman" w:cs="Times New Roman"/>
          <w:b w:val="0"/>
          <w:i/>
          <w:caps w:val="0"/>
          <w:sz w:val="20"/>
        </w:rPr>
        <w:t>J.  Dosing schedules</w:t>
      </w:r>
    </w:p>
    <w:p>
      <w:pPr>
        <w:spacing w:after="60" w:before="0" w:line="240" w:lineRule="auto"/>
        <w:ind w:firstLine="288"/>
        <w:jc w:val="both"/>
      </w:pPr>
      <w:r>
        <w:rPr>
          <w:rFonts w:ascii="Times New Roman" w:hAnsi="Times New Roman" w:cs="Times New Roman"/>
          <w:b w:val="0"/>
          <w:i w:val="0"/>
          <w:caps w:val="0"/>
          <w:sz w:val="20"/>
        </w:rPr>
        <w:t>Section II-F establishes that λ is first-order in MSH3, within the limits set out in Section III-B. That has a convenient consequence: if the dependence is exactly first-order, then over decades the cumulative effect of an oscillating MSH3 level depends only on its time average and not at all on the shape of the waveform, so the correction from an idealised step change to a real dosing schedule is exact rather than approximate. The exactness is conditional on the order, and the data constrain the order to the neighbourhood of one rather than to one precisely. At an order of 1.2 rather than 1.0 the time-average shortcut would understate the cost of a peaky schedule, because the trough would then contribute less than linearly, so the schedule comparisons below should be read as the optimistic end of a narrow range.</w:t>
      </w:r>
    </w:p>
    <w:p>
      <w:pPr>
        <w:spacing w:after="60" w:before="0" w:line="240" w:lineRule="auto"/>
        <w:ind w:firstLine="288"/>
        <w:jc w:val="both"/>
      </w:pPr>
      <w:r>
        <w:rPr>
          <w:rFonts w:ascii="Times New Roman" w:hAnsi="Times New Roman" w:cs="Times New Roman"/>
          <w:b w:val="0"/>
          <w:i w:val="0"/>
          <w:caps w:val="0"/>
          <w:sz w:val="20"/>
        </w:rPr>
        <w:t>Tissue concentration was modelled as first-order elimination with repeated bolus dosing, with steady-state accumulation handled analytically. MSH3 follows from the Emax curve, and the time average over one steady-state cycle gives the effective residual MSH3 that is fed back into the lifetime model. Neither the CNS half-life of a stabilised oligonucleotide nor the eventual dosing interval is settled, so both were swept rather than assumed: half-lives of 1 to 12 months, intervals of 3 to 12 months.</w:t>
      </w:r>
    </w:p>
    <w:p>
      <w:pPr>
        <w:spacing w:after="40" w:before="120" w:line="240" w:lineRule="auto"/>
        <w:ind w:firstLine="0"/>
        <w:jc w:val="left"/>
      </w:pPr>
      <w:r>
        <w:rPr>
          <w:rFonts w:ascii="Times New Roman" w:hAnsi="Times New Roman" w:cs="Times New Roman"/>
          <w:b w:val="0"/>
          <w:i/>
          <w:caps w:val="0"/>
          <w:sz w:val="20"/>
        </w:rPr>
        <w:t>K.  In silico trial</w:t>
      </w:r>
    </w:p>
    <w:p>
      <w:pPr>
        <w:spacing w:after="60" w:before="0" w:line="240" w:lineRule="auto"/>
        <w:ind w:firstLine="288"/>
        <w:jc w:val="both"/>
      </w:pPr>
      <w:r>
        <w:rPr>
          <w:rFonts w:ascii="Times New Roman" w:hAnsi="Times New Roman" w:cs="Times New Roman"/>
          <w:b w:val="0"/>
          <w:i w:val="0"/>
          <w:caps w:val="0"/>
          <w:sz w:val="20"/>
        </w:rPr>
        <w:t>Virtual cohorts of 9,000 projection neurons carrying a given inherited length were simulated with a step change in striatal MSH3 at a given age, held for life. Scenarios were anchored to measured achievable engagement, with residual MSH3 of 0.71, 0.57 and 0.45, and to aspirational levels of 0.25, 0.10 and 0.05.</w:t>
      </w:r>
    </w:p>
    <w:p>
      <w:pPr>
        <w:spacing w:after="60" w:before="0" w:line="240" w:lineRule="auto"/>
        <w:ind w:firstLine="288"/>
        <w:jc w:val="both"/>
      </w:pPr>
      <w:r>
        <w:rPr>
          <w:rFonts w:ascii="Times New Roman" w:hAnsi="Times New Roman" w:cs="Times New Roman"/>
          <w:b w:val="0"/>
          <w:i w:val="0"/>
          <w:caps w:val="0"/>
          <w:sz w:val="20"/>
        </w:rPr>
        <w:t>Population sizes differ between analyses and the reason is runtime rather than anything substantive, but since the sizes are visible in the code they should be accounted for. Monte Carlo noise on the age endpoints scales as the inverse square root of the count and is about ±1 year at 9,000 cells, estimated from zero-knockdown control arms that should show no effect at all. The main validation in Section III-C uses 20,000, as do the coupling and reconciliation analyses, because those are run once and their held-out comparisons are the strictest tests in the paper. The subtype prediction uses 15,000 because it splits the population in two and each arm needs to stay large enough to resolve a difference of a few percentage points. The modifier and power analyses use 12,000 and the trial and dosing analyses 9,000, because those sweep tens to hundreds of parameter combinations and the reported quantities are differences between arms simulated with the same seed, where the common random numbers cancel most of the noise. The sensitivity analysis uses 3,000 per sample, the smallest of all, because it recalibrates the model 160 times; its noise is visible as scatter in Fig. 15A and is small against the spread the sampling itself produces.</w:t>
      </w:r>
    </w:p>
    <w:p>
      <w:pPr>
        <w:spacing w:after="60" w:before="0" w:line="240" w:lineRule="auto"/>
        <w:ind w:firstLine="288"/>
        <w:jc w:val="both"/>
      </w:pPr>
      <w:r>
        <w:rPr>
          <w:rFonts w:ascii="Times New Roman" w:hAnsi="Times New Roman" w:cs="Times New Roman"/>
          <w:b w:val="0"/>
          <w:i w:val="0"/>
          <w:caps w:val="0"/>
          <w:sz w:val="20"/>
        </w:rPr>
        <w:t>Two endpoint families were used. Neuron loss at ages 70 and 80 is uncensored and always available. Age at 25% and 50% loss is right-censored at 110 years: under strong treatment the cohort never reaches the threshold, and naive interpolation silently returns the last simulated time point, which inflates apparent benefit. Censored values are reported as lower bounds and marked as such in every table and figure. Monte Carlo noise, estimated from zero-knockdown control arms that should show no effect, is about ±1 year on the age endpoints.</w:t>
      </w:r>
    </w:p>
    <w:p>
      <w:pPr>
        <w:spacing w:after="40" w:before="120" w:line="240" w:lineRule="auto"/>
        <w:ind w:firstLine="0"/>
        <w:jc w:val="left"/>
      </w:pPr>
      <w:r>
        <w:rPr>
          <w:rFonts w:ascii="Times New Roman" w:hAnsi="Times New Roman" w:cs="Times New Roman"/>
          <w:b w:val="0"/>
          <w:i/>
          <w:caps w:val="0"/>
          <w:sz w:val="20"/>
        </w:rPr>
        <w:t>L.  Sample size for a real trial</w:t>
      </w:r>
    </w:p>
    <w:p>
      <w:pPr>
        <w:spacing w:after="60" w:before="0" w:line="240" w:lineRule="auto"/>
        <w:ind w:firstLine="288"/>
        <w:jc w:val="both"/>
      </w:pPr>
      <w:r>
        <w:rPr>
          <w:rFonts w:ascii="Times New Roman" w:hAnsi="Times New Roman" w:cs="Times New Roman"/>
          <w:b w:val="0"/>
          <w:i w:val="0"/>
          <w:caps w:val="0"/>
          <w:sz w:val="20"/>
        </w:rPr>
        <w:t>The in silico trial was converted into a conventional power calculation for a randomised, placebo-controlled study whose endpoint is the change in projection neuron survival over the trial period, the quantity for which striatal volume on MRI is a proxy.</w:t>
      </w:r>
    </w:p>
    <w:p>
      <w:pPr>
        <w:spacing w:after="60" w:before="0" w:line="240" w:lineRule="auto"/>
        <w:ind w:firstLine="288"/>
        <w:jc w:val="both"/>
      </w:pPr>
      <w:r>
        <w:rPr>
          <w:rFonts w:ascii="Times New Roman" w:hAnsi="Times New Roman" w:cs="Times New Roman"/>
          <w:b w:val="0"/>
          <w:i w:val="0"/>
          <w:caps w:val="0"/>
          <w:sz w:val="20"/>
        </w:rPr>
        <w:t>Each participant contributes loss(age₀ + T) − loss(age₀) in percentage points. Between-subject variance has two sources, kept separate: the spread of inherited CAG lengths across the enrolled cohort, modelled as a triangular distribution over 40 to 50 repeats centred on 44, and measurement error on the imaging endpoint, which is not a property of this model and is swept from 0 to 4 points. Sample size follows from n = 2(z₁₋α/₂ + z₁₋β)² σ²/δ² at α = 0.05 and 80% power, with two measurements per participant.</w:t>
      </w:r>
    </w:p>
    <w:p>
      <w:pPr>
        <w:spacing w:after="40" w:before="120" w:line="240" w:lineRule="auto"/>
        <w:ind w:firstLine="0"/>
        <w:jc w:val="left"/>
      </w:pPr>
      <w:r>
        <w:rPr>
          <w:rFonts w:ascii="Times New Roman" w:hAnsi="Times New Roman" w:cs="Times New Roman"/>
          <w:b w:val="0"/>
          <w:i/>
          <w:caps w:val="0"/>
          <w:sz w:val="20"/>
        </w:rPr>
        <w:t>M.  Global sensitivity analysis</w:t>
      </w:r>
    </w:p>
    <w:p>
      <w:pPr>
        <w:spacing w:after="60" w:before="0" w:line="240" w:lineRule="auto"/>
        <w:ind w:firstLine="288"/>
        <w:jc w:val="both"/>
      </w:pPr>
      <w:r>
        <w:rPr>
          <w:rFonts w:ascii="Times New Roman" w:hAnsi="Times New Roman" w:cs="Times New Roman"/>
          <w:b w:val="0"/>
          <w:i w:val="0"/>
          <w:caps w:val="0"/>
          <w:sz w:val="20"/>
        </w:rPr>
        <w:t>Sixteen inputs were varied simultaneously over a 160-sample Latin hypercube: six published anchors, including the step size and the pharmacodynamic order, and ten assumed structural constants, among them the numerical ceiling on tract length that Section III-C names as the cause of its one failing row. The rate law was recalibrated inside every sample, so calibration uncertainty is propagated rather than held fixed at the central fit. Sensitivity was quantified by partial rank correlation coefficients, which suit monotonic but nonlinear responses, and Spearman correlations were computed alongside as a check.</w:t>
      </w:r>
    </w:p>
    <w:p>
      <w:pPr>
        <w:spacing w:after="40" w:before="120" w:line="240" w:lineRule="auto"/>
        <w:ind w:firstLine="0"/>
        <w:jc w:val="left"/>
      </w:pPr>
      <w:r>
        <w:rPr>
          <w:rFonts w:ascii="Times New Roman" w:hAnsi="Times New Roman" w:cs="Times New Roman"/>
          <w:b w:val="0"/>
          <w:i/>
          <w:caps w:val="0"/>
          <w:sz w:val="20"/>
        </w:rPr>
        <w:t>N.  Where every parameter comes from</w:t>
      </w:r>
    </w:p>
    <w:p>
      <w:pPr>
        <w:sectPr>
          <w:type w:val="continuous"/>
          <w:pgSz w:w="12240" w:h="15840"/>
          <w:pgMar w:top="1080" w:right="900" w:bottom="1440" w:left="900" w:header="720" w:footer="720" w:gutter="0"/>
          <w:cols w:space="360" w:num="2" w:equalWidth="1"/>
          <w:docGrid w:linePitch="360"/>
        </w:sectPr>
      </w:pPr>
    </w:p>
    <w:p>
      <w:pPr>
        <w:spacing w:after="20" w:before="120" w:line="240" w:lineRule="auto"/>
        <w:ind w:firstLine="0"/>
        <w:jc w:val="center"/>
      </w:pPr>
      <w:r>
        <w:rPr>
          <w:rFonts w:ascii="Times New Roman" w:hAnsi="Times New Roman" w:cs="Times New Roman"/>
          <w:b w:val="0"/>
          <w:i w:val="0"/>
          <w:caps w:val="0"/>
          <w:sz w:val="16"/>
        </w:rPr>
        <w:t>TABLE III</w:t>
      </w:r>
    </w:p>
    <w:p>
      <w:pPr>
        <w:spacing w:after="60" w:before="0" w:line="240" w:lineRule="auto"/>
        <w:ind w:firstLine="0"/>
        <w:jc w:val="center"/>
      </w:pPr>
      <w:r>
        <w:rPr>
          <w:rFonts w:ascii="Times New Roman" w:hAnsi="Times New Roman" w:cs="Times New Roman"/>
          <w:b w:val="0"/>
          <w:i w:val="0"/>
          <w:caps/>
          <w:sz w:val="16"/>
        </w:rPr>
        <w:t>Provenance of every parameter in the model. Entries marked fitted here were estimated in this work; entries marked assumed carry no supporting measurement. The rightmost column states how each assumed value is varied: globally and simultaneously, or one at a time.</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610"/>
          </w:tcPr>
          <w:p>
            <w:pPr>
              <w:spacing w:after="0"/>
            </w:pPr>
            <w:r/>
            <w:r>
              <w:rPr>
                <w:rFonts w:ascii="Times New Roman" w:hAnsi="Times New Roman" w:cs="Times New Roman"/>
                <w:b/>
                <w:i w:val="0"/>
                <w:caps w:val="0"/>
                <w:sz w:val="16"/>
              </w:rPr>
              <w:t>Symbol</w:t>
            </w:r>
          </w:p>
        </w:tc>
        <w:tc>
          <w:tcPr>
            <w:tcW w:type="dxa" w:w="2610"/>
          </w:tcPr>
          <w:p>
            <w:pPr>
              <w:spacing w:after="0"/>
            </w:pPr>
            <w:r/>
            <w:r>
              <w:rPr>
                <w:rFonts w:ascii="Times New Roman" w:hAnsi="Times New Roman" w:cs="Times New Roman"/>
                <w:b/>
                <w:i w:val="0"/>
                <w:caps w:val="0"/>
                <w:sz w:val="16"/>
              </w:rPr>
              <w:t>Meaning</w:t>
            </w:r>
          </w:p>
        </w:tc>
        <w:tc>
          <w:tcPr>
            <w:tcW w:type="dxa" w:w="2610"/>
          </w:tcPr>
          <w:p>
            <w:pPr>
              <w:spacing w:after="0"/>
            </w:pPr>
            <w:r/>
            <w:r>
              <w:rPr>
                <w:rFonts w:ascii="Times New Roman" w:hAnsi="Times New Roman" w:cs="Times New Roman"/>
                <w:b/>
                <w:i w:val="0"/>
                <w:caps w:val="0"/>
                <w:sz w:val="16"/>
              </w:rPr>
              <w:t>Value</w:t>
            </w:r>
          </w:p>
        </w:tc>
        <w:tc>
          <w:tcPr>
            <w:tcW w:type="dxa" w:w="2610"/>
          </w:tcPr>
          <w:p>
            <w:pPr>
              <w:spacing w:after="0"/>
            </w:pPr>
            <w:r/>
            <w:r>
              <w:rPr>
                <w:rFonts w:ascii="Times New Roman" w:hAnsi="Times New Roman" w:cs="Times New Roman"/>
                <w:b/>
                <w:i w:val="0"/>
                <w:caps w:val="0"/>
                <w:sz w:val="16"/>
              </w:rPr>
              <w:t>Provenance</w:t>
            </w:r>
          </w:p>
        </w:tc>
      </w:tr>
      <w:tr>
        <w:tc>
          <w:tcPr>
            <w:tcW w:type="dxa" w:w="2610"/>
          </w:tcPr>
          <w:p>
            <w:pPr>
              <w:spacing w:after="0"/>
            </w:pPr>
            <w:r>
              <w:rPr>
                <w:rFonts w:ascii="Times New Roman" w:hAnsi="Times New Roman" w:cs="Times New Roman"/>
                <w:b w:val="0"/>
                <w:i w:val="0"/>
                <w:caps w:val="0"/>
                <w:sz w:val="16"/>
              </w:rPr>
              <w:t>w</w:t>
            </w:r>
          </w:p>
        </w:tc>
        <w:tc>
          <w:tcPr>
            <w:tcW w:type="dxa" w:w="2610"/>
          </w:tcPr>
          <w:p>
            <w:pPr>
              <w:spacing w:after="0"/>
            </w:pPr>
            <w:r>
              <w:rPr>
                <w:rFonts w:ascii="Times New Roman" w:hAnsi="Times New Roman" w:cs="Times New Roman"/>
                <w:b w:val="0"/>
                <w:i w:val="0"/>
                <w:caps w:val="0"/>
                <w:sz w:val="16"/>
              </w:rPr>
              <w:t>MutSβ stem footprint</w:t>
            </w:r>
          </w:p>
        </w:tc>
        <w:tc>
          <w:tcPr>
            <w:tcW w:type="dxa" w:w="2610"/>
          </w:tcPr>
          <w:p>
            <w:pPr>
              <w:spacing w:after="0"/>
            </w:pPr>
            <w:r>
              <w:rPr>
                <w:rFonts w:ascii="Times New Roman" w:hAnsi="Times New Roman" w:cs="Times New Roman"/>
                <w:b w:val="0"/>
                <w:i w:val="0"/>
                <w:caps w:val="0"/>
                <w:sz w:val="16"/>
              </w:rPr>
              <w:t>17 repeats</w:t>
            </w:r>
          </w:p>
        </w:tc>
        <w:tc>
          <w:tcPr>
            <w:tcW w:type="dxa" w:w="2610"/>
          </w:tcPr>
          <w:p>
            <w:pPr>
              <w:spacing w:after="0"/>
            </w:pPr>
            <w:r>
              <w:rPr>
                <w:rFonts w:ascii="Times New Roman" w:hAnsi="Times New Roman" w:cs="Times New Roman"/>
                <w:b w:val="0"/>
                <w:i w:val="0"/>
                <w:caps w:val="0"/>
                <w:sz w:val="16"/>
              </w:rPr>
              <w:t>measured [3], preprint</w:t>
            </w:r>
          </w:p>
        </w:tc>
      </w:tr>
      <w:tr>
        <w:tc>
          <w:tcPr>
            <w:tcW w:type="dxa" w:w="2610"/>
          </w:tcPr>
          <w:p>
            <w:pPr>
              <w:spacing w:after="0"/>
            </w:pPr>
            <w:r>
              <w:rPr>
                <w:rFonts w:ascii="Times New Roman" w:hAnsi="Times New Roman" w:cs="Times New Roman"/>
                <w:b w:val="0"/>
                <w:i w:val="0"/>
                <w:caps w:val="0"/>
                <w:sz w:val="16"/>
              </w:rPr>
              <w:t>step</w:t>
            </w:r>
          </w:p>
        </w:tc>
        <w:tc>
          <w:tcPr>
            <w:tcW w:type="dxa" w:w="2610"/>
          </w:tcPr>
          <w:p>
            <w:pPr>
              <w:spacing w:after="0"/>
            </w:pPr>
            <w:r>
              <w:rPr>
                <w:rFonts w:ascii="Times New Roman" w:hAnsi="Times New Roman" w:cs="Times New Roman"/>
                <w:b w:val="0"/>
                <w:i w:val="0"/>
                <w:caps w:val="0"/>
                <w:sz w:val="16"/>
              </w:rPr>
              <w:t>repeats gained per event</w:t>
            </w:r>
          </w:p>
        </w:tc>
        <w:tc>
          <w:tcPr>
            <w:tcW w:type="dxa" w:w="2610"/>
          </w:tcPr>
          <w:p>
            <w:pPr>
              <w:spacing w:after="0"/>
            </w:pPr>
            <w:r>
              <w:rPr>
                <w:rFonts w:ascii="Times New Roman" w:hAnsi="Times New Roman" w:cs="Times New Roman"/>
                <w:b w:val="0"/>
                <w:i w:val="0"/>
                <w:caps w:val="0"/>
                <w:sz w:val="16"/>
              </w:rPr>
              <w:t>geometric, mean 4</w:t>
            </w:r>
          </w:p>
        </w:tc>
        <w:tc>
          <w:tcPr>
            <w:tcW w:type="dxa" w:w="2610"/>
          </w:tcPr>
          <w:p>
            <w:pPr>
              <w:spacing w:after="0"/>
            </w:pPr>
            <w:r>
              <w:rPr>
                <w:rFonts w:ascii="Times New Roman" w:hAnsi="Times New Roman" w:cs="Times New Roman"/>
                <w:b w:val="0"/>
                <w:i w:val="0"/>
                <w:caps w:val="0"/>
                <w:sz w:val="16"/>
              </w:rPr>
              <w:t>measured in vitro [5]</w:t>
            </w:r>
          </w:p>
        </w:tc>
      </w:tr>
      <w:tr>
        <w:tc>
          <w:tcPr>
            <w:tcW w:type="dxa" w:w="2610"/>
          </w:tcPr>
          <w:p>
            <w:pPr>
              <w:spacing w:after="0"/>
            </w:pPr>
            <w:r>
              <w:rPr>
                <w:rFonts w:ascii="Times New Roman" w:hAnsi="Times New Roman" w:cs="Times New Roman"/>
                <w:b w:val="0"/>
                <w:i/>
                <w:caps w:val="0"/>
                <w:sz w:val="16"/>
              </w:rPr>
              <w:t>L</w:t>
            </w:r>
            <w:r>
              <w:rPr>
                <w:rFonts w:ascii="Times New Roman" w:hAnsi="Times New Roman" w:cs="Times New Roman"/>
                <w:b w:val="0"/>
                <w:i/>
                <w:caps w:val="0"/>
                <w:sz w:val="16"/>
                <w:vertAlign w:val="subscript"/>
              </w:rPr>
              <w:t>C</w:t>
            </w:r>
          </w:p>
        </w:tc>
        <w:tc>
          <w:tcPr>
            <w:tcW w:type="dxa" w:w="2610"/>
          </w:tcPr>
          <w:p>
            <w:pPr>
              <w:spacing w:after="0"/>
            </w:pPr>
            <w:r>
              <w:rPr>
                <w:rFonts w:ascii="Times New Roman" w:hAnsi="Times New Roman" w:cs="Times New Roman"/>
                <w:b w:val="0"/>
                <w:i w:val="0"/>
                <w:caps w:val="0"/>
                <w:sz w:val="16"/>
              </w:rPr>
              <w:t>commitment threshold</w:t>
            </w:r>
          </w:p>
        </w:tc>
        <w:tc>
          <w:tcPr>
            <w:tcW w:type="dxa" w:w="2610"/>
          </w:tcPr>
          <w:p>
            <w:pPr>
              <w:spacing w:after="0"/>
            </w:pPr>
            <w:r>
              <w:rPr>
                <w:rFonts w:ascii="Times New Roman" w:hAnsi="Times New Roman" w:cs="Times New Roman"/>
                <w:b w:val="0"/>
                <w:i w:val="0"/>
                <w:caps w:val="0"/>
                <w:sz w:val="16"/>
              </w:rPr>
              <w:t>150 repeats</w:t>
            </w:r>
          </w:p>
        </w:tc>
        <w:tc>
          <w:tcPr>
            <w:tcW w:type="dxa" w:w="2610"/>
          </w:tcPr>
          <w:p>
            <w:pPr>
              <w:spacing w:after="0"/>
            </w:pPr>
            <w:r>
              <w:rPr>
                <w:rFonts w:ascii="Times New Roman" w:hAnsi="Times New Roman" w:cs="Times New Roman"/>
                <w:b w:val="0"/>
                <w:i w:val="0"/>
                <w:caps w:val="0"/>
                <w:sz w:val="16"/>
              </w:rPr>
              <w:t>measured [1]</w:t>
            </w:r>
          </w:p>
        </w:tc>
      </w:tr>
      <w:tr>
        <w:tc>
          <w:tcPr>
            <w:tcW w:type="dxa" w:w="2610"/>
          </w:tcPr>
          <w:p>
            <w:pPr>
              <w:spacing w:after="0"/>
            </w:pPr>
            <w:r>
              <w:rPr>
                <w:rFonts w:ascii="Times New Roman" w:hAnsi="Times New Roman" w:cs="Times New Roman"/>
                <w:b w:val="0"/>
                <w:i w:val="0"/>
                <w:caps w:val="0"/>
                <w:sz w:val="16"/>
              </w:rPr>
              <w:t>T(40,60), T(60,80), T(80,150)</w:t>
            </w:r>
          </w:p>
        </w:tc>
        <w:tc>
          <w:tcPr>
            <w:tcW w:type="dxa" w:w="2610"/>
          </w:tcPr>
          <w:p>
            <w:pPr>
              <w:spacing w:after="0"/>
            </w:pPr>
            <w:r>
              <w:rPr>
                <w:rFonts w:ascii="Times New Roman" w:hAnsi="Times New Roman" w:cs="Times New Roman"/>
                <w:b w:val="0"/>
                <w:i w:val="0"/>
                <w:caps w:val="0"/>
                <w:sz w:val="16"/>
              </w:rPr>
              <w:t>mean transit times</w:t>
            </w:r>
          </w:p>
        </w:tc>
        <w:tc>
          <w:tcPr>
            <w:tcW w:type="dxa" w:w="2610"/>
          </w:tcPr>
          <w:p>
            <w:pPr>
              <w:spacing w:after="0"/>
            </w:pPr>
            <w:r>
              <w:rPr>
                <w:rFonts w:ascii="Times New Roman" w:hAnsi="Times New Roman" w:cs="Times New Roman"/>
                <w:b w:val="0"/>
                <w:i w:val="0"/>
                <w:caps w:val="0"/>
                <w:sz w:val="16"/>
              </w:rPr>
              <w:t>50, 12, 4 y</w:t>
            </w:r>
          </w:p>
        </w:tc>
        <w:tc>
          <w:tcPr>
            <w:tcW w:type="dxa" w:w="2610"/>
          </w:tcPr>
          <w:p>
            <w:pPr>
              <w:spacing w:after="0"/>
            </w:pPr>
            <w:r>
              <w:rPr>
                <w:rFonts w:ascii="Times New Roman" w:hAnsi="Times New Roman" w:cs="Times New Roman"/>
                <w:b w:val="0"/>
                <w:i w:val="0"/>
                <w:caps w:val="0"/>
                <w:sz w:val="16"/>
              </w:rPr>
              <w:t>model-based estimates [1]</w:t>
            </w:r>
          </w:p>
        </w:tc>
      </w:tr>
      <w:tr>
        <w:tc>
          <w:tcPr>
            <w:tcW w:type="dxa" w:w="2610"/>
          </w:tcPr>
          <w:p>
            <w:pPr>
              <w:spacing w:after="0"/>
            </w:pPr>
            <w:r>
              <w:rPr>
                <w:rFonts w:ascii="Times New Roman" w:hAnsi="Times New Roman" w:cs="Times New Roman"/>
                <w:b w:val="0"/>
                <w:i w:val="0"/>
                <w:caps w:val="0"/>
                <w:sz w:val="16"/>
              </w:rPr>
              <w:t>λ(90)/λ(70)</w:t>
            </w:r>
          </w:p>
        </w:tc>
        <w:tc>
          <w:tcPr>
            <w:tcW w:type="dxa" w:w="2610"/>
          </w:tcPr>
          <w:p>
            <w:pPr>
              <w:spacing w:after="0"/>
            </w:pPr>
            <w:r>
              <w:rPr>
                <w:rFonts w:ascii="Times New Roman" w:hAnsi="Times New Roman" w:cs="Times New Roman"/>
                <w:b w:val="0"/>
                <w:i w:val="0"/>
                <w:caps w:val="0"/>
                <w:sz w:val="16"/>
              </w:rPr>
              <w:t>rate acceleration</w:t>
            </w:r>
          </w:p>
        </w:tc>
        <w:tc>
          <w:tcPr>
            <w:tcW w:type="dxa" w:w="2610"/>
          </w:tcPr>
          <w:p>
            <w:pPr>
              <w:spacing w:after="0"/>
            </w:pPr>
            <w:r>
              <w:rPr>
                <w:rFonts w:ascii="Times New Roman" w:hAnsi="Times New Roman" w:cs="Times New Roman"/>
                <w:b w:val="0"/>
                <w:i w:val="0"/>
                <w:caps w:val="0"/>
                <w:sz w:val="16"/>
              </w:rPr>
              <w:t>at least 6</w:t>
            </w:r>
          </w:p>
        </w:tc>
        <w:tc>
          <w:tcPr>
            <w:tcW w:type="dxa" w:w="2610"/>
          </w:tcPr>
          <w:p>
            <w:pPr>
              <w:spacing w:after="0"/>
            </w:pPr>
            <w:r>
              <w:rPr>
                <w:rFonts w:ascii="Times New Roman" w:hAnsi="Times New Roman" w:cs="Times New Roman"/>
                <w:b w:val="0"/>
                <w:i w:val="0"/>
                <w:caps w:val="0"/>
                <w:sz w:val="16"/>
              </w:rPr>
              <w:t>estimate [1]</w:t>
            </w:r>
          </w:p>
        </w:tc>
      </w:tr>
      <w:tr>
        <w:tc>
          <w:tcPr>
            <w:tcW w:type="dxa" w:w="2610"/>
          </w:tcPr>
          <w:p>
            <w:pPr>
              <w:spacing w:after="0"/>
            </w:pPr>
            <w:r>
              <w:rPr>
                <w:rFonts w:ascii="Times New Roman" w:hAnsi="Times New Roman" w:cs="Times New Roman"/>
                <w:b w:val="0"/>
                <w:i w:val="0"/>
                <w:caps w:val="0"/>
                <w:sz w:val="16"/>
              </w:rPr>
              <w:t>iSPN / dSPN rate ratio</w:t>
            </w:r>
          </w:p>
        </w:tc>
        <w:tc>
          <w:tcPr>
            <w:tcW w:type="dxa" w:w="2610"/>
          </w:tcPr>
          <w:p>
            <w:pPr>
              <w:spacing w:after="0"/>
            </w:pPr>
            <w:r>
              <w:rPr>
                <w:rFonts w:ascii="Times New Roman" w:hAnsi="Times New Roman" w:cs="Times New Roman"/>
                <w:b w:val="0"/>
                <w:i w:val="0"/>
                <w:caps w:val="0"/>
                <w:sz w:val="16"/>
              </w:rPr>
              <w:t>subtype difference</w:t>
            </w:r>
          </w:p>
        </w:tc>
        <w:tc>
          <w:tcPr>
            <w:tcW w:type="dxa" w:w="2610"/>
          </w:tcPr>
          <w:p>
            <w:pPr>
              <w:spacing w:after="0"/>
            </w:pPr>
            <w:r>
              <w:rPr>
                <w:rFonts w:ascii="Times New Roman" w:hAnsi="Times New Roman" w:cs="Times New Roman"/>
                <w:b w:val="0"/>
                <w:i w:val="0"/>
                <w:caps w:val="0"/>
                <w:sz w:val="16"/>
              </w:rPr>
              <w:t>1.15</w:t>
            </w:r>
          </w:p>
        </w:tc>
        <w:tc>
          <w:tcPr>
            <w:tcW w:type="dxa" w:w="2610"/>
          </w:tcPr>
          <w:p>
            <w:pPr>
              <w:spacing w:after="0"/>
            </w:pPr>
            <w:r>
              <w:rPr>
                <w:rFonts w:ascii="Times New Roman" w:hAnsi="Times New Roman" w:cs="Times New Roman"/>
                <w:b w:val="0"/>
                <w:i w:val="0"/>
                <w:caps w:val="0"/>
                <w:sz w:val="16"/>
              </w:rPr>
              <w:t>estimate [1], held out</w:t>
            </w:r>
          </w:p>
        </w:tc>
      </w:tr>
      <w:tr>
        <w:tc>
          <w:tcPr>
            <w:tcW w:type="dxa" w:w="2610"/>
          </w:tcPr>
          <w:p>
            <w:pPr>
              <w:spacing w:after="0"/>
            </w:pPr>
            <w:r>
              <w:rPr>
                <w:rFonts w:ascii="Times New Roman" w:hAnsi="Times New Roman" w:cs="Times New Roman"/>
                <w:b w:val="0"/>
                <w:i w:val="0"/>
                <w:caps w:val="0"/>
                <w:sz w:val="16"/>
              </w:rPr>
              <w:t>iSPN share in controls</w:t>
            </w:r>
          </w:p>
        </w:tc>
        <w:tc>
          <w:tcPr>
            <w:tcW w:type="dxa" w:w="2610"/>
          </w:tcPr>
          <w:p>
            <w:pPr>
              <w:spacing w:after="0"/>
            </w:pPr>
            <w:r>
              <w:rPr>
                <w:rFonts w:ascii="Times New Roman" w:hAnsi="Times New Roman" w:cs="Times New Roman"/>
                <w:b w:val="0"/>
                <w:i w:val="0"/>
                <w:caps w:val="0"/>
                <w:sz w:val="16"/>
              </w:rPr>
              <w:t>subtype baseline</w:t>
            </w:r>
          </w:p>
        </w:tc>
        <w:tc>
          <w:tcPr>
            <w:tcW w:type="dxa" w:w="2610"/>
          </w:tcPr>
          <w:p>
            <w:pPr>
              <w:spacing w:after="0"/>
            </w:pPr>
            <w:r>
              <w:rPr>
                <w:rFonts w:ascii="Times New Roman" w:hAnsi="Times New Roman" w:cs="Times New Roman"/>
                <w:b w:val="0"/>
                <w:i w:val="0"/>
                <w:caps w:val="0"/>
                <w:sz w:val="16"/>
              </w:rPr>
              <w:t>47% (SD 6)</w:t>
            </w:r>
          </w:p>
        </w:tc>
        <w:tc>
          <w:tcPr>
            <w:tcW w:type="dxa" w:w="2610"/>
          </w:tcPr>
          <w:p>
            <w:pPr>
              <w:spacing w:after="0"/>
            </w:pPr>
            <w:r>
              <w:rPr>
                <w:rFonts w:ascii="Times New Roman" w:hAnsi="Times New Roman" w:cs="Times New Roman"/>
                <w:b w:val="0"/>
                <w:i w:val="0"/>
                <w:caps w:val="0"/>
                <w:sz w:val="16"/>
              </w:rPr>
              <w:t>measured [1], held out</w:t>
            </w:r>
          </w:p>
        </w:tc>
      </w:tr>
      <w:tr>
        <w:tc>
          <w:tcPr>
            <w:tcW w:type="dxa" w:w="2610"/>
          </w:tcPr>
          <w:p>
            <w:pPr>
              <w:spacing w:after="0"/>
            </w:pPr>
            <w:r>
              <w:rPr>
                <w:rFonts w:ascii="Times New Roman" w:hAnsi="Times New Roman" w:cs="Times New Roman"/>
                <w:b w:val="0"/>
                <w:i w:val="0"/>
                <w:caps w:val="0"/>
                <w:sz w:val="16"/>
              </w:rPr>
              <w:t>PD regression</w:t>
            </w:r>
          </w:p>
        </w:tc>
        <w:tc>
          <w:tcPr>
            <w:tcW w:type="dxa" w:w="2610"/>
          </w:tcPr>
          <w:p>
            <w:pPr>
              <w:spacing w:after="0"/>
            </w:pPr>
            <w:r>
              <w:rPr>
                <w:rFonts w:ascii="Times New Roman" w:hAnsi="Times New Roman" w:cs="Times New Roman"/>
                <w:b w:val="0"/>
                <w:i w:val="0"/>
                <w:caps w:val="0"/>
                <w:sz w:val="16"/>
              </w:rPr>
              <w:t>expansion prevented against MSH3</w:t>
            </w:r>
          </w:p>
        </w:tc>
        <w:tc>
          <w:tcPr>
            <w:tcW w:type="dxa" w:w="2610"/>
          </w:tcPr>
          <w:p>
            <w:pPr>
              <w:spacing w:after="0"/>
            </w:pPr>
            <w:r>
              <w:rPr>
                <w:rFonts w:ascii="Times New Roman" w:hAnsi="Times New Roman" w:cs="Times New Roman"/>
                <w:b w:val="0"/>
                <w:i w:val="0"/>
                <w:caps w:val="0"/>
                <w:sz w:val="16"/>
              </w:rPr>
              <w:t>intercepts 92.4, 110.4</w:t>
            </w:r>
          </w:p>
        </w:tc>
        <w:tc>
          <w:tcPr>
            <w:tcW w:type="dxa" w:w="2610"/>
          </w:tcPr>
          <w:p>
            <w:pPr>
              <w:spacing w:after="0"/>
            </w:pPr>
            <w:r>
              <w:rPr>
                <w:rFonts w:ascii="Times New Roman" w:hAnsi="Times New Roman" w:cs="Times New Roman"/>
                <w:b w:val="0"/>
                <w:i w:val="0"/>
                <w:caps w:val="0"/>
                <w:sz w:val="16"/>
              </w:rPr>
              <w:t>measured in mouse [4]</w:t>
            </w:r>
          </w:p>
        </w:tc>
      </w:tr>
      <w:tr>
        <w:tc>
          <w:tcPr>
            <w:tcW w:type="dxa" w:w="2610"/>
          </w:tcPr>
          <w:p>
            <w:pPr>
              <w:spacing w:after="0"/>
            </w:pPr>
            <w:r>
              <w:rPr>
                <w:rFonts w:ascii="Times New Roman" w:hAnsi="Times New Roman" w:cs="Times New Roman"/>
                <w:b w:val="0"/>
                <w:i w:val="0"/>
                <w:caps w:val="0"/>
                <w:sz w:val="16"/>
              </w:rPr>
              <w:t>EC₅₀, h</w:t>
            </w:r>
          </w:p>
        </w:tc>
        <w:tc>
          <w:tcPr>
            <w:tcW w:type="dxa" w:w="2610"/>
          </w:tcPr>
          <w:p>
            <w:pPr>
              <w:spacing w:after="0"/>
            </w:pPr>
            <w:r>
              <w:rPr>
                <w:rFonts w:ascii="Times New Roman" w:hAnsi="Times New Roman" w:cs="Times New Roman"/>
                <w:b w:val="0"/>
                <w:i w:val="0"/>
                <w:caps w:val="0"/>
                <w:sz w:val="16"/>
              </w:rPr>
              <w:t>exposure to response</w:t>
            </w:r>
          </w:p>
        </w:tc>
        <w:tc>
          <w:tcPr>
            <w:tcW w:type="dxa" w:w="2610"/>
          </w:tcPr>
          <w:p>
            <w:pPr>
              <w:spacing w:after="0"/>
            </w:pPr>
            <w:r>
              <w:rPr>
                <w:rFonts w:ascii="Times New Roman" w:hAnsi="Times New Roman" w:cs="Times New Roman"/>
                <w:b w:val="0"/>
                <w:i w:val="0"/>
                <w:caps w:val="0"/>
                <w:sz w:val="16"/>
              </w:rPr>
              <w:t>10.1 nmol g⁻¹, 1.22</w:t>
            </w:r>
          </w:p>
        </w:tc>
        <w:tc>
          <w:tcPr>
            <w:tcW w:type="dxa" w:w="2610"/>
          </w:tcPr>
          <w:p>
            <w:pPr>
              <w:spacing w:after="0"/>
            </w:pPr>
            <w:r>
              <w:rPr>
                <w:rFonts w:ascii="Times New Roman" w:hAnsi="Times New Roman" w:cs="Times New Roman"/>
                <w:b/>
                <w:i w:val="0"/>
                <w:caps w:val="0"/>
                <w:sz w:val="16"/>
              </w:rPr>
              <w:t>fitted here</w:t>
            </w:r>
            <w:r>
              <w:rPr>
                <w:rFonts w:ascii="Times New Roman" w:hAnsi="Times New Roman" w:cs="Times New Roman"/>
                <w:b w:val="0"/>
                <w:i w:val="0"/>
                <w:caps w:val="0"/>
                <w:sz w:val="16"/>
              </w:rPr>
              <w:t xml:space="preserve"> to [4]</w:t>
            </w:r>
          </w:p>
        </w:tc>
      </w:tr>
      <w:tr>
        <w:tc>
          <w:tcPr>
            <w:tcW w:type="dxa" w:w="2610"/>
          </w:tcPr>
          <w:p>
            <w:pPr>
              <w:spacing w:after="0"/>
            </w:pPr>
            <w:r>
              <w:rPr>
                <w:rFonts w:ascii="Times New Roman" w:hAnsi="Times New Roman" w:cs="Times New Roman"/>
                <w:b w:val="0"/>
                <w:i w:val="0"/>
                <w:caps w:val="0"/>
                <w:sz w:val="16"/>
              </w:rPr>
              <w:t>λ(40)</w:t>
            </w:r>
          </w:p>
        </w:tc>
        <w:tc>
          <w:tcPr>
            <w:tcW w:type="dxa" w:w="2610"/>
          </w:tcPr>
          <w:p>
            <w:pPr>
              <w:spacing w:after="0"/>
            </w:pPr>
            <w:r>
              <w:rPr>
                <w:rFonts w:ascii="Times New Roman" w:hAnsi="Times New Roman" w:cs="Times New Roman"/>
                <w:b w:val="0"/>
                <w:i w:val="0"/>
                <w:caps w:val="0"/>
                <w:sz w:val="16"/>
              </w:rPr>
              <w:t>basal mutation rate</w:t>
            </w:r>
          </w:p>
        </w:tc>
        <w:tc>
          <w:tcPr>
            <w:tcW w:type="dxa" w:w="2610"/>
          </w:tcPr>
          <w:p>
            <w:pPr>
              <w:spacing w:after="0"/>
            </w:pPr>
            <w:r>
              <w:rPr>
                <w:rFonts w:ascii="Times New Roman" w:hAnsi="Times New Roman" w:cs="Times New Roman"/>
                <w:b w:val="0"/>
                <w:i w:val="0"/>
                <w:caps w:val="0"/>
                <w:sz w:val="16"/>
              </w:rPr>
              <w:t>0.070 y⁻¹</w:t>
            </w:r>
          </w:p>
        </w:tc>
        <w:tc>
          <w:tcPr>
            <w:tcW w:type="dxa" w:w="2610"/>
          </w:tcPr>
          <w:p>
            <w:pPr>
              <w:spacing w:after="0"/>
            </w:pPr>
            <w:r>
              <w:rPr>
                <w:rFonts w:ascii="Times New Roman" w:hAnsi="Times New Roman" w:cs="Times New Roman"/>
                <w:b/>
                <w:i w:val="0"/>
                <w:caps w:val="0"/>
                <w:sz w:val="16"/>
              </w:rPr>
              <w:t>fitted here</w:t>
            </w:r>
          </w:p>
        </w:tc>
      </w:tr>
      <w:tr>
        <w:tc>
          <w:tcPr>
            <w:tcW w:type="dxa" w:w="2610"/>
          </w:tcPr>
          <w:p>
            <w:pPr>
              <w:spacing w:after="0"/>
            </w:pPr>
            <w:r>
              <w:rPr>
                <w:rFonts w:ascii="Times New Roman" w:hAnsi="Times New Roman" w:cs="Times New Roman"/>
                <w:b w:val="0"/>
                <w:i w:val="0"/>
                <w:caps w:val="0"/>
                <w:sz w:val="16"/>
              </w:rPr>
              <w:t>β (α)</w:t>
            </w:r>
          </w:p>
        </w:tc>
        <w:tc>
          <w:tcPr>
            <w:tcW w:type="dxa" w:w="2610"/>
          </w:tcPr>
          <w:p>
            <w:pPr>
              <w:spacing w:after="0"/>
            </w:pPr>
            <w:r>
              <w:rPr>
                <w:rFonts w:ascii="Times New Roman" w:hAnsi="Times New Roman" w:cs="Times New Roman"/>
                <w:b w:val="0"/>
                <w:i w:val="0"/>
                <w:caps w:val="0"/>
                <w:sz w:val="16"/>
              </w:rPr>
              <w:t>slip-out stabilisation</w:t>
            </w:r>
          </w:p>
        </w:tc>
        <w:tc>
          <w:tcPr>
            <w:tcW w:type="dxa" w:w="2610"/>
          </w:tcPr>
          <w:p>
            <w:pPr>
              <w:spacing w:after="0"/>
            </w:pPr>
            <w:r>
              <w:rPr>
                <w:rFonts w:ascii="Times New Roman" w:hAnsi="Times New Roman" w:cs="Times New Roman"/>
                <w:b w:val="0"/>
                <w:i w:val="0"/>
                <w:caps w:val="0"/>
                <w:sz w:val="16"/>
              </w:rPr>
              <w:t>0.0062 repeat⁻¹ (0.0036 kcal mol⁻¹)</w:t>
            </w:r>
          </w:p>
        </w:tc>
        <w:tc>
          <w:tcPr>
            <w:tcW w:type="dxa" w:w="2610"/>
          </w:tcPr>
          <w:p>
            <w:pPr>
              <w:spacing w:after="0"/>
            </w:pPr>
            <w:r>
              <w:rPr>
                <w:rFonts w:ascii="Times New Roman" w:hAnsi="Times New Roman" w:cs="Times New Roman"/>
                <w:b/>
                <w:i w:val="0"/>
                <w:caps w:val="0"/>
                <w:sz w:val="16"/>
              </w:rPr>
              <w:t>fitted here</w:t>
            </w:r>
            <w:r>
              <w:rPr>
                <w:rFonts w:ascii="Times New Roman" w:hAnsi="Times New Roman" w:cs="Times New Roman"/>
                <w:b w:val="0"/>
                <w:i w:val="0"/>
                <w:caps w:val="0"/>
                <w:sz w:val="16"/>
              </w:rPr>
              <w:t>, not identifiable</w:t>
            </w:r>
          </w:p>
        </w:tc>
      </w:tr>
      <w:tr>
        <w:tc>
          <w:tcPr>
            <w:tcW w:type="dxa" w:w="2610"/>
          </w:tcPr>
          <w:p>
            <w:pPr>
              <w:spacing w:after="0"/>
            </w:pPr>
            <w:r>
              <w:rPr>
                <w:rFonts w:ascii="Times New Roman" w:hAnsi="Times New Roman" w:cs="Times New Roman"/>
                <w:b w:val="0"/>
                <w:i w:val="0"/>
                <w:caps w:val="0"/>
                <w:sz w:val="16"/>
              </w:rPr>
              <w:t>R</w:t>
            </w:r>
          </w:p>
        </w:tc>
        <w:tc>
          <w:tcPr>
            <w:tcW w:type="dxa" w:w="2610"/>
          </w:tcPr>
          <w:p>
            <w:pPr>
              <w:spacing w:after="0"/>
            </w:pPr>
            <w:r>
              <w:rPr>
                <w:rFonts w:ascii="Times New Roman" w:hAnsi="Times New Roman" w:cs="Times New Roman"/>
                <w:b w:val="0"/>
                <w:i w:val="0"/>
                <w:caps w:val="0"/>
                <w:sz w:val="16"/>
              </w:rPr>
              <w:t>clustered to isolated escape ratio</w:t>
            </w:r>
          </w:p>
        </w:tc>
        <w:tc>
          <w:tcPr>
            <w:tcW w:type="dxa" w:w="2610"/>
          </w:tcPr>
          <w:p>
            <w:pPr>
              <w:spacing w:after="0"/>
            </w:pPr>
            <w:r>
              <w:rPr>
                <w:rFonts w:ascii="Times New Roman" w:hAnsi="Times New Roman" w:cs="Times New Roman"/>
                <w:b w:val="0"/>
                <w:i w:val="0"/>
                <w:caps w:val="0"/>
                <w:sz w:val="16"/>
              </w:rPr>
              <w:t>17.7</w:t>
            </w:r>
          </w:p>
        </w:tc>
        <w:tc>
          <w:tcPr>
            <w:tcW w:type="dxa" w:w="2610"/>
          </w:tcPr>
          <w:p>
            <w:pPr>
              <w:spacing w:after="0"/>
            </w:pPr>
            <w:r>
              <w:rPr>
                <w:rFonts w:ascii="Times New Roman" w:hAnsi="Times New Roman" w:cs="Times New Roman"/>
                <w:b/>
                <w:i w:val="0"/>
                <w:caps w:val="0"/>
                <w:sz w:val="16"/>
              </w:rPr>
              <w:t>fitted here</w:t>
            </w:r>
          </w:p>
        </w:tc>
      </w:tr>
      <w:tr>
        <w:tc>
          <w:tcPr>
            <w:tcW w:type="dxa" w:w="2610"/>
          </w:tcPr>
          <w:p>
            <w:pPr>
              <w:spacing w:after="0"/>
            </w:pPr>
            <w:r>
              <w:rPr>
                <w:rFonts w:ascii="Times New Roman" w:hAnsi="Times New Roman" w:cs="Times New Roman"/>
                <w:b w:val="0"/>
                <w:i/>
                <w:caps w:val="0"/>
                <w:sz w:val="16"/>
              </w:rPr>
              <w:t>L</w:t>
            </w:r>
            <w:r>
              <w:rPr>
                <w:rFonts w:ascii="Times New Roman" w:hAnsi="Times New Roman" w:cs="Times New Roman"/>
                <w:b w:val="0"/>
                <w:i/>
                <w:caps w:val="0"/>
                <w:sz w:val="16"/>
                <w:vertAlign w:val="subscript"/>
              </w:rPr>
              <w:t>sw</w:t>
            </w:r>
          </w:p>
        </w:tc>
        <w:tc>
          <w:tcPr>
            <w:tcW w:type="dxa" w:w="2610"/>
          </w:tcPr>
          <w:p>
            <w:pPr>
              <w:spacing w:after="0"/>
            </w:pPr>
            <w:r>
              <w:rPr>
                <w:rFonts w:ascii="Times New Roman" w:hAnsi="Times New Roman" w:cs="Times New Roman"/>
                <w:b w:val="0"/>
                <w:i w:val="0"/>
                <w:caps w:val="0"/>
                <w:sz w:val="16"/>
              </w:rPr>
              <w:t>clustering switch midpoint</w:t>
            </w:r>
          </w:p>
        </w:tc>
        <w:tc>
          <w:tcPr>
            <w:tcW w:type="dxa" w:w="2610"/>
          </w:tcPr>
          <w:p>
            <w:pPr>
              <w:spacing w:after="0"/>
            </w:pPr>
            <w:r>
              <w:rPr>
                <w:rFonts w:ascii="Times New Roman" w:hAnsi="Times New Roman" w:cs="Times New Roman"/>
                <w:b w:val="0"/>
                <w:i w:val="0"/>
                <w:caps w:val="0"/>
                <w:sz w:val="16"/>
              </w:rPr>
              <w:t>80.2 repeats</w:t>
            </w:r>
          </w:p>
        </w:tc>
        <w:tc>
          <w:tcPr>
            <w:tcW w:type="dxa" w:w="2610"/>
          </w:tcPr>
          <w:p>
            <w:pPr>
              <w:spacing w:after="0"/>
            </w:pPr>
            <w:r>
              <w:rPr>
                <w:rFonts w:ascii="Times New Roman" w:hAnsi="Times New Roman" w:cs="Times New Roman"/>
                <w:b/>
                <w:i w:val="0"/>
                <w:caps w:val="0"/>
                <w:sz w:val="16"/>
              </w:rPr>
              <w:t>fitted here</w:t>
            </w:r>
          </w:p>
        </w:tc>
      </w:tr>
      <w:tr>
        <w:tc>
          <w:tcPr>
            <w:tcW w:type="dxa" w:w="2610"/>
          </w:tcPr>
          <w:p>
            <w:pPr>
              <w:spacing w:after="0"/>
            </w:pPr>
            <w:r>
              <w:rPr>
                <w:rFonts w:ascii="Times New Roman" w:hAnsi="Times New Roman" w:cs="Times New Roman"/>
                <w:b w:val="0"/>
                <w:i/>
                <w:caps w:val="0"/>
                <w:sz w:val="16"/>
              </w:rPr>
              <w:t>K</w:t>
            </w:r>
            <w:r>
              <w:rPr>
                <w:rFonts w:ascii="Times New Roman" w:hAnsi="Times New Roman" w:cs="Times New Roman"/>
                <w:b w:val="0"/>
                <w:i/>
                <w:caps w:val="0"/>
                <w:sz w:val="16"/>
                <w:vertAlign w:val="subscript"/>
              </w:rPr>
              <w:t>D,b</w:t>
            </w:r>
            <w:r>
              <w:rPr>
                <w:rFonts w:ascii="Times New Roman" w:hAnsi="Times New Roman" w:cs="Times New Roman"/>
                <w:b w:val="0"/>
                <w:i w:val="0"/>
                <w:caps w:val="0"/>
                <w:sz w:val="16"/>
              </w:rPr>
              <w:t xml:space="preserve">, </w:t>
            </w:r>
            <w:r>
              <w:rPr>
                <w:rFonts w:ascii="Times New Roman" w:hAnsi="Times New Roman" w:cs="Times New Roman"/>
                <w:b w:val="0"/>
                <w:i/>
                <w:caps w:val="0"/>
                <w:sz w:val="16"/>
              </w:rPr>
              <w:t>K</w:t>
            </w:r>
            <w:r>
              <w:rPr>
                <w:rFonts w:ascii="Times New Roman" w:hAnsi="Times New Roman" w:cs="Times New Roman"/>
                <w:b w:val="0"/>
                <w:i/>
                <w:caps w:val="0"/>
                <w:sz w:val="16"/>
                <w:vertAlign w:val="subscript"/>
              </w:rPr>
              <w:t>r</w:t>
            </w:r>
          </w:p>
        </w:tc>
        <w:tc>
          <w:tcPr>
            <w:tcW w:type="dxa" w:w="2610"/>
          </w:tcPr>
          <w:p>
            <w:pPr>
              <w:spacing w:after="0"/>
            </w:pPr>
            <w:r>
              <w:rPr>
                <w:rFonts w:ascii="Times New Roman" w:hAnsi="Times New Roman" w:cs="Times New Roman"/>
                <w:b w:val="0"/>
                <w:i w:val="0"/>
                <w:caps w:val="0"/>
                <w:sz w:val="16"/>
              </w:rPr>
              <w:t>capture and release constants</w:t>
            </w:r>
          </w:p>
        </w:tc>
        <w:tc>
          <w:tcPr>
            <w:tcW w:type="dxa" w:w="2610"/>
          </w:tcPr>
          <w:p>
            <w:pPr>
              <w:spacing w:after="0"/>
            </w:pPr>
            <w:r>
              <w:rPr>
                <w:rFonts w:ascii="Times New Roman" w:hAnsi="Times New Roman" w:cs="Times New Roman"/>
                <w:b w:val="0"/>
                <w:i w:val="0"/>
                <w:caps w:val="0"/>
                <w:sz w:val="16"/>
              </w:rPr>
              <w:t>286, 64 nM</w:t>
            </w:r>
          </w:p>
        </w:tc>
        <w:tc>
          <w:tcPr>
            <w:tcW w:type="dxa" w:w="2610"/>
          </w:tcPr>
          <w:p>
            <w:pPr>
              <w:spacing w:after="0"/>
            </w:pPr>
            <w:r>
              <w:rPr>
                <w:rFonts w:ascii="Times New Roman" w:hAnsi="Times New Roman" w:cs="Times New Roman"/>
                <w:b/>
                <w:i w:val="0"/>
                <w:caps w:val="0"/>
                <w:sz w:val="16"/>
              </w:rPr>
              <w:t>fitted here</w:t>
            </w:r>
            <w:r>
              <w:rPr>
                <w:rFonts w:ascii="Times New Roman" w:hAnsi="Times New Roman" w:cs="Times New Roman"/>
                <w:b w:val="0"/>
                <w:i w:val="0"/>
                <w:caps w:val="0"/>
                <w:sz w:val="16"/>
              </w:rPr>
              <w:t xml:space="preserve"> to [8]</w:t>
            </w:r>
          </w:p>
        </w:tc>
      </w:tr>
      <w:tr>
        <w:tc>
          <w:tcPr>
            <w:tcW w:type="dxa" w:w="2610"/>
          </w:tcPr>
          <w:p>
            <w:pPr>
              <w:spacing w:after="0"/>
            </w:pPr>
            <w:r>
              <w:rPr>
                <w:rFonts w:ascii="Times New Roman" w:hAnsi="Times New Roman" w:cs="Times New Roman"/>
                <w:b w:val="0"/>
                <w:i/>
                <w:caps w:val="0"/>
                <w:sz w:val="16"/>
              </w:rPr>
              <w:t>f</w:t>
            </w:r>
            <w:r>
              <w:rPr>
                <w:rFonts w:ascii="Times New Roman" w:hAnsi="Times New Roman" w:cs="Times New Roman"/>
                <w:b w:val="0"/>
                <w:i/>
                <w:caps w:val="0"/>
                <w:sz w:val="16"/>
                <w:vertAlign w:val="subscript"/>
              </w:rPr>
              <w:t>v</w:t>
            </w:r>
          </w:p>
        </w:tc>
        <w:tc>
          <w:tcPr>
            <w:tcW w:type="dxa" w:w="2610"/>
          </w:tcPr>
          <w:p>
            <w:pPr>
              <w:spacing w:after="0"/>
            </w:pPr>
            <w:r>
              <w:rPr>
                <w:rFonts w:ascii="Times New Roman" w:hAnsi="Times New Roman" w:cs="Times New Roman"/>
                <w:b w:val="0"/>
                <w:i w:val="0"/>
                <w:caps w:val="0"/>
                <w:sz w:val="16"/>
              </w:rPr>
              <w:t>bivalent valency penalty</w:t>
            </w:r>
          </w:p>
        </w:tc>
        <w:tc>
          <w:tcPr>
            <w:tcW w:type="dxa" w:w="2610"/>
          </w:tcPr>
          <w:p>
            <w:pPr>
              <w:spacing w:after="0"/>
            </w:pPr>
            <w:r>
              <w:rPr>
                <w:rFonts w:ascii="Times New Roman" w:hAnsi="Times New Roman" w:cs="Times New Roman"/>
                <w:b w:val="0"/>
                <w:i w:val="0"/>
                <w:caps w:val="0"/>
                <w:sz w:val="16"/>
              </w:rPr>
              <w:t>0.174</w:t>
            </w:r>
          </w:p>
        </w:tc>
        <w:tc>
          <w:tcPr>
            <w:tcW w:type="dxa" w:w="2610"/>
          </w:tcPr>
          <w:p>
            <w:pPr>
              <w:spacing w:after="0"/>
            </w:pPr>
            <w:r>
              <w:rPr>
                <w:rFonts w:ascii="Times New Roman" w:hAnsi="Times New Roman" w:cs="Times New Roman"/>
                <w:b w:val="0"/>
                <w:i w:val="0"/>
                <w:caps w:val="0"/>
                <w:sz w:val="16"/>
              </w:rPr>
              <w:t>measured [8]</w:t>
            </w:r>
          </w:p>
        </w:tc>
      </w:tr>
      <w:tr>
        <w:tc>
          <w:tcPr>
            <w:tcW w:type="dxa" w:w="2610"/>
          </w:tcPr>
          <w:p>
            <w:pPr>
              <w:spacing w:after="0"/>
            </w:pPr>
            <w:r>
              <w:rPr>
                <w:rFonts w:ascii="Times New Roman" w:hAnsi="Times New Roman" w:cs="Times New Roman"/>
                <w:b w:val="0"/>
                <w:i/>
                <w:caps w:val="0"/>
                <w:sz w:val="16"/>
              </w:rPr>
              <w:t>w</w:t>
            </w:r>
            <w:r>
              <w:rPr>
                <w:rFonts w:ascii="Times New Roman" w:hAnsi="Times New Roman" w:cs="Times New Roman"/>
                <w:b w:val="0"/>
                <w:i/>
                <w:caps w:val="0"/>
                <w:sz w:val="16"/>
                <w:vertAlign w:val="subscript"/>
              </w:rPr>
              <w:t>sw</w:t>
            </w:r>
          </w:p>
        </w:tc>
        <w:tc>
          <w:tcPr>
            <w:tcW w:type="dxa" w:w="2610"/>
          </w:tcPr>
          <w:p>
            <w:pPr>
              <w:spacing w:after="0"/>
            </w:pPr>
            <w:r>
              <w:rPr>
                <w:rFonts w:ascii="Times New Roman" w:hAnsi="Times New Roman" w:cs="Times New Roman"/>
                <w:b w:val="0"/>
                <w:i w:val="0"/>
                <w:caps w:val="0"/>
                <w:sz w:val="16"/>
              </w:rPr>
              <w:t>clustering switch width</w:t>
            </w:r>
          </w:p>
        </w:tc>
        <w:tc>
          <w:tcPr>
            <w:tcW w:type="dxa" w:w="2610"/>
          </w:tcPr>
          <w:p>
            <w:pPr>
              <w:spacing w:after="0"/>
            </w:pPr>
            <w:r>
              <w:rPr>
                <w:rFonts w:ascii="Times New Roman" w:hAnsi="Times New Roman" w:cs="Times New Roman"/>
                <w:b w:val="0"/>
                <w:i w:val="0"/>
                <w:caps w:val="0"/>
                <w:sz w:val="16"/>
              </w:rPr>
              <w:t>6 repeats</w:t>
            </w:r>
          </w:p>
        </w:tc>
        <w:tc>
          <w:tcPr>
            <w:tcW w:type="dxa" w:w="2610"/>
          </w:tcPr>
          <w:p>
            <w:pPr>
              <w:spacing w:after="0"/>
            </w:pPr>
            <w:r>
              <w:rPr>
                <w:rFonts w:ascii="Times New Roman" w:hAnsi="Times New Roman" w:cs="Times New Roman"/>
                <w:b/>
                <w:i w:val="0"/>
                <w:caps w:val="0"/>
                <w:sz w:val="16"/>
              </w:rPr>
              <w:t>assumed</w:t>
            </w:r>
            <w:r>
              <w:rPr>
                <w:rFonts w:ascii="Times New Roman" w:hAnsi="Times New Roman" w:cs="Times New Roman"/>
                <w:b w:val="0"/>
                <w:i w:val="0"/>
                <w:caps w:val="0"/>
                <w:sz w:val="16"/>
              </w:rPr>
              <w:t>; profiled in Section III-A, swept globally</w:t>
            </w:r>
          </w:p>
        </w:tc>
      </w:tr>
      <w:tr>
        <w:tc>
          <w:tcPr>
            <w:tcW w:type="dxa" w:w="2610"/>
          </w:tcPr>
          <w:p>
            <w:pPr>
              <w:spacing w:after="0"/>
            </w:pPr>
            <w:r>
              <w:rPr>
                <w:rFonts w:ascii="Times New Roman" w:hAnsi="Times New Roman" w:cs="Times New Roman"/>
                <w:b w:val="0"/>
                <w:i w:val="0"/>
                <w:caps w:val="0"/>
                <w:sz w:val="16"/>
              </w:rPr>
              <w:t xml:space="preserve">L₅₀, </w:t>
            </w:r>
            <w:r>
              <w:rPr>
                <w:rFonts w:ascii="Times New Roman" w:hAnsi="Times New Roman" w:cs="Times New Roman"/>
                <w:b w:val="0"/>
                <w:i/>
                <w:caps w:val="0"/>
                <w:sz w:val="16"/>
              </w:rPr>
              <w:t>L</w:t>
            </w:r>
            <w:r>
              <w:rPr>
                <w:rFonts w:ascii="Times New Roman" w:hAnsi="Times New Roman" w:cs="Times New Roman"/>
                <w:b w:val="0"/>
                <w:i/>
                <w:caps w:val="0"/>
                <w:sz w:val="16"/>
                <w:vertAlign w:val="subscript"/>
              </w:rPr>
              <w:t>death</w:t>
            </w:r>
            <w:r>
              <w:rPr>
                <w:rFonts w:ascii="Times New Roman" w:hAnsi="Times New Roman" w:cs="Times New Roman"/>
                <w:b w:val="0"/>
                <w:i w:val="0"/>
                <w:caps w:val="0"/>
                <w:sz w:val="16"/>
              </w:rPr>
              <w:t xml:space="preserve">, width, </w:t>
            </w:r>
            <w:r>
              <w:rPr>
                <w:rFonts w:ascii="Times New Roman" w:hAnsi="Times New Roman" w:cs="Times New Roman"/>
                <w:b w:val="0"/>
                <w:i/>
                <w:caps w:val="0"/>
                <w:sz w:val="16"/>
              </w:rPr>
              <w:t>h</w:t>
            </w:r>
            <w:r>
              <w:rPr>
                <w:rFonts w:ascii="Times New Roman" w:hAnsi="Times New Roman" w:cs="Times New Roman"/>
                <w:b w:val="0"/>
                <w:i/>
                <w:caps w:val="0"/>
                <w:sz w:val="16"/>
                <w:vertAlign w:val="subscript"/>
              </w:rPr>
              <w:t>max</w:t>
            </w:r>
            <w:r>
              <w:rPr>
                <w:rFonts w:ascii="Times New Roman" w:hAnsi="Times New Roman" w:cs="Times New Roman"/>
                <w:b w:val="0"/>
                <w:i w:val="0"/>
                <w:caps w:val="0"/>
                <w:sz w:val="16"/>
              </w:rPr>
              <w:t>, contraction terms</w:t>
            </w:r>
          </w:p>
        </w:tc>
        <w:tc>
          <w:tcPr>
            <w:tcW w:type="dxa" w:w="2610"/>
          </w:tcPr>
          <w:p>
            <w:pPr>
              <w:spacing w:after="0"/>
            </w:pPr>
            <w:r>
              <w:rPr>
                <w:rFonts w:ascii="Times New Roman" w:hAnsi="Times New Roman" w:cs="Times New Roman"/>
                <w:b w:val="0"/>
                <w:i w:val="0"/>
                <w:caps w:val="0"/>
                <w:sz w:val="16"/>
              </w:rPr>
              <w:t>structural constants</w:t>
            </w:r>
          </w:p>
        </w:tc>
        <w:tc>
          <w:tcPr>
            <w:tcW w:type="dxa" w:w="2610"/>
          </w:tcPr>
          <w:p>
            <w:pPr>
              <w:spacing w:after="0"/>
            </w:pPr>
            <w:r>
              <w:rPr>
                <w:rFonts w:ascii="Times New Roman" w:hAnsi="Times New Roman" w:cs="Times New Roman"/>
                <w:b w:val="0"/>
                <w:i w:val="0"/>
                <w:caps w:val="0"/>
                <w:sz w:val="16"/>
              </w:rPr>
              <w:t xml:space="preserve">see </w:t>
            </w:r>
            <w:r>
              <w:rPr>
                <w:rFonts w:ascii="Consolas" w:hAnsi="Consolas" w:cs="Consolas"/>
                <w:b w:val="0"/>
                <w:i w:val="0"/>
                <w:caps w:val="0"/>
                <w:sz w:val="16"/>
              </w:rPr>
              <w:t>fitted_parameters.json</w:t>
            </w:r>
          </w:p>
        </w:tc>
        <w:tc>
          <w:tcPr>
            <w:tcW w:type="dxa" w:w="2610"/>
          </w:tcPr>
          <w:p>
            <w:pPr>
              <w:spacing w:after="0"/>
            </w:pPr>
            <w:r>
              <w:rPr>
                <w:rFonts w:ascii="Times New Roman" w:hAnsi="Times New Roman" w:cs="Times New Roman"/>
                <w:b/>
                <w:i w:val="0"/>
                <w:caps w:val="0"/>
                <w:sz w:val="16"/>
              </w:rPr>
              <w:t>assumed</w:t>
            </w:r>
            <w:r>
              <w:rPr>
                <w:rFonts w:ascii="Times New Roman" w:hAnsi="Times New Roman" w:cs="Times New Roman"/>
                <w:b w:val="0"/>
                <w:i w:val="0"/>
                <w:caps w:val="0"/>
                <w:sz w:val="16"/>
              </w:rPr>
              <w:t>, swept globally in Section III-M</w:t>
            </w:r>
          </w:p>
        </w:tc>
      </w:tr>
      <w:tr>
        <w:tc>
          <w:tcPr>
            <w:tcW w:type="dxa" w:w="2610"/>
          </w:tcPr>
          <w:p>
            <w:pPr>
              <w:spacing w:after="0"/>
            </w:pPr>
            <w:r>
              <w:rPr>
                <w:rFonts w:ascii="Times New Roman" w:hAnsi="Times New Roman" w:cs="Times New Roman"/>
                <w:b w:val="0"/>
                <w:i/>
                <w:caps w:val="0"/>
                <w:sz w:val="16"/>
              </w:rPr>
              <w:t>L</w:t>
            </w:r>
            <w:r>
              <w:rPr>
                <w:rFonts w:ascii="Times New Roman" w:hAnsi="Times New Roman" w:cs="Times New Roman"/>
                <w:b w:val="0"/>
                <w:i/>
                <w:caps w:val="0"/>
                <w:sz w:val="16"/>
                <w:vertAlign w:val="subscript"/>
              </w:rPr>
              <w:t>max</w:t>
            </w:r>
          </w:p>
        </w:tc>
        <w:tc>
          <w:tcPr>
            <w:tcW w:type="dxa" w:w="2610"/>
          </w:tcPr>
          <w:p>
            <w:pPr>
              <w:spacing w:after="0"/>
            </w:pPr>
            <w:r>
              <w:rPr>
                <w:rFonts w:ascii="Times New Roman" w:hAnsi="Times New Roman" w:cs="Times New Roman"/>
                <w:b w:val="0"/>
                <w:i w:val="0"/>
                <w:caps w:val="0"/>
                <w:sz w:val="16"/>
              </w:rPr>
              <w:t>numerical ceiling on tract length</w:t>
            </w:r>
          </w:p>
        </w:tc>
        <w:tc>
          <w:tcPr>
            <w:tcW w:type="dxa" w:w="2610"/>
          </w:tcPr>
          <w:p>
            <w:pPr>
              <w:spacing w:after="0"/>
            </w:pPr>
            <w:r>
              <w:rPr>
                <w:rFonts w:ascii="Times New Roman" w:hAnsi="Times New Roman" w:cs="Times New Roman"/>
                <w:b w:val="0"/>
                <w:i w:val="0"/>
                <w:caps w:val="0"/>
                <w:sz w:val="16"/>
              </w:rPr>
              <w:t>1,000 repeats</w:t>
            </w:r>
          </w:p>
        </w:tc>
        <w:tc>
          <w:tcPr>
            <w:tcW w:type="dxa" w:w="2610"/>
          </w:tcPr>
          <w:p>
            <w:pPr>
              <w:spacing w:after="0"/>
            </w:pPr>
            <w:r>
              <w:rPr>
                <w:rFonts w:ascii="Times New Roman" w:hAnsi="Times New Roman" w:cs="Times New Roman"/>
                <w:b/>
                <w:i w:val="0"/>
                <w:caps w:val="0"/>
                <w:sz w:val="16"/>
              </w:rPr>
              <w:t>assumed</w:t>
            </w:r>
            <w:r>
              <w:rPr>
                <w:rFonts w:ascii="Times New Roman" w:hAnsi="Times New Roman" w:cs="Times New Roman"/>
                <w:b w:val="0"/>
                <w:i w:val="0"/>
                <w:caps w:val="0"/>
                <w:sz w:val="16"/>
              </w:rPr>
              <w:t>, swept globally in Section III-M</w:t>
            </w:r>
          </w:p>
        </w:tc>
      </w:tr>
      <w:tr>
        <w:tc>
          <w:tcPr>
            <w:tcW w:type="dxa" w:w="2610"/>
          </w:tcPr>
          <w:p>
            <w:pPr>
              <w:spacing w:after="0"/>
            </w:pPr>
            <w:r>
              <w:rPr>
                <w:rFonts w:ascii="Times New Roman" w:hAnsi="Times New Roman" w:cs="Times New Roman"/>
                <w:b w:val="0"/>
                <w:i w:val="0"/>
                <w:caps w:val="0"/>
                <w:sz w:val="16"/>
              </w:rPr>
              <w:t>parental age at onset</w:t>
            </w:r>
          </w:p>
        </w:tc>
        <w:tc>
          <w:tcPr>
            <w:tcW w:type="dxa" w:w="2610"/>
          </w:tcPr>
          <w:p>
            <w:pPr>
              <w:spacing w:after="0"/>
            </w:pPr>
            <w:r>
              <w:rPr>
                <w:rFonts w:ascii="Times New Roman" w:hAnsi="Times New Roman" w:cs="Times New Roman"/>
                <w:b w:val="0"/>
                <w:i w:val="0"/>
                <w:caps w:val="0"/>
                <w:sz w:val="16"/>
              </w:rPr>
              <w:t>input to the external onset regression [10]</w:t>
            </w:r>
          </w:p>
        </w:tc>
        <w:tc>
          <w:tcPr>
            <w:tcW w:type="dxa" w:w="2610"/>
          </w:tcPr>
          <w:p>
            <w:pPr>
              <w:spacing w:after="0"/>
            </w:pPr>
            <w:r>
              <w:rPr>
                <w:rFonts w:ascii="Times New Roman" w:hAnsi="Times New Roman" w:cs="Times New Roman"/>
                <w:b w:val="0"/>
                <w:i w:val="0"/>
                <w:caps w:val="0"/>
                <w:sz w:val="16"/>
              </w:rPr>
              <w:t>45 years</w:t>
            </w:r>
          </w:p>
        </w:tc>
        <w:tc>
          <w:tcPr>
            <w:tcW w:type="dxa" w:w="2610"/>
          </w:tcPr>
          <w:p>
            <w:pPr>
              <w:spacing w:after="0"/>
            </w:pPr>
            <w:r>
              <w:rPr>
                <w:rFonts w:ascii="Times New Roman" w:hAnsi="Times New Roman" w:cs="Times New Roman"/>
                <w:b/>
                <w:i w:val="0"/>
                <w:caps w:val="0"/>
                <w:sz w:val="16"/>
              </w:rPr>
              <w:t>assumed</w:t>
            </w:r>
            <w:r>
              <w:rPr>
                <w:rFonts w:ascii="Times New Roman" w:hAnsi="Times New Roman" w:cs="Times New Roman"/>
                <w:b w:val="0"/>
                <w:i w:val="0"/>
                <w:caps w:val="0"/>
                <w:sz w:val="16"/>
              </w:rPr>
              <w:t>, swept one at a time in Section III-E</w:t>
            </w:r>
          </w:p>
        </w:tc>
      </w:tr>
      <w:tr>
        <w:tc>
          <w:tcPr>
            <w:tcW w:type="dxa" w:w="2610"/>
          </w:tcPr>
          <w:p>
            <w:pPr>
              <w:spacing w:after="0"/>
            </w:pPr>
            <w:r>
              <w:rPr>
                <w:rFonts w:ascii="Times New Roman" w:hAnsi="Times New Roman" w:cs="Times New Roman"/>
                <w:b w:val="0"/>
                <w:i w:val="0"/>
                <w:caps w:val="0"/>
                <w:sz w:val="16"/>
              </w:rPr>
              <w:t>brain and striatum masses, body weight, putaminal depths, plasma volume</w:t>
            </w:r>
          </w:p>
        </w:tc>
        <w:tc>
          <w:tcPr>
            <w:tcW w:type="dxa" w:w="2610"/>
          </w:tcPr>
          <w:p>
            <w:pPr>
              <w:spacing w:after="0"/>
            </w:pPr>
            <w:r>
              <w:rPr>
                <w:rFonts w:ascii="Times New Roman" w:hAnsi="Times New Roman" w:cs="Times New Roman"/>
                <w:b w:val="0"/>
                <w:i w:val="0"/>
                <w:caps w:val="0"/>
                <w:sz w:val="16"/>
              </w:rPr>
              <w:t>scaling constants</w:t>
            </w:r>
          </w:p>
        </w:tc>
        <w:tc>
          <w:tcPr>
            <w:tcW w:type="dxa" w:w="2610"/>
          </w:tcPr>
          <w:p>
            <w:pPr>
              <w:spacing w:after="0"/>
            </w:pPr>
            <w:r>
              <w:rPr>
                <w:rFonts w:ascii="Times New Roman" w:hAnsi="Times New Roman" w:cs="Times New Roman"/>
                <w:b w:val="0"/>
                <w:i w:val="0"/>
                <w:caps w:val="0"/>
                <w:sz w:val="16"/>
              </w:rPr>
              <w:t xml:space="preserve">see </w:t>
            </w:r>
            <w:r>
              <w:rPr>
                <w:rFonts w:ascii="Consolas" w:hAnsi="Consolas" w:cs="Consolas"/>
                <w:b w:val="0"/>
                <w:i w:val="0"/>
                <w:caps w:val="0"/>
                <w:sz w:val="16"/>
              </w:rPr>
              <w:t>delivery_constants.csv</w:t>
            </w:r>
          </w:p>
        </w:tc>
        <w:tc>
          <w:tcPr>
            <w:tcW w:type="dxa" w:w="2610"/>
          </w:tcPr>
          <w:p>
            <w:pPr>
              <w:spacing w:after="0"/>
            </w:pPr>
            <w:r>
              <w:rPr>
                <w:rFonts w:ascii="Times New Roman" w:hAnsi="Times New Roman" w:cs="Times New Roman"/>
                <w:b/>
                <w:i w:val="0"/>
                <w:caps w:val="0"/>
                <w:sz w:val="16"/>
              </w:rPr>
              <w:t>assumed</w:t>
            </w:r>
            <w:r>
              <w:rPr>
                <w:rFonts w:ascii="Times New Roman" w:hAnsi="Times New Roman" w:cs="Times New Roman"/>
                <w:b w:val="0"/>
                <w:i w:val="0"/>
                <w:caps w:val="0"/>
                <w:sz w:val="16"/>
              </w:rPr>
              <w:t>, one at a time, not globally</w:t>
            </w:r>
          </w:p>
        </w:tc>
      </w:tr>
      <w:tr>
        <w:tc>
          <w:tcPr>
            <w:tcW w:type="dxa" w:w="2610"/>
          </w:tcPr>
          <w:p>
            <w:pPr>
              <w:spacing w:after="0"/>
            </w:pPr>
            <w:r>
              <w:rPr>
                <w:rFonts w:ascii="Times New Roman" w:hAnsi="Times New Roman" w:cs="Times New Roman"/>
                <w:b w:val="0"/>
                <w:i w:val="0"/>
                <w:caps w:val="0"/>
                <w:sz w:val="16"/>
              </w:rPr>
              <w:t>molecular weight</w:t>
            </w:r>
          </w:p>
        </w:tc>
        <w:tc>
          <w:tcPr>
            <w:tcW w:type="dxa" w:w="2610"/>
          </w:tcPr>
          <w:p>
            <w:pPr>
              <w:spacing w:after="0"/>
            </w:pPr>
            <w:r>
              <w:rPr>
                <w:rFonts w:ascii="Times New Roman" w:hAnsi="Times New Roman" w:cs="Times New Roman"/>
                <w:b w:val="0"/>
                <w:i w:val="0"/>
                <w:caps w:val="0"/>
                <w:sz w:val="16"/>
              </w:rPr>
              <w:t>translation constant</w:t>
            </w:r>
          </w:p>
        </w:tc>
        <w:tc>
          <w:tcPr>
            <w:tcW w:type="dxa" w:w="2610"/>
          </w:tcPr>
          <w:p>
            <w:pPr>
              <w:spacing w:after="0"/>
            </w:pPr>
            <w:r>
              <w:rPr>
                <w:rFonts w:ascii="Times New Roman" w:hAnsi="Times New Roman" w:cs="Times New Roman"/>
                <w:b w:val="0"/>
                <w:i w:val="0"/>
                <w:caps w:val="0"/>
                <w:sz w:val="16"/>
              </w:rPr>
              <w:t>14 kDa (swept 7 to 28)</w:t>
            </w:r>
          </w:p>
        </w:tc>
        <w:tc>
          <w:tcPr>
            <w:tcW w:type="dxa" w:w="2610"/>
          </w:tcPr>
          <w:p>
            <w:pPr>
              <w:spacing w:after="0"/>
            </w:pPr>
            <w:r>
              <w:rPr>
                <w:rFonts w:ascii="Times New Roman" w:hAnsi="Times New Roman" w:cs="Times New Roman"/>
                <w:b/>
                <w:i w:val="0"/>
                <w:caps w:val="0"/>
                <w:sz w:val="16"/>
              </w:rPr>
              <w:t>assumed</w:t>
            </w:r>
            <w:r>
              <w:rPr>
                <w:rFonts w:ascii="Times New Roman" w:hAnsi="Times New Roman" w:cs="Times New Roman"/>
                <w:b w:val="0"/>
                <w:i w:val="0"/>
                <w:caps w:val="0"/>
                <w:sz w:val="16"/>
              </w:rPr>
              <w:t>, swept one at a time in the delivery figures</w:t>
            </w:r>
          </w:p>
        </w:tc>
      </w:tr>
      <w:tr>
        <w:tc>
          <w:tcPr>
            <w:tcW w:type="dxa" w:w="2610"/>
          </w:tcPr>
          <w:p>
            <w:pPr>
              <w:spacing w:after="0"/>
            </w:pPr>
            <w:r>
              <w:rPr>
                <w:rFonts w:ascii="Times New Roman" w:hAnsi="Times New Roman" w:cs="Times New Roman"/>
                <w:b w:val="0"/>
                <w:i w:val="0"/>
                <w:caps w:val="0"/>
                <w:sz w:val="16"/>
              </w:rPr>
              <w:t>endosomal escape fraction</w:t>
            </w:r>
          </w:p>
        </w:tc>
        <w:tc>
          <w:tcPr>
            <w:tcW w:type="dxa" w:w="2610"/>
          </w:tcPr>
          <w:p>
            <w:pPr>
              <w:spacing w:after="0"/>
            </w:pPr>
            <w:r>
              <w:rPr>
                <w:rFonts w:ascii="Times New Roman" w:hAnsi="Times New Roman" w:cs="Times New Roman"/>
                <w:b w:val="0"/>
                <w:i w:val="0"/>
                <w:caps w:val="0"/>
                <w:sz w:val="16"/>
              </w:rPr>
              <w:t>translation constant</w:t>
            </w:r>
          </w:p>
        </w:tc>
        <w:tc>
          <w:tcPr>
            <w:tcW w:type="dxa" w:w="2610"/>
          </w:tcPr>
          <w:p>
            <w:pPr>
              <w:spacing w:after="0"/>
            </w:pPr>
            <w:r>
              <w:rPr>
                <w:rFonts w:ascii="Times New Roman" w:hAnsi="Times New Roman" w:cs="Times New Roman"/>
                <w:b w:val="0"/>
                <w:i w:val="0"/>
                <w:caps w:val="0"/>
                <w:sz w:val="16"/>
              </w:rPr>
              <w:t>0.02</w:t>
            </w:r>
          </w:p>
        </w:tc>
        <w:tc>
          <w:tcPr>
            <w:tcW w:type="dxa" w:w="2610"/>
          </w:tcPr>
          <w:p>
            <w:pPr>
              <w:spacing w:after="0"/>
            </w:pPr>
            <w:r>
              <w:rPr>
                <w:rFonts w:ascii="Times New Roman" w:hAnsi="Times New Roman" w:cs="Times New Roman"/>
                <w:b/>
                <w:i w:val="0"/>
                <w:caps w:val="0"/>
                <w:sz w:val="16"/>
              </w:rPr>
              <w:t>assumed</w:t>
            </w:r>
            <w:r>
              <w:rPr>
                <w:rFonts w:ascii="Times New Roman" w:hAnsi="Times New Roman" w:cs="Times New Roman"/>
                <w:b w:val="0"/>
                <w:i w:val="0"/>
                <w:caps w:val="0"/>
                <w:sz w:val="16"/>
              </w:rPr>
              <w:t>, swept one at a time in the delivery figures</w:t>
            </w:r>
          </w:p>
        </w:tc>
      </w:tr>
      <w:tr>
        <w:tc>
          <w:tcPr>
            <w:tcW w:type="dxa" w:w="2610"/>
          </w:tcPr>
          <w:p>
            <w:pPr>
              <w:spacing w:after="0"/>
            </w:pPr>
            <w:r>
              <w:rPr>
                <w:rFonts w:ascii="Times New Roman" w:hAnsi="Times New Roman" w:cs="Times New Roman"/>
                <w:b w:val="0"/>
                <w:i w:val="0"/>
                <w:caps w:val="0"/>
                <w:sz w:val="16"/>
              </w:rPr>
              <w:t>tissue half-life, dosing interval</w:t>
            </w:r>
          </w:p>
        </w:tc>
        <w:tc>
          <w:tcPr>
            <w:tcW w:type="dxa" w:w="2610"/>
          </w:tcPr>
          <w:p>
            <w:pPr>
              <w:spacing w:after="0"/>
            </w:pPr>
            <w:r>
              <w:rPr>
                <w:rFonts w:ascii="Times New Roman" w:hAnsi="Times New Roman" w:cs="Times New Roman"/>
                <w:b w:val="0"/>
                <w:i w:val="0"/>
                <w:caps w:val="0"/>
                <w:sz w:val="16"/>
              </w:rPr>
              <w:t>schedule</w:t>
            </w:r>
          </w:p>
        </w:tc>
        <w:tc>
          <w:tcPr>
            <w:tcW w:type="dxa" w:w="2610"/>
          </w:tcPr>
          <w:p>
            <w:pPr>
              <w:spacing w:after="0"/>
            </w:pPr>
            <w:r>
              <w:rPr>
                <w:rFonts w:ascii="Times New Roman" w:hAnsi="Times New Roman" w:cs="Times New Roman"/>
                <w:b w:val="0"/>
                <w:i w:val="0"/>
                <w:caps w:val="0"/>
                <w:sz w:val="16"/>
              </w:rPr>
              <w:t>1 to 12 mo, 3 to 12 mo</w:t>
            </w:r>
          </w:p>
        </w:tc>
        <w:tc>
          <w:tcPr>
            <w:tcW w:type="dxa" w:w="2610"/>
          </w:tcPr>
          <w:p>
            <w:pPr>
              <w:spacing w:after="0"/>
            </w:pPr>
            <w:r>
              <w:rPr>
                <w:rFonts w:ascii="Times New Roman" w:hAnsi="Times New Roman" w:cs="Times New Roman"/>
                <w:b/>
                <w:i w:val="0"/>
                <w:caps w:val="0"/>
                <w:sz w:val="16"/>
              </w:rPr>
              <w:t>swept</w:t>
            </w:r>
            <w:r>
              <w:rPr>
                <w:rFonts w:ascii="Times New Roman" w:hAnsi="Times New Roman" w:cs="Times New Roman"/>
                <w:b w:val="0"/>
                <w:i w:val="0"/>
                <w:caps w:val="0"/>
                <w:sz w:val="16"/>
              </w:rPr>
              <w:t>, not assumed</w:t>
            </w:r>
          </w:p>
        </w:tc>
      </w:tr>
      <w:tr>
        <w:tc>
          <w:tcPr>
            <w:tcW w:type="dxa" w:w="2610"/>
          </w:tcPr>
          <w:p>
            <w:pPr>
              <w:spacing w:after="0"/>
            </w:pPr>
            <w:r>
              <w:rPr>
                <w:rFonts w:ascii="Times New Roman" w:hAnsi="Times New Roman" w:cs="Times New Roman"/>
                <w:b w:val="0"/>
                <w:i w:val="0"/>
                <w:caps w:val="0"/>
                <w:sz w:val="16"/>
              </w:rPr>
              <w:t>imaging measurement SD</w:t>
            </w:r>
          </w:p>
        </w:tc>
        <w:tc>
          <w:tcPr>
            <w:tcW w:type="dxa" w:w="2610"/>
          </w:tcPr>
          <w:p>
            <w:pPr>
              <w:spacing w:after="0"/>
            </w:pPr>
            <w:r>
              <w:rPr>
                <w:rFonts w:ascii="Times New Roman" w:hAnsi="Times New Roman" w:cs="Times New Roman"/>
                <w:b w:val="0"/>
                <w:i w:val="0"/>
                <w:caps w:val="0"/>
                <w:sz w:val="16"/>
              </w:rPr>
              <w:t>trial noise</w:t>
            </w:r>
          </w:p>
        </w:tc>
        <w:tc>
          <w:tcPr>
            <w:tcW w:type="dxa" w:w="2610"/>
          </w:tcPr>
          <w:p>
            <w:pPr>
              <w:spacing w:after="0"/>
            </w:pPr>
            <w:r>
              <w:rPr>
                <w:rFonts w:ascii="Times New Roman" w:hAnsi="Times New Roman" w:cs="Times New Roman"/>
                <w:b w:val="0"/>
                <w:i w:val="0"/>
                <w:caps w:val="0"/>
                <w:sz w:val="16"/>
              </w:rPr>
              <w:t>0 to 4 points</w:t>
            </w:r>
          </w:p>
        </w:tc>
        <w:tc>
          <w:tcPr>
            <w:tcW w:type="dxa" w:w="2610"/>
          </w:tcPr>
          <w:p>
            <w:pPr>
              <w:spacing w:after="0"/>
            </w:pPr>
            <w:r>
              <w:rPr>
                <w:rFonts w:ascii="Times New Roman" w:hAnsi="Times New Roman" w:cs="Times New Roman"/>
                <w:b/>
                <w:i w:val="0"/>
                <w:caps w:val="0"/>
                <w:sz w:val="16"/>
              </w:rPr>
              <w:t>swept</w:t>
            </w:r>
            <w:r>
              <w:rPr>
                <w:rFonts w:ascii="Times New Roman" w:hAnsi="Times New Roman" w:cs="Times New Roman"/>
                <w:b w:val="0"/>
                <w:i w:val="0"/>
                <w:caps w:val="0"/>
                <w:sz w:val="16"/>
              </w:rPr>
              <w:t>, not assumed</w:t>
            </w:r>
          </w:p>
        </w:tc>
      </w:tr>
    </w:tbl>
    <w:p>
      <w:pPr>
        <w:spacing w:after="120" w:before="0" w:line="240" w:lineRule="auto"/>
        <w:ind w:firstLine="0"/>
        <w:jc w:val="both"/>
      </w:pPr>
    </w:p>
    <w:p>
      <w:pPr>
        <w:sectPr>
          <w:type w:val="continuous"/>
          <w:pgSz w:w="12240" w:h="15840"/>
          <w:pgMar w:top="1080" w:right="900" w:bottom="1440" w:left="900" w:header="720" w:footer="720" w:gutter="0"/>
          <w:cols w:space="360" w:num="1" w:equalWidth="1"/>
          <w:docGrid w:linePitch="360"/>
        </w:sectPr>
      </w:pPr>
    </w:p>
    <w:p>
      <w:pPr>
        <w:spacing w:after="60" w:before="160" w:line="240" w:lineRule="auto"/>
        <w:ind w:firstLine="0"/>
        <w:jc w:val="center"/>
      </w:pPr>
      <w:r>
        <w:rPr>
          <w:rFonts w:ascii="Times New Roman" w:hAnsi="Times New Roman" w:cs="Times New Roman"/>
          <w:b w:val="0"/>
          <w:i w:val="0"/>
          <w:caps/>
          <w:sz w:val="20"/>
        </w:rPr>
        <w:t>III.  Results</w:t>
      </w:r>
    </w:p>
    <w:p>
      <w:pPr>
        <w:spacing w:after="40" w:before="120" w:line="240" w:lineRule="auto"/>
        <w:ind w:firstLine="0"/>
        <w:jc w:val="left"/>
      </w:pPr>
      <w:r>
        <w:rPr>
          <w:rFonts w:ascii="Times New Roman" w:hAnsi="Times New Roman" w:cs="Times New Roman"/>
          <w:b w:val="0"/>
          <w:i/>
          <w:caps w:val="0"/>
          <w:sz w:val="20"/>
        </w:rPr>
        <w:t>A.  The clock is a switch, not a ramp</w:t>
      </w:r>
    </w:p>
    <w:p>
      <w:pPr>
        <w:spacing w:after="60" w:before="0" w:line="240" w:lineRule="auto"/>
        <w:ind w:firstLine="288"/>
        <w:jc w:val="both"/>
      </w:pPr>
      <w:r>
        <w:rPr>
          <w:rFonts w:ascii="Times New Roman" w:hAnsi="Times New Roman" w:cs="Times New Roman"/>
          <w:b w:val="0"/>
          <w:i w:val="0"/>
          <w:caps w:val="0"/>
          <w:sz w:val="20"/>
        </w:rPr>
        <w:t xml:space="preserve">The four-parameter rate law reproduces all four published kinetic anchors exactly (Fig. 1C; </w:t>
      </w:r>
      <w:r>
        <w:rPr>
          <w:rFonts w:ascii="Consolas" w:hAnsi="Consolas" w:cs="Consolas"/>
          <w:b w:val="0"/>
          <w:i w:val="0"/>
          <w:caps w:val="0"/>
          <w:sz w:val="20"/>
        </w:rPr>
        <w:t>results/calibration_check.csv</w:t>
      </w:r>
      <w:r>
        <w:rPr>
          <w:rFonts w:ascii="Times New Roman" w:hAnsi="Times New Roman" w:cs="Times New Roman"/>
          <w:b w:val="0"/>
          <w:i w:val="0"/>
          <w:caps w:val="0"/>
          <w:sz w:val="20"/>
        </w:rPr>
        <w:t>). The fitted basal rate is λ(40) = 0.070 events per cell per year, which is about one mutation every fourteen years, rising to 8.1 per year at 150 repeats. That is a 117-fold increase over the length range a neuron traverses in a lifetime (Fig. 1B).</w:t>
      </w:r>
    </w:p>
    <w:p>
      <w:pPr>
        <w:spacing w:after="60" w:before="0" w:line="240" w:lineRule="auto"/>
        <w:ind w:firstLine="288"/>
        <w:jc w:val="both"/>
      </w:pPr>
      <w:r>
        <w:rPr>
          <w:rFonts w:ascii="Times New Roman" w:hAnsi="Times New Roman" w:cs="Times New Roman"/>
          <w:b w:val="0"/>
          <w:i w:val="0"/>
          <w:caps w:val="0"/>
          <w:sz w:val="20"/>
        </w:rPr>
        <w:t xml:space="preserve">How the increase is assembled turns out to matter more than its size. Almost all of it is carried by one term. Half of slip-outs are clustered by the time the tract reaches </w:t>
      </w:r>
      <w:r>
        <w:rPr>
          <w:rFonts w:ascii="Times New Roman" w:hAnsi="Times New Roman" w:cs="Times New Roman"/>
          <w:b w:val="0"/>
          <w:i/>
          <w:caps w:val="0"/>
          <w:sz w:val="20"/>
        </w:rPr>
        <w:t>L</w:t>
      </w:r>
      <w:r>
        <w:rPr>
          <w:rFonts w:ascii="Times New Roman" w:hAnsi="Times New Roman" w:cs="Times New Roman"/>
          <w:b w:val="0"/>
          <w:i/>
          <w:caps w:val="0"/>
          <w:sz w:val="20"/>
          <w:vertAlign w:val="subscript"/>
        </w:rPr>
        <w:t>sw</w:t>
      </w:r>
      <w:r>
        <w:rPr>
          <w:rFonts w:ascii="Times New Roman" w:hAnsi="Times New Roman" w:cs="Times New Roman"/>
          <w:b w:val="0"/>
          <w:i w:val="0"/>
          <w:caps w:val="0"/>
          <w:sz w:val="20"/>
        </w:rPr>
        <w:t xml:space="preserve"> = 80.2 repeats, and a clustered slip-out is R = 17.7 times more likely to escape repair and become a real expansion event than an isolated one (Fig. 1A). The other two length-dependent terms barely move. Site multiplicity n(L) rises linearly and only triples across the whole range, and the thermodynamic occupancy term is close to flat: the fitted α works out to 0.0036 kcal per mole per repeat, which is a few hundredths of the thermal energy scale and well inside the noise of any stability measurement.</w:t>
      </w:r>
    </w:p>
    <w:p>
      <w:pPr>
        <w:spacing w:after="60" w:before="0" w:line="240" w:lineRule="auto"/>
        <w:ind w:firstLine="288"/>
        <w:jc w:val="both"/>
      </w:pPr>
      <w:r>
        <w:rPr>
          <w:rFonts w:ascii="Times New Roman" w:hAnsi="Times New Roman" w:cs="Times New Roman"/>
          <w:b w:val="0"/>
          <w:i w:val="0"/>
          <w:caps w:val="0"/>
          <w:sz w:val="20"/>
        </w:rPr>
        <w:t xml:space="preserve">The profile analysis makes the point sharply (Fig. 2; </w:t>
      </w:r>
      <w:r>
        <w:rPr>
          <w:rFonts w:ascii="Consolas" w:hAnsi="Consolas" w:cs="Consolas"/>
          <w:b w:val="0"/>
          <w:i w:val="0"/>
          <w:caps w:val="0"/>
          <w:sz w:val="20"/>
        </w:rPr>
        <w:t>results/profile_intervals.csv</w:t>
      </w:r>
      <w:r>
        <w:rPr>
          <w:rFonts w:ascii="Times New Roman" w:hAnsi="Times New Roman" w:cs="Times New Roman"/>
          <w:b w:val="0"/>
          <w:i w:val="0"/>
          <w:caps w:val="0"/>
          <w:sz w:val="20"/>
        </w:rPr>
        <w:t xml:space="preserve">). Holding the fit to within 10% of its best worst-case residual, λ(40) is pinned to 0.060 to 0.071 per year and </w:t>
      </w:r>
      <w:r>
        <w:rPr>
          <w:rFonts w:ascii="Times New Roman" w:hAnsi="Times New Roman" w:cs="Times New Roman"/>
          <w:b w:val="0"/>
          <w:i/>
          <w:caps w:val="0"/>
          <w:sz w:val="20"/>
        </w:rPr>
        <w:t>L</w:t>
      </w:r>
      <w:r>
        <w:rPr>
          <w:rFonts w:ascii="Times New Roman" w:hAnsi="Times New Roman" w:cs="Times New Roman"/>
          <w:b w:val="0"/>
          <w:i/>
          <w:caps w:val="0"/>
          <w:sz w:val="20"/>
          <w:vertAlign w:val="subscript"/>
        </w:rPr>
        <w:t>sw</w:t>
      </w:r>
      <w:r>
        <w:rPr>
          <w:rFonts w:ascii="Times New Roman" w:hAnsi="Times New Roman" w:cs="Times New Roman"/>
          <w:b w:val="0"/>
          <w:i w:val="0"/>
          <w:caps w:val="0"/>
          <w:sz w:val="20"/>
        </w:rPr>
        <w:t xml:space="preserve"> to 78.3 to 81.7 repeats, but β ranges over the entire grid from 0.0001 to 0.03 per repeat without the fit degrading at all. Loosen the tolerance to 25% and </w:t>
      </w:r>
      <w:r>
        <w:rPr>
          <w:rFonts w:ascii="Times New Roman" w:hAnsi="Times New Roman" w:cs="Times New Roman"/>
          <w:b w:val="0"/>
          <w:i/>
          <w:caps w:val="0"/>
          <w:sz w:val="20"/>
        </w:rPr>
        <w:t>L</w:t>
      </w:r>
      <w:r>
        <w:rPr>
          <w:rFonts w:ascii="Times New Roman" w:hAnsi="Times New Roman" w:cs="Times New Roman"/>
          <w:b w:val="0"/>
          <w:i/>
          <w:caps w:val="0"/>
          <w:sz w:val="20"/>
          <w:vertAlign w:val="subscript"/>
        </w:rPr>
        <w:t>sw</w:t>
      </w:r>
      <w:r>
        <w:rPr>
          <w:rFonts w:ascii="Times New Roman" w:hAnsi="Times New Roman" w:cs="Times New Roman"/>
          <w:b w:val="0"/>
          <w:i w:val="0"/>
          <w:caps w:val="0"/>
          <w:sz w:val="20"/>
        </w:rPr>
        <w:t xml:space="preserve"> still only widens to 71.7 to 118.3 repeats while R spans 2 to 42. In other words: </w:t>
      </w:r>
      <w:r>
        <w:rPr>
          <w:rFonts w:ascii="Times New Roman" w:hAnsi="Times New Roman" w:cs="Times New Roman"/>
          <w:b/>
          <w:i w:val="0"/>
          <w:caps w:val="0"/>
          <w:sz w:val="20"/>
        </w:rPr>
        <w:t>the position of the switch is one of the best-determined quantities in the model, and the slip-out stability parameter is not determined at all.</w:t>
      </w:r>
      <w:r>
        <w:rPr>
          <w:rFonts w:ascii="Times New Roman" w:hAnsi="Times New Roman" w:cs="Times New Roman"/>
          <w:b w:val="0"/>
          <w:i w:val="0"/>
          <w:caps w:val="0"/>
          <w:sz w:val="20"/>
        </w:rPr>
        <w:t xml:space="preserve"> β is consistent with zero, and setting it to zero costs nothing. The model reduces, in practice, to a threshold at roughly eighty repeats.</w:t>
      </w:r>
    </w:p>
    <w:p>
      <w:pPr>
        <w:spacing w:after="60" w:before="0" w:line="240" w:lineRule="auto"/>
        <w:ind w:firstLine="288"/>
        <w:jc w:val="both"/>
      </w:pPr>
      <w:r>
        <w:rPr>
          <w:rFonts w:ascii="Times New Roman" w:hAnsi="Times New Roman" w:cs="Times New Roman"/>
          <w:b w:val="0"/>
          <w:i w:val="0"/>
          <w:caps w:val="0"/>
          <w:sz w:val="20"/>
        </w:rPr>
        <w:t xml:space="preserve">A switch has two properties, where it sits and how sharp it is, and only the first of them is fitted. The width </w:t>
      </w:r>
      <w:r>
        <w:rPr>
          <w:rFonts w:ascii="Times New Roman" w:hAnsi="Times New Roman" w:cs="Times New Roman"/>
          <w:b w:val="0"/>
          <w:i/>
          <w:caps w:val="0"/>
          <w:sz w:val="20"/>
        </w:rPr>
        <w:t>w</w:t>
      </w:r>
      <w:r>
        <w:rPr>
          <w:rFonts w:ascii="Times New Roman" w:hAnsi="Times New Roman" w:cs="Times New Roman"/>
          <w:b w:val="0"/>
          <w:i/>
          <w:caps w:val="0"/>
          <w:sz w:val="20"/>
          <w:vertAlign w:val="subscript"/>
        </w:rPr>
        <w:t>sw</w:t>
      </w:r>
      <w:r>
        <w:rPr>
          <w:rFonts w:ascii="Times New Roman" w:hAnsi="Times New Roman" w:cs="Times New Roman"/>
          <w:b w:val="0"/>
          <w:i w:val="0"/>
          <w:caps w:val="0"/>
          <w:sz w:val="20"/>
        </w:rPr>
        <w:t xml:space="preserve"> is an input, fixed at 6 repeats before the optimiser runs, so the earlier statement that the length dependence is switch-like describes a shape that was partly chosen rather than wholly inferred. That is worth testing rather than conceding, so </w:t>
      </w:r>
      <w:r>
        <w:rPr>
          <w:rFonts w:ascii="Times New Roman" w:hAnsi="Times New Roman" w:cs="Times New Roman"/>
          <w:b w:val="0"/>
          <w:i/>
          <w:caps w:val="0"/>
          <w:sz w:val="20"/>
        </w:rPr>
        <w:t>w</w:t>
      </w:r>
      <w:r>
        <w:rPr>
          <w:rFonts w:ascii="Times New Roman" w:hAnsi="Times New Roman" w:cs="Times New Roman"/>
          <w:b w:val="0"/>
          <w:i/>
          <w:caps w:val="0"/>
          <w:sz w:val="20"/>
          <w:vertAlign w:val="subscript"/>
        </w:rPr>
        <w:t>sw</w:t>
      </w:r>
      <w:r>
        <w:rPr>
          <w:rFonts w:ascii="Times New Roman" w:hAnsi="Times New Roman" w:cs="Times New Roman"/>
          <w:b w:val="0"/>
          <w:i w:val="0"/>
          <w:caps w:val="0"/>
          <w:sz w:val="20"/>
        </w:rPr>
        <w:t xml:space="preserve"> was held at a grid of values from 3 to 12 repeats and all four parameters refitted at each one (Figure 11E; </w:t>
      </w:r>
      <w:r>
        <w:rPr>
          <w:rFonts w:ascii="Consolas" w:hAnsi="Consolas" w:cs="Consolas"/>
          <w:b w:val="0"/>
          <w:i w:val="0"/>
          <w:caps w:val="0"/>
          <w:sz w:val="20"/>
        </w:rPr>
        <w:t>results/wsw_profile.csv</w:t>
      </w:r>
      <w:r>
        <w:rPr>
          <w:rFonts w:ascii="Times New Roman" w:hAnsi="Times New Roman" w:cs="Times New Roman"/>
          <w:b w:val="0"/>
          <w:i w:val="0"/>
          <w:caps w:val="0"/>
          <w:sz w:val="20"/>
        </w:rPr>
        <w:t xml:space="preserve">). The result is more interesting than a flat profile would have been. An exact fit exists only for widths between about 4 and 7.5 repeats; at 3 repeats the worst anchor misses by 5.2% and at 12 repeats by 13.5%, so the anchors do carry some information about sharpness, and what they prefer is a switch no wider than about eight repeats. But the switch position moves with the assumed width, from </w:t>
      </w:r>
      <w:r>
        <w:rPr>
          <w:rFonts w:ascii="Times New Roman" w:hAnsi="Times New Roman" w:cs="Times New Roman"/>
          <w:b w:val="0"/>
          <w:i/>
          <w:caps w:val="0"/>
          <w:sz w:val="20"/>
        </w:rPr>
        <w:t>L</w:t>
      </w:r>
      <w:r>
        <w:rPr>
          <w:rFonts w:ascii="Times New Roman" w:hAnsi="Times New Roman" w:cs="Times New Roman"/>
          <w:b w:val="0"/>
          <w:i/>
          <w:caps w:val="0"/>
          <w:sz w:val="20"/>
          <w:vertAlign w:val="subscript"/>
        </w:rPr>
        <w:t>sw</w:t>
      </w:r>
      <w:r>
        <w:rPr>
          <w:rFonts w:ascii="Times New Roman" w:hAnsi="Times New Roman" w:cs="Times New Roman"/>
          <w:b w:val="0"/>
          <w:i w:val="0"/>
          <w:caps w:val="0"/>
          <w:sz w:val="20"/>
        </w:rPr>
        <w:t xml:space="preserve"> = 74.6 repeats at </w:t>
      </w:r>
      <w:r>
        <w:rPr>
          <w:rFonts w:ascii="Times New Roman" w:hAnsi="Times New Roman" w:cs="Times New Roman"/>
          <w:b w:val="0"/>
          <w:i/>
          <w:caps w:val="0"/>
          <w:sz w:val="20"/>
        </w:rPr>
        <w:t>w</w:t>
      </w:r>
      <w:r>
        <w:rPr>
          <w:rFonts w:ascii="Times New Roman" w:hAnsi="Times New Roman" w:cs="Times New Roman"/>
          <w:b w:val="0"/>
          <w:i/>
          <w:caps w:val="0"/>
          <w:sz w:val="20"/>
          <w:vertAlign w:val="subscript"/>
        </w:rPr>
        <w:t>sw</w:t>
      </w:r>
      <w:r>
        <w:rPr>
          <w:rFonts w:ascii="Times New Roman" w:hAnsi="Times New Roman" w:cs="Times New Roman"/>
          <w:b w:val="0"/>
          <w:i w:val="0"/>
          <w:caps w:val="0"/>
          <w:sz w:val="20"/>
        </w:rPr>
        <w:t xml:space="preserve"> = 3 to 101.6 repeats at </w:t>
      </w:r>
      <w:r>
        <w:rPr>
          <w:rFonts w:ascii="Times New Roman" w:hAnsi="Times New Roman" w:cs="Times New Roman"/>
          <w:b w:val="0"/>
          <w:i/>
          <w:caps w:val="0"/>
          <w:sz w:val="20"/>
        </w:rPr>
        <w:t>w</w:t>
      </w:r>
      <w:r>
        <w:rPr>
          <w:rFonts w:ascii="Times New Roman" w:hAnsi="Times New Roman" w:cs="Times New Roman"/>
          <w:b w:val="0"/>
          <w:i/>
          <w:caps w:val="0"/>
          <w:sz w:val="20"/>
          <w:vertAlign w:val="subscript"/>
        </w:rPr>
        <w:t>sw</w:t>
      </w:r>
      <w:r>
        <w:rPr>
          <w:rFonts w:ascii="Times New Roman" w:hAnsi="Times New Roman" w:cs="Times New Roman"/>
          <w:b w:val="0"/>
          <w:i w:val="0"/>
          <w:caps w:val="0"/>
          <w:sz w:val="20"/>
        </w:rPr>
        <w:t xml:space="preserve"> = 12, and R rises with it. Reading the two parameters jointly rather than one at a time, the honest statement is that the data locate a switch whose midpoint is somewhere between about 75 and 99 repeats and whose width is under about ten, and that the sharper the switch is assumed to be, the earlier it is placed. The qualitative claim is robust. The specific value of 80.2 repeats is conditional on a width of 6.</w:t>
      </w:r>
    </w:p>
    <w:p>
      <w:pPr>
        <w:spacing w:after="60" w:before="0" w:line="240" w:lineRule="auto"/>
        <w:ind w:firstLine="288"/>
        <w:jc w:val="both"/>
      </w:pPr>
      <w:r>
        <w:rPr>
          <w:rFonts w:ascii="Times New Roman" w:hAnsi="Times New Roman" w:cs="Times New Roman"/>
          <w:b w:val="0"/>
          <w:i w:val="0"/>
          <w:caps w:val="0"/>
          <w:sz w:val="20"/>
        </w:rPr>
        <w:t>The switch is a claim about mechanism, not a curve-fitting observation. It says the acceleration seen clinically between seventy and ninety repeats is not a slow thermodynamic drift in how stable a slip-out is. It is the point at which the tract first becomes long enough to hold two or more slip-outs close together, which is exactly the configuration that human MutSβ was shown to repair badly in vitro [6]. The model did not know about that experiment. It was asked only to fit transit times, and it put its switch where the biochemistry says the substrate changes.</w:t>
      </w:r>
    </w:p>
    <w:p>
      <w:pPr>
        <w:spacing w:after="60" w:before="0" w:line="240" w:lineRule="auto"/>
        <w:ind w:firstLine="288"/>
        <w:jc w:val="both"/>
      </w:pPr>
      <w:r>
        <w:rPr>
          <w:rFonts w:ascii="Times New Roman" w:hAnsi="Times New Roman" w:cs="Times New Roman"/>
          <w:b w:val="0"/>
          <w:i w:val="0"/>
          <w:caps w:val="0"/>
          <w:sz w:val="20"/>
        </w:rPr>
        <w:t xml:space="preserve">One corner of the earlier identifiability scan is degenerate and should be read as a warning rather than a result. Forcing the 80 to 150 repeat transit down to two years drives </w:t>
      </w:r>
      <w:r>
        <w:rPr>
          <w:rFonts w:ascii="Times New Roman" w:hAnsi="Times New Roman" w:cs="Times New Roman"/>
          <w:b w:val="0"/>
          <w:i/>
          <w:caps w:val="0"/>
          <w:sz w:val="20"/>
        </w:rPr>
        <w:t>L</w:t>
      </w:r>
      <w:r>
        <w:rPr>
          <w:rFonts w:ascii="Times New Roman" w:hAnsi="Times New Roman" w:cs="Times New Roman"/>
          <w:b w:val="0"/>
          <w:i/>
          <w:caps w:val="0"/>
          <w:sz w:val="20"/>
          <w:vertAlign w:val="subscript"/>
        </w:rPr>
        <w:t>sw</w:t>
      </w:r>
      <w:r>
        <w:rPr>
          <w:rFonts w:ascii="Times New Roman" w:hAnsi="Times New Roman" w:cs="Times New Roman"/>
          <w:b w:val="0"/>
          <w:i w:val="0"/>
          <w:caps w:val="0"/>
          <w:sz w:val="20"/>
        </w:rPr>
        <w:t xml:space="preserve"> to the top of its range and R to roughly 2,600. That variant is the parameterisation breaking down, not a biological estimate, and it is flagged as such in </w:t>
      </w:r>
      <w:r>
        <w:rPr>
          <w:rFonts w:ascii="Consolas" w:hAnsi="Consolas" w:cs="Consolas"/>
          <w:b w:val="0"/>
          <w:i w:val="0"/>
          <w:caps w:val="0"/>
          <w:sz w:val="20"/>
        </w:rPr>
        <w:t>results/identifiability_profiles.csv</w:t>
      </w:r>
      <w:r>
        <w:rPr>
          <w:rFonts w:ascii="Times New Roman" w:hAnsi="Times New Roman" w:cs="Times New Roman"/>
          <w:b w:val="0"/>
          <w:i w:val="0"/>
          <w:caps w:val="0"/>
          <w:sz w:val="20"/>
        </w:rPr>
        <w:t>.</w:t>
      </w:r>
    </w:p>
    <w:p>
      <w:pPr>
        <w:sectPr>
          <w:type w:val="continuous"/>
          <w:pgSz w:w="12240" w:h="15840"/>
          <w:pgMar w:top="1080" w:right="900" w:bottom="1440" w:left="900" w:header="720" w:footer="720" w:gutter="0"/>
          <w:cols w:space="360" w:num="2" w:equalWidth="1"/>
          <w:docGrid w:linePitch="360"/>
        </w:sectPr>
      </w:pPr>
    </w:p>
    <w:p>
      <w:pPr>
        <w:spacing w:after="40" w:before="0" w:line="240" w:lineRule="auto"/>
        <w:ind w:firstLine="0"/>
        <w:jc w:val="center"/>
      </w:pPr>
      <w:r>
        <w:drawing>
          <wp:inline xmlns:a="http://schemas.openxmlformats.org/drawingml/2006/main" xmlns:pic="http://schemas.openxmlformats.org/drawingml/2006/picture">
            <wp:extent cx="6492240" cy="2426781"/>
            <wp:docPr id="1" name="Picture 1"/>
            <wp:cNvGraphicFramePr>
              <a:graphicFrameLocks noChangeAspect="1"/>
            </wp:cNvGraphicFramePr>
            <a:graphic>
              <a:graphicData uri="http://schemas.openxmlformats.org/drawingml/2006/picture">
                <pic:pic>
                  <pic:nvPicPr>
                    <pic:cNvPr id="0" name="fig1_rate_law.png"/>
                    <pic:cNvPicPr/>
                  </pic:nvPicPr>
                  <pic:blipFill>
                    <a:blip r:embed="rId9"/>
                    <a:stretch>
                      <a:fillRect/>
                    </a:stretch>
                  </pic:blipFill>
                  <pic:spPr>
                    <a:xfrm>
                      <a:off x="0" y="0"/>
                      <a:ext cx="6492240" cy="2426781"/>
                    </a:xfrm>
                    <a:prstGeom prst="rect"/>
                  </pic:spPr>
                </pic:pic>
              </a:graphicData>
            </a:graphic>
          </wp:inline>
        </w:drawing>
      </w:r>
    </w:p>
    <w:p>
      <w:pPr>
        <w:spacing w:after="160" w:before="0" w:line="240" w:lineRule="auto"/>
        <w:ind w:firstLine="0"/>
        <w:jc w:val="both"/>
      </w:pPr>
      <w:r>
        <w:rPr>
          <w:rFonts w:ascii="Times New Roman" w:hAnsi="Times New Roman" w:cs="Times New Roman"/>
          <w:b w:val="0"/>
          <w:i w:val="0"/>
          <w:caps w:val="0"/>
          <w:sz w:val="16"/>
        </w:rPr>
        <w:t xml:space="preserve">Fig. 1.  </w:t>
      </w:r>
      <w:r>
        <w:rPr>
          <w:rFonts w:ascii="Times New Roman" w:hAnsi="Times New Roman" w:cs="Times New Roman"/>
          <w:b/>
          <w:i w:val="0"/>
          <w:caps w:val="0"/>
          <w:sz w:val="16"/>
        </w:rPr>
        <w:t>The fitted expansion rate law.</w:t>
      </w:r>
      <w:r>
        <w:rPr>
          <w:rFonts w:ascii="Times New Roman" w:hAnsi="Times New Roman" w:cs="Times New Roman"/>
          <w:b w:val="0"/>
          <w:i w:val="0"/>
          <w:caps w:val="0"/>
          <w:sz w:val="16"/>
        </w:rPr>
        <w:t xml:space="preserve"> (A) The three length-dependent terms plotted separately. The clustered fraction C(L) switches sharply near eighty repeats; occupancy φ(L) and site multiplicity n(L) grow slowly and almost linearly. The dotted line marks the 150-repeat commitment threshold. (B) Fitted λ(L) on a log scale, with the effect of 50% and 75% MSH3 lowering. (C) Model against published mean transit times.</w:t>
      </w:r>
    </w:p>
    <w:p>
      <w:pPr>
        <w:sectPr>
          <w:type w:val="continuous"/>
          <w:pgSz w:w="12240" w:h="15840"/>
          <w:pgMar w:top="1080" w:right="900" w:bottom="1440" w:left="900" w:header="720" w:footer="720" w:gutter="0"/>
          <w:cols w:space="360" w:num="1" w:equalWidth="1"/>
          <w:docGrid w:linePitch="360"/>
        </w:sectPr>
      </w:pPr>
    </w:p>
    <w:p>
      <w:pPr>
        <w:sectPr>
          <w:type w:val="continuous"/>
          <w:pgSz w:w="12240" w:h="15840"/>
          <w:pgMar w:top="1080" w:right="900" w:bottom="1440" w:left="900" w:header="720" w:footer="720" w:gutter="0"/>
          <w:cols w:space="360" w:num="2" w:equalWidth="1"/>
          <w:docGrid w:linePitch="360"/>
        </w:sectPr>
      </w:pPr>
    </w:p>
    <w:p>
      <w:pPr>
        <w:spacing w:after="40" w:before="0" w:line="240" w:lineRule="auto"/>
        <w:ind w:firstLine="0"/>
        <w:jc w:val="center"/>
      </w:pPr>
      <w:r>
        <w:drawing>
          <wp:inline xmlns:a="http://schemas.openxmlformats.org/drawingml/2006/main" xmlns:pic="http://schemas.openxmlformats.org/drawingml/2006/picture">
            <wp:extent cx="6492240" cy="1773817"/>
            <wp:docPr id="2" name="Picture 2"/>
            <wp:cNvGraphicFramePr>
              <a:graphicFrameLocks noChangeAspect="1"/>
            </wp:cNvGraphicFramePr>
            <a:graphic>
              <a:graphicData uri="http://schemas.openxmlformats.org/drawingml/2006/picture">
                <pic:pic>
                  <pic:nvPicPr>
                    <pic:cNvPr id="0" name="fig11_profile.png"/>
                    <pic:cNvPicPr/>
                  </pic:nvPicPr>
                  <pic:blipFill>
                    <a:blip r:embed="rId10"/>
                    <a:stretch>
                      <a:fillRect/>
                    </a:stretch>
                  </pic:blipFill>
                  <pic:spPr>
                    <a:xfrm>
                      <a:off x="0" y="0"/>
                      <a:ext cx="6492240" cy="1773817"/>
                    </a:xfrm>
                    <a:prstGeom prst="rect"/>
                  </pic:spPr>
                </pic:pic>
              </a:graphicData>
            </a:graphic>
          </wp:inline>
        </w:drawing>
      </w:r>
    </w:p>
    <w:p>
      <w:pPr>
        <w:spacing w:after="160" w:before="0" w:line="240" w:lineRule="auto"/>
        <w:ind w:firstLine="0"/>
        <w:jc w:val="both"/>
      </w:pPr>
      <w:r>
        <w:rPr>
          <w:rFonts w:ascii="Times New Roman" w:hAnsi="Times New Roman" w:cs="Times New Roman"/>
          <w:b w:val="0"/>
          <w:i w:val="0"/>
          <w:caps w:val="0"/>
          <w:sz w:val="16"/>
        </w:rPr>
        <w:t xml:space="preserve">Fig. 2.  </w:t>
      </w:r>
      <w:r>
        <w:rPr>
          <w:rFonts w:ascii="Times New Roman" w:hAnsi="Times New Roman" w:cs="Times New Roman"/>
          <w:b/>
          <w:i w:val="0"/>
          <w:caps w:val="0"/>
          <w:sz w:val="16"/>
        </w:rPr>
        <w:t>What the data actually pin down.</w:t>
      </w:r>
      <w:r>
        <w:rPr>
          <w:rFonts w:ascii="Times New Roman" w:hAnsi="Times New Roman" w:cs="Times New Roman"/>
          <w:b w:val="0"/>
          <w:i w:val="0"/>
          <w:caps w:val="0"/>
          <w:sz w:val="16"/>
        </w:rPr>
        <w:t xml:space="preserve"> (A to D) Each panel holds one fitted parameter at a fixed value, refits the other three, and plots the worst relative deviation from the four kinetic anchors. Flat regions are directions the data cannot see. λ(40) and </w:t>
      </w:r>
      <w:r>
        <w:rPr>
          <w:rFonts w:ascii="Times New Roman" w:hAnsi="Times New Roman" w:cs="Times New Roman"/>
          <w:b w:val="0"/>
          <w:i/>
          <w:caps w:val="0"/>
          <w:sz w:val="16"/>
        </w:rPr>
        <w:t>L</w:t>
      </w:r>
      <w:r>
        <w:rPr>
          <w:rFonts w:ascii="Times New Roman" w:hAnsi="Times New Roman" w:cs="Times New Roman"/>
          <w:b w:val="0"/>
          <w:i/>
          <w:caps w:val="0"/>
          <w:sz w:val="16"/>
          <w:vertAlign w:val="subscript"/>
        </w:rPr>
        <w:t>sw</w:t>
      </w:r>
      <w:r>
        <w:rPr>
          <w:rFonts w:ascii="Times New Roman" w:hAnsi="Times New Roman" w:cs="Times New Roman"/>
          <w:b w:val="0"/>
          <w:i w:val="0"/>
          <w:caps w:val="0"/>
          <w:sz w:val="16"/>
        </w:rPr>
        <w:t xml:space="preserve"> sit in sharp wells; β is flat across four orders of magnitude; R has a broad floor with a soft lower edge. (E) The switch width </w:t>
      </w:r>
      <w:r>
        <w:rPr>
          <w:rFonts w:ascii="Times New Roman" w:hAnsi="Times New Roman" w:cs="Times New Roman"/>
          <w:b w:val="0"/>
          <w:i/>
          <w:caps w:val="0"/>
          <w:sz w:val="16"/>
        </w:rPr>
        <w:t>w</w:t>
      </w:r>
      <w:r>
        <w:rPr>
          <w:rFonts w:ascii="Times New Roman" w:hAnsi="Times New Roman" w:cs="Times New Roman"/>
          <w:b w:val="0"/>
          <w:i/>
          <w:caps w:val="0"/>
          <w:sz w:val="16"/>
          <w:vertAlign w:val="subscript"/>
        </w:rPr>
        <w:t>sw</w:t>
      </w:r>
      <w:r>
        <w:rPr>
          <w:rFonts w:ascii="Times New Roman" w:hAnsi="Times New Roman" w:cs="Times New Roman"/>
          <w:b w:val="0"/>
          <w:i w:val="0"/>
          <w:caps w:val="0"/>
          <w:sz w:val="16"/>
        </w:rPr>
        <w:t xml:space="preserve"> is an assumed input rather than a fitted parameter, so it is scanned differently: it is held at each value and all four parameters are refitted. Shading marks the widths that still meet the 10% tolerance, with the darker band the widths at which the fit is still exact. The switch position moves with the assumed width, so the two should be read together.</w:t>
      </w:r>
    </w:p>
    <w:p>
      <w:pPr>
        <w:sectPr>
          <w:type w:val="continuous"/>
          <w:pgSz w:w="12240" w:h="15840"/>
          <w:pgMar w:top="1080" w:right="900" w:bottom="1440" w:left="900" w:header="720" w:footer="720" w:gutter="0"/>
          <w:cols w:space="360" w:num="1" w:equalWidth="1"/>
          <w:docGrid w:linePitch="360"/>
        </w:sectPr>
      </w:pPr>
    </w:p>
    <w:p>
      <w:pPr>
        <w:spacing w:after="40" w:before="120" w:line="240" w:lineRule="auto"/>
        <w:ind w:firstLine="0"/>
        <w:jc w:val="left"/>
      </w:pPr>
      <w:r>
        <w:rPr>
          <w:rFonts w:ascii="Times New Roman" w:hAnsi="Times New Roman" w:cs="Times New Roman"/>
          <w:b w:val="0"/>
          <w:i/>
          <w:caps w:val="0"/>
          <w:sz w:val="20"/>
        </w:rPr>
        <w:t>B.  The productive MutSβ species is first-order in MSH3</w:t>
      </w:r>
    </w:p>
    <w:p>
      <w:pPr>
        <w:spacing w:after="60" w:before="0" w:line="240" w:lineRule="auto"/>
        <w:ind w:firstLine="288"/>
        <w:jc w:val="both"/>
      </w:pPr>
      <w:r>
        <w:rPr>
          <w:rFonts w:ascii="Times New Roman" w:hAnsi="Times New Roman" w:cs="Times New Roman"/>
          <w:b w:val="0"/>
          <w:i w:val="0"/>
          <w:caps w:val="0"/>
          <w:sz w:val="20"/>
        </w:rPr>
        <w:t xml:space="preserve">If an expansion event needed a tandem assembly of k MutSβ molecules sitting on the same tract, then halving MSH3 would cut the rate by a factor of </w:t>
      </w:r>
      <w:r>
        <w:rPr>
          <w:rFonts w:ascii="Times New Roman" w:hAnsi="Times New Roman" w:cs="Times New Roman"/>
          <w:b w:val="0"/>
          <w:i/>
          <w:caps w:val="0"/>
          <w:sz w:val="20"/>
        </w:rPr>
        <w:t>2</w:t>
      </w:r>
      <w:r>
        <w:rPr>
          <w:rFonts w:ascii="Times New Roman" w:hAnsi="Times New Roman" w:cs="Times New Roman"/>
          <w:b w:val="0"/>
          <w:i/>
          <w:caps w:val="0"/>
          <w:sz w:val="20"/>
          <w:vertAlign w:val="superscript"/>
        </w:rPr>
        <w:t>k</w:t>
      </w:r>
      <w:r>
        <w:rPr>
          <w:rFonts w:ascii="Times New Roman" w:hAnsi="Times New Roman" w:cs="Times New Roman"/>
          <w:b w:val="0"/>
          <w:i w:val="0"/>
          <w:caps w:val="0"/>
          <w:sz w:val="20"/>
        </w:rPr>
        <w:t>, not 2. That is a sharp, testable difference, and there is published data that bears on it.</w:t>
      </w:r>
    </w:p>
    <w:p>
      <w:pPr>
        <w:spacing w:after="60" w:before="0" w:line="240" w:lineRule="auto"/>
        <w:ind w:firstLine="288"/>
        <w:jc w:val="both"/>
      </w:pPr>
      <w:r>
        <w:rPr>
          <w:rFonts w:ascii="Times New Roman" w:hAnsi="Times New Roman" w:cs="Times New Roman"/>
          <w:b w:val="0"/>
          <w:i w:val="0"/>
          <w:caps w:val="0"/>
          <w:sz w:val="20"/>
        </w:rPr>
        <w:t>The argument rests on two measurements, so they come first. At 25% residual MSH3 the measured prevention of striatal expansion is 78.1%; a first-order species predicts 75.0% and a tandem trimer predicts 98.4%. At 59% residual MSH3 the measured prevention is 45.1% against 41.0% for first order. Both points sit close to the first-order line and both are far from the cubic one, and that is the whole of the direct evidence.</w:t>
      </w:r>
    </w:p>
    <w:p>
      <w:pPr>
        <w:spacing w:after="60" w:before="0" w:line="240" w:lineRule="auto"/>
        <w:ind w:firstLine="288"/>
        <w:jc w:val="both"/>
      </w:pPr>
      <w:r>
        <w:rPr>
          <w:rFonts w:ascii="Times New Roman" w:hAnsi="Times New Roman" w:cs="Times New Roman"/>
          <w:b w:val="0"/>
          <w:i w:val="0"/>
          <w:caps w:val="0"/>
          <w:sz w:val="20"/>
        </w:rPr>
        <w:t>Stated as the worst error on either measured point, the non-circular version of the statistic, that is 4.1 percentage points for k = 1, 9.6 for k = 1.5, 20.1 for k = 2 and 34.4 for k = 3 (</w:t>
      </w:r>
      <w:r>
        <w:rPr>
          <w:rFonts w:ascii="Consolas" w:hAnsi="Consolas" w:cs="Consolas"/>
          <w:b w:val="0"/>
          <w:i w:val="0"/>
          <w:caps w:val="0"/>
          <w:sz w:val="20"/>
        </w:rPr>
        <w:t>results/model_comparison_msh3.csv</w:t>
      </w:r>
      <w:r>
        <w:rPr>
          <w:rFonts w:ascii="Times New Roman" w:hAnsi="Times New Roman" w:cs="Times New Roman"/>
          <w:b w:val="0"/>
          <w:i w:val="0"/>
          <w:caps w:val="0"/>
          <w:sz w:val="20"/>
        </w:rPr>
        <w:t>).</w:t>
      </w:r>
    </w:p>
    <w:p>
      <w:pPr>
        <w:spacing w:after="60" w:before="0" w:line="240" w:lineRule="auto"/>
        <w:ind w:firstLine="288"/>
        <w:jc w:val="both"/>
      </w:pPr>
      <w:r>
        <w:rPr>
          <w:rFonts w:ascii="Times New Roman" w:hAnsi="Times New Roman" w:cs="Times New Roman"/>
          <w:b w:val="0"/>
          <w:i w:val="0"/>
          <w:caps w:val="0"/>
          <w:sz w:val="20"/>
        </w:rPr>
        <w:t xml:space="preserve">Scoring the candidate orders instead by root mean square error against the published regression gives 4.97% for k = 1, 18.02% for k = 2 and 26.43% for k = 3 (Fig. 3), which looks like a more decisive margin and is not. The comparator is a straight line fitted through those same two points, only k = 1 is itself a straight line in </w:t>
      </w:r>
      <w:r>
        <w:rPr>
          <w:rFonts w:ascii="Times New Roman" w:hAnsi="Times New Roman" w:cs="Times New Roman"/>
          <w:b w:val="0"/>
          <w:i/>
          <w:caps w:val="0"/>
          <w:sz w:val="20"/>
        </w:rPr>
        <w:t>m</w:t>
      </w:r>
      <w:r>
        <w:rPr>
          <w:rFonts w:ascii="Times New Roman" w:hAnsi="Times New Roman" w:cs="Times New Roman"/>
          <w:b w:val="0"/>
          <w:i w:val="0"/>
          <w:caps w:val="0"/>
          <w:sz w:val="20"/>
        </w:rPr>
        <w:t>, and nineteen of the twenty-one comparison levels are regression values where no measurement exists, all weighted equally. The test asks which curve is most like a line and offers one line, so the margin it reports is partly an artefact of its own construction. It is reported because it is the conventional comparison and because it is at least consistent, not because it settles anything.</w:t>
      </w:r>
    </w:p>
    <w:p>
      <w:pPr>
        <w:spacing w:after="60" w:before="0" w:line="240" w:lineRule="auto"/>
        <w:ind w:firstLine="288"/>
        <w:jc w:val="both"/>
      </w:pPr>
      <w:r>
        <w:rPr>
          <w:rFonts w:ascii="Times New Roman" w:hAnsi="Times New Roman" w:cs="Times New Roman"/>
          <w:b w:val="0"/>
          <w:i w:val="0"/>
          <w:caps w:val="0"/>
          <w:sz w:val="20"/>
        </w:rPr>
        <w:t>What the two real points can carry is a narrower claim than exact first-order behaviour, and that is the claim made here: the dose-response excludes a strongly cooperative productive species. A trimer would have to leave 98% of expansion prevented at the lower dose and it leaves 78%. The two points do prefer k = 1 over k = 1.5, by 4.1 against 9.6 percentage points of worst error, but a regression with R² = 0.65 behind them does not make that margin conclusive, and nothing in this paper depends on it: at the achievable knockdown levels the two orders predict suppression within a few points of each other. The claim carried forward is the one the data support, which is that the productive species is not a cooperative assembly.</w:t>
      </w:r>
    </w:p>
    <w:p>
      <w:pPr>
        <w:spacing w:after="60" w:before="0" w:line="240" w:lineRule="auto"/>
        <w:ind w:firstLine="288"/>
        <w:jc w:val="both"/>
      </w:pPr>
      <w:r>
        <w:rPr>
          <w:rFonts w:ascii="Times New Roman" w:hAnsi="Times New Roman" w:cs="Times New Roman"/>
          <w:b w:val="0"/>
          <w:i w:val="0"/>
          <w:caps w:val="0"/>
          <w:sz w:val="20"/>
        </w:rPr>
        <w:t>This needs to be stated carefully, because it sits in apparent tension with the cryo-EM proposal that the roughly forty-repeat pathogenic threshold is where three or more MutSβ molecules can first bind at once [3]. The two accounts are reconcilable, and the reconciliation is specific: tandem binding may set which substrates are competent, while the rate-limiting productive step still involves a single MutSβ and MutLγ complex acting at one of those sites. Occupancy and catalysis are different questions, and the data here speak to the second.</w:t>
      </w:r>
    </w:p>
    <w:p>
      <w:pPr>
        <w:spacing w:after="60" w:before="0" w:line="240" w:lineRule="auto"/>
        <w:ind w:firstLine="288"/>
        <w:jc w:val="both"/>
      </w:pPr>
      <w:r>
        <w:rPr>
          <w:rFonts w:ascii="Times New Roman" w:hAnsi="Times New Roman" w:cs="Times New Roman"/>
          <w:b w:val="0"/>
          <w:i w:val="0"/>
          <w:caps w:val="0"/>
          <w:sz w:val="20"/>
        </w:rPr>
        <w:t>The practical consequence cuts both ways. There is no cooperative threshold to clear, so even modest MSH3 lowering buys proportional suppression from the first percent. But there is also no cooperative bonus, so near-complete suppression needs near-complete lowering. Everything in the delivery and trial analysis below follows from that one fact.</w:t>
      </w:r>
    </w:p>
    <w:p>
      <w:pPr>
        <w:sectPr>
          <w:type w:val="continuous"/>
          <w:pgSz w:w="12240" w:h="15840"/>
          <w:pgMar w:top="1080" w:right="900" w:bottom="1440" w:left="900" w:header="720" w:footer="720" w:gutter="0"/>
          <w:cols w:space="360" w:num="2" w:equalWidth="1"/>
          <w:docGrid w:linePitch="360"/>
        </w:sectPr>
      </w:pPr>
    </w:p>
    <w:p>
      <w:pPr>
        <w:spacing w:after="40" w:before="0" w:line="240" w:lineRule="auto"/>
        <w:ind w:firstLine="0"/>
        <w:jc w:val="center"/>
      </w:pPr>
      <w:r>
        <w:drawing>
          <wp:inline xmlns:a="http://schemas.openxmlformats.org/drawingml/2006/main" xmlns:pic="http://schemas.openxmlformats.org/drawingml/2006/picture">
            <wp:extent cx="6492240" cy="5803353"/>
            <wp:docPr id="3" name="Picture 3"/>
            <wp:cNvGraphicFramePr>
              <a:graphicFrameLocks noChangeAspect="1"/>
            </wp:cNvGraphicFramePr>
            <a:graphic>
              <a:graphicData uri="http://schemas.openxmlformats.org/drawingml/2006/picture">
                <pic:pic>
                  <pic:nvPicPr>
                    <pic:cNvPr id="0" name="fig2_msh3_order.png"/>
                    <pic:cNvPicPr/>
                  </pic:nvPicPr>
                  <pic:blipFill>
                    <a:blip r:embed="rId11"/>
                    <a:stretch>
                      <a:fillRect/>
                    </a:stretch>
                  </pic:blipFill>
                  <pic:spPr>
                    <a:xfrm>
                      <a:off x="0" y="0"/>
                      <a:ext cx="6492240" cy="5803353"/>
                    </a:xfrm>
                    <a:prstGeom prst="rect"/>
                  </pic:spPr>
                </pic:pic>
              </a:graphicData>
            </a:graphic>
          </wp:inline>
        </w:drawing>
      </w:r>
    </w:p>
    <w:p>
      <w:pPr>
        <w:spacing w:after="160" w:before="0" w:line="240" w:lineRule="auto"/>
        <w:ind w:firstLine="0"/>
        <w:jc w:val="both"/>
      </w:pPr>
      <w:r>
        <w:rPr>
          <w:rFonts w:ascii="Times New Roman" w:hAnsi="Times New Roman" w:cs="Times New Roman"/>
          <w:b w:val="0"/>
          <w:i w:val="0"/>
          <w:caps w:val="0"/>
          <w:sz w:val="16"/>
        </w:rPr>
        <w:t xml:space="preserve">Fig. 3.  </w:t>
      </w:r>
      <w:r>
        <w:rPr>
          <w:rFonts w:ascii="Times New Roman" w:hAnsi="Times New Roman" w:cs="Times New Roman"/>
          <w:b/>
          <w:i w:val="0"/>
          <w:caps w:val="0"/>
          <w:sz w:val="16"/>
        </w:rPr>
        <w:t>Inferring MutSβ stoichiometry from the MSH3 dose-response.</w:t>
      </w:r>
      <w:r>
        <w:rPr>
          <w:rFonts w:ascii="Times New Roman" w:hAnsi="Times New Roman" w:cs="Times New Roman"/>
          <w:b w:val="0"/>
          <w:i w:val="0"/>
          <w:caps w:val="0"/>
          <w:sz w:val="16"/>
        </w:rPr>
        <w:t xml:space="preserve"> The published regression (black) with the two measured intracerebroventricular doses (orange), against model predictions for k = 1, 2 and 3 simultaneously required MutSβ molecules.</w:t>
      </w:r>
    </w:p>
    <w:p>
      <w:pPr>
        <w:sectPr>
          <w:type w:val="continuous"/>
          <w:pgSz w:w="12240" w:h="15840"/>
          <w:pgMar w:top="1080" w:right="900" w:bottom="1440" w:left="900" w:header="720" w:footer="720" w:gutter="0"/>
          <w:cols w:space="360" w:num="1" w:equalWidth="1"/>
          <w:docGrid w:linePitch="360"/>
        </w:sectPr>
      </w:pPr>
    </w:p>
    <w:p>
      <w:pPr>
        <w:spacing w:after="40" w:before="120" w:line="240" w:lineRule="auto"/>
        <w:ind w:firstLine="0"/>
        <w:jc w:val="left"/>
      </w:pPr>
      <w:r>
        <w:rPr>
          <w:rFonts w:ascii="Times New Roman" w:hAnsi="Times New Roman" w:cs="Times New Roman"/>
          <w:b w:val="0"/>
          <w:i/>
          <w:caps w:val="0"/>
          <w:sz w:val="20"/>
        </w:rPr>
        <w:t>C.  Two held-out observations are matched cleanly, and the three misses are each informative</w:t>
      </w:r>
    </w:p>
    <w:p>
      <w:pPr>
        <w:spacing w:after="60" w:before="0" w:line="240" w:lineRule="auto"/>
        <w:ind w:firstLine="288"/>
        <w:jc w:val="both"/>
      </w:pPr>
      <w:r>
        <w:rPr>
          <w:rFonts w:ascii="Times New Roman" w:hAnsi="Times New Roman" w:cs="Times New Roman"/>
          <w:b w:val="0"/>
          <w:i w:val="0"/>
          <w:caps w:val="0"/>
          <w:sz w:val="20"/>
        </w:rPr>
        <w:t>Simulating 20,000 independent projection neurons carrying 42 repeats, with no parameter tuned to any of the quantities below (</w:t>
      </w:r>
      <w:r>
        <w:rPr>
          <w:rFonts w:ascii="Consolas" w:hAnsi="Consolas" w:cs="Consolas"/>
          <w:b w:val="0"/>
          <w:i w:val="0"/>
          <w:caps w:val="0"/>
          <w:sz w:val="20"/>
        </w:rPr>
        <w:t>results/population_validation.csv</w:t>
      </w:r>
      <w:r>
        <w:rPr>
          <w:rFonts w:ascii="Times New Roman" w:hAnsi="Times New Roman" w:cs="Times New Roman"/>
          <w:b w:val="0"/>
          <w:i w:val="0"/>
          <w:caps w:val="0"/>
          <w:sz w:val="20"/>
        </w:rPr>
        <w:t>):</w:t>
      </w:r>
    </w:p>
    <w:p>
      <w:pPr>
        <w:sectPr>
          <w:type w:val="continuous"/>
          <w:pgSz w:w="12240" w:h="15840"/>
          <w:pgMar w:top="1080" w:right="900" w:bottom="1440" w:left="900" w:header="720" w:footer="720" w:gutter="0"/>
          <w:cols w:space="360" w:num="2" w:equalWidth="1"/>
          <w:docGrid w:linePitch="360"/>
        </w:sectPr>
      </w:pPr>
    </w:p>
    <w:p>
      <w:pPr>
        <w:spacing w:after="20" w:before="120" w:line="240" w:lineRule="auto"/>
        <w:ind w:firstLine="0"/>
        <w:jc w:val="center"/>
      </w:pPr>
      <w:r>
        <w:rPr>
          <w:rFonts w:ascii="Times New Roman" w:hAnsi="Times New Roman" w:cs="Times New Roman"/>
          <w:b w:val="0"/>
          <w:i w:val="0"/>
          <w:caps w:val="0"/>
          <w:sz w:val="16"/>
        </w:rPr>
        <w:t>TABLE IV</w:t>
      </w:r>
    </w:p>
    <w:p>
      <w:pPr>
        <w:spacing w:after="60" w:before="0" w:line="240" w:lineRule="auto"/>
        <w:ind w:firstLine="0"/>
        <w:jc w:val="center"/>
      </w:pPr>
      <w:r>
        <w:rPr>
          <w:rFonts w:ascii="Times New Roman" w:hAnsi="Times New Roman" w:cs="Times New Roman"/>
          <w:b w:val="0"/>
          <w:i w:val="0"/>
          <w:caps/>
          <w:sz w:val="16"/>
        </w:rPr>
        <w:t>Held-out observations, none of which was used in calibration, against the calibrated population model. Three rows match, one overshoots and one fails.</w:t>
      </w:r>
    </w:p>
    <w:tbl>
      <w:tblPr>
        <w:tblStyle w:val="TableGrid"/>
        <w:tblW w:type="auto" w:w="0"/>
        <w:jc w:val="center"/>
        <w:tblLook w:firstColumn="1" w:firstRow="1" w:lastColumn="0" w:lastRow="0" w:noHBand="0" w:noVBand="1" w:val="04A0"/>
      </w:tblPr>
      <w:tblGrid>
        <w:gridCol w:w="3480"/>
        <w:gridCol w:w="3480"/>
        <w:gridCol w:w="3480"/>
      </w:tblGrid>
      <w:tr>
        <w:tc>
          <w:tcPr>
            <w:tcW w:type="dxa" w:w="3480"/>
          </w:tcPr>
          <w:p>
            <w:pPr>
              <w:spacing w:after="0"/>
            </w:pPr>
            <w:r/>
            <w:r>
              <w:rPr>
                <w:rFonts w:ascii="Times New Roman" w:hAnsi="Times New Roman" w:cs="Times New Roman"/>
                <w:b/>
                <w:i w:val="0"/>
                <w:caps w:val="0"/>
                <w:sz w:val="16"/>
              </w:rPr>
              <w:t>Held-out observation</w:t>
            </w:r>
          </w:p>
        </w:tc>
        <w:tc>
          <w:tcPr>
            <w:tcW w:type="dxa" w:w="3480"/>
          </w:tcPr>
          <w:p>
            <w:pPr>
              <w:spacing w:after="0"/>
            </w:pPr>
            <w:r/>
            <w:r>
              <w:rPr>
                <w:rFonts w:ascii="Times New Roman" w:hAnsi="Times New Roman" w:cs="Times New Roman"/>
                <w:b/>
                <w:i w:val="0"/>
                <w:caps w:val="0"/>
                <w:sz w:val="16"/>
              </w:rPr>
              <w:t>Published</w:t>
            </w:r>
          </w:p>
        </w:tc>
        <w:tc>
          <w:tcPr>
            <w:tcW w:type="dxa" w:w="3480"/>
          </w:tcPr>
          <w:p>
            <w:pPr>
              <w:spacing w:after="0"/>
            </w:pPr>
            <w:r/>
            <w:r>
              <w:rPr>
                <w:rFonts w:ascii="Times New Roman" w:hAnsi="Times New Roman" w:cs="Times New Roman"/>
                <w:b/>
                <w:i w:val="0"/>
                <w:caps w:val="0"/>
                <w:sz w:val="16"/>
              </w:rPr>
              <w:t>Model</w:t>
            </w:r>
          </w:p>
        </w:tc>
      </w:tr>
      <w:tr>
        <w:tc>
          <w:tcPr>
            <w:tcW w:type="dxa" w:w="3480"/>
          </w:tcPr>
          <w:p>
            <w:pPr>
              <w:spacing w:after="0"/>
            </w:pPr>
            <w:r>
              <w:rPr>
                <w:rFonts w:ascii="Times New Roman" w:hAnsi="Times New Roman" w:cs="Times New Roman"/>
                <w:b w:val="0"/>
                <w:i w:val="0"/>
                <w:caps w:val="0"/>
                <w:sz w:val="16"/>
              </w:rPr>
              <w:t>Neurons expanding beyond the inherited length</w:t>
            </w:r>
          </w:p>
        </w:tc>
        <w:tc>
          <w:tcPr>
            <w:tcW w:type="dxa" w:w="3480"/>
          </w:tcPr>
          <w:p>
            <w:pPr>
              <w:spacing w:after="0"/>
            </w:pPr>
            <w:r>
              <w:rPr>
                <w:rFonts w:ascii="Times New Roman" w:hAnsi="Times New Roman" w:cs="Times New Roman"/>
                <w:b w:val="0"/>
                <w:i w:val="0"/>
                <w:caps w:val="0"/>
                <w:sz w:val="16"/>
              </w:rPr>
              <w:t>95 to 98%</w:t>
            </w:r>
          </w:p>
        </w:tc>
        <w:tc>
          <w:tcPr>
            <w:tcW w:type="dxa" w:w="3480"/>
          </w:tcPr>
          <w:p>
            <w:pPr>
              <w:spacing w:after="0"/>
            </w:pPr>
            <w:r>
              <w:rPr>
                <w:rFonts w:ascii="Times New Roman" w:hAnsi="Times New Roman" w:cs="Times New Roman"/>
                <w:b w:val="0"/>
                <w:i w:val="0"/>
                <w:caps w:val="0"/>
                <w:sz w:val="16"/>
              </w:rPr>
              <w:t>99.9%</w:t>
            </w:r>
          </w:p>
        </w:tc>
      </w:tr>
      <w:tr>
        <w:tc>
          <w:tcPr>
            <w:tcW w:type="dxa" w:w="3480"/>
          </w:tcPr>
          <w:p>
            <w:pPr>
              <w:spacing w:after="0"/>
            </w:pPr>
            <w:r>
              <w:rPr>
                <w:rFonts w:ascii="Times New Roman" w:hAnsi="Times New Roman" w:cs="Times New Roman"/>
                <w:b w:val="0"/>
                <w:i w:val="0"/>
                <w:caps w:val="0"/>
                <w:sz w:val="16"/>
              </w:rPr>
              <w:t>Fraction of neuronal life spent between 42 and 150 repeats</w:t>
            </w:r>
          </w:p>
        </w:tc>
        <w:tc>
          <w:tcPr>
            <w:tcW w:type="dxa" w:w="3480"/>
          </w:tcPr>
          <w:p>
            <w:pPr>
              <w:spacing w:after="0"/>
            </w:pPr>
            <w:r>
              <w:rPr>
                <w:rFonts w:ascii="Times New Roman" w:hAnsi="Times New Roman" w:cs="Times New Roman"/>
                <w:b w:val="0"/>
                <w:i w:val="0"/>
                <w:caps w:val="0"/>
                <w:sz w:val="16"/>
              </w:rPr>
              <w:t>96.4% (SD 2.0)</w:t>
            </w:r>
          </w:p>
        </w:tc>
        <w:tc>
          <w:tcPr>
            <w:tcW w:type="dxa" w:w="3480"/>
          </w:tcPr>
          <w:p>
            <w:pPr>
              <w:spacing w:after="0"/>
            </w:pPr>
            <w:r>
              <w:rPr>
                <w:rFonts w:ascii="Times New Roman" w:hAnsi="Times New Roman" w:cs="Times New Roman"/>
                <w:b w:val="0"/>
                <w:i w:val="0"/>
                <w:caps w:val="0"/>
                <w:sz w:val="16"/>
              </w:rPr>
              <w:t>97.5%</w:t>
            </w:r>
          </w:p>
        </w:tc>
      </w:tr>
      <w:tr>
        <w:tc>
          <w:tcPr>
            <w:tcW w:type="dxa" w:w="3480"/>
          </w:tcPr>
          <w:p>
            <w:pPr>
              <w:spacing w:after="0"/>
            </w:pPr>
            <w:r>
              <w:rPr>
                <w:rFonts w:ascii="Times New Roman" w:hAnsi="Times New Roman" w:cs="Times New Roman"/>
                <w:b w:val="0"/>
                <w:i w:val="0"/>
                <w:caps w:val="0"/>
                <w:sz w:val="16"/>
              </w:rPr>
              <w:t>Time from 150 repeats to elimination</w:t>
            </w:r>
          </w:p>
        </w:tc>
        <w:tc>
          <w:tcPr>
            <w:tcW w:type="dxa" w:w="3480"/>
          </w:tcPr>
          <w:p>
            <w:pPr>
              <w:spacing w:after="0"/>
            </w:pPr>
            <w:r>
              <w:rPr>
                <w:rFonts w:ascii="Times New Roman" w:hAnsi="Times New Roman" w:cs="Times New Roman"/>
                <w:b w:val="0"/>
                <w:i w:val="0"/>
                <w:caps w:val="0"/>
                <w:sz w:val="16"/>
              </w:rPr>
              <w:t>months, not decades</w:t>
            </w:r>
          </w:p>
        </w:tc>
        <w:tc>
          <w:tcPr>
            <w:tcW w:type="dxa" w:w="3480"/>
          </w:tcPr>
          <w:p>
            <w:pPr>
              <w:spacing w:after="0"/>
            </w:pPr>
            <w:r>
              <w:rPr>
                <w:rFonts w:ascii="Times New Roman" w:hAnsi="Times New Roman" w:cs="Times New Roman"/>
                <w:b w:val="0"/>
                <w:i w:val="0"/>
                <w:caps w:val="0"/>
                <w:sz w:val="16"/>
              </w:rPr>
              <w:t>20 months (median)</w:t>
            </w:r>
          </w:p>
        </w:tc>
      </w:tr>
      <w:tr>
        <w:tc>
          <w:tcPr>
            <w:tcW w:type="dxa" w:w="3480"/>
          </w:tcPr>
          <w:p>
            <w:pPr>
              <w:spacing w:after="0"/>
            </w:pPr>
            <w:r>
              <w:rPr>
                <w:rFonts w:ascii="Times New Roman" w:hAnsi="Times New Roman" w:cs="Times New Roman"/>
                <w:b w:val="0"/>
                <w:i w:val="0"/>
                <w:caps w:val="0"/>
                <w:sz w:val="16"/>
              </w:rPr>
              <w:t>Terminal tract lengths</w:t>
            </w:r>
          </w:p>
        </w:tc>
        <w:tc>
          <w:tcPr>
            <w:tcW w:type="dxa" w:w="3480"/>
          </w:tcPr>
          <w:p>
            <w:pPr>
              <w:spacing w:after="0"/>
            </w:pPr>
            <w:r>
              <w:rPr>
                <w:rFonts w:ascii="Times New Roman" w:hAnsi="Times New Roman" w:cs="Times New Roman"/>
                <w:b w:val="0"/>
                <w:i w:val="0"/>
                <w:caps w:val="0"/>
                <w:sz w:val="16"/>
              </w:rPr>
              <w:t>100 to over 500, maximum 842</w:t>
            </w:r>
          </w:p>
        </w:tc>
        <w:tc>
          <w:tcPr>
            <w:tcW w:type="dxa" w:w="3480"/>
          </w:tcPr>
          <w:p>
            <w:pPr>
              <w:spacing w:after="0"/>
            </w:pPr>
            <w:r>
              <w:rPr>
                <w:rFonts w:ascii="Times New Roman" w:hAnsi="Times New Roman" w:cs="Times New Roman"/>
                <w:b w:val="0"/>
                <w:i w:val="0"/>
                <w:caps w:val="0"/>
                <w:sz w:val="16"/>
              </w:rPr>
              <w:t>median 236, 97.5th percentile 375</w:t>
            </w:r>
          </w:p>
        </w:tc>
      </w:tr>
      <w:tr>
        <w:tc>
          <w:tcPr>
            <w:tcW w:type="dxa" w:w="3480"/>
          </w:tcPr>
          <w:p>
            <w:pPr>
              <w:spacing w:after="0"/>
            </w:pPr>
            <w:r>
              <w:rPr>
                <w:rFonts w:ascii="Times New Roman" w:hAnsi="Times New Roman" w:cs="Times New Roman"/>
                <w:b w:val="0"/>
                <w:i w:val="0"/>
                <w:caps w:val="0"/>
                <w:sz w:val="16"/>
              </w:rPr>
              <w:t>Neuron loss at CAP = 600</w:t>
            </w:r>
          </w:p>
        </w:tc>
        <w:tc>
          <w:tcPr>
            <w:tcW w:type="dxa" w:w="3480"/>
          </w:tcPr>
          <w:p>
            <w:pPr>
              <w:spacing w:after="0"/>
            </w:pPr>
            <w:r>
              <w:rPr>
                <w:rFonts w:ascii="Times New Roman" w:hAnsi="Times New Roman" w:cs="Times New Roman"/>
                <w:b w:val="0"/>
                <w:i w:val="0"/>
                <w:caps w:val="0"/>
                <w:sz w:val="16"/>
              </w:rPr>
              <w:t>80 to 99%</w:t>
            </w:r>
          </w:p>
        </w:tc>
        <w:tc>
          <w:tcPr>
            <w:tcW w:type="dxa" w:w="3480"/>
          </w:tcPr>
          <w:p>
            <w:pPr>
              <w:spacing w:after="0"/>
            </w:pPr>
            <w:r>
              <w:rPr>
                <w:rFonts w:ascii="Times New Roman" w:hAnsi="Times New Roman" w:cs="Times New Roman"/>
                <w:b/>
                <w:i w:val="0"/>
                <w:caps w:val="0"/>
                <w:sz w:val="16"/>
              </w:rPr>
              <w:t>43.5%</w:t>
            </w:r>
          </w:p>
        </w:tc>
      </w:tr>
    </w:tbl>
    <w:p>
      <w:pPr>
        <w:spacing w:after="120" w:before="0" w:line="240" w:lineRule="auto"/>
        <w:ind w:firstLine="0"/>
        <w:jc w:val="both"/>
      </w:pPr>
    </w:p>
    <w:p>
      <w:pPr>
        <w:sectPr>
          <w:type w:val="continuous"/>
          <w:pgSz w:w="12240" w:h="15840"/>
          <w:pgMar w:top="1080" w:right="900" w:bottom="1440" w:left="900" w:header="720" w:footer="720" w:gutter="0"/>
          <w:cols w:space="360" w:num="1" w:equalWidth="1"/>
          <w:docGrid w:linePitch="360"/>
        </w:sectPr>
      </w:pPr>
    </w:p>
    <w:p>
      <w:pPr>
        <w:spacing w:after="60" w:before="0" w:line="240" w:lineRule="auto"/>
        <w:ind w:firstLine="288"/>
        <w:jc w:val="both"/>
      </w:pPr>
      <w:r>
        <w:rPr>
          <w:rFonts w:ascii="Times New Roman" w:hAnsi="Times New Roman" w:cs="Times New Roman"/>
          <w:b w:val="0"/>
          <w:i w:val="0"/>
          <w:caps w:val="0"/>
          <w:sz w:val="20"/>
        </w:rPr>
        <w:t>Two rows match cleanly, the second and the third. Of the remaining three, one overshoots, one matches its centre but not its tail, and one fails outright, and all three are worth looking at rather than rounding up.</w:t>
      </w:r>
    </w:p>
    <w:p>
      <w:pPr>
        <w:spacing w:after="60" w:before="0" w:line="240" w:lineRule="auto"/>
        <w:ind w:firstLine="288"/>
        <w:jc w:val="both"/>
      </w:pPr>
      <w:r>
        <w:rPr>
          <w:rFonts w:ascii="Times New Roman" w:hAnsi="Times New Roman" w:cs="Times New Roman"/>
          <w:b w:val="0"/>
          <w:i w:val="0"/>
          <w:caps w:val="0"/>
          <w:sz w:val="20"/>
        </w:rPr>
        <w:t>The first row is the overshoot, and the prose should not call it a pass: the model has 99.9% of neurons expanding beyond their inherited length where 95 to 98% is reported, which is outside the published range even though it is in the right place qualitatively. The cause is the same conservative choice of step distribution discussed in Section II-B, in a different guise. With no mechanism in the model that holds a tract completely static over decades, essentially every neuron eventually gains at least one repeat, whereas a real population evidently contains a small fraction that does not. Two to five percent of neurons being somehow protected is a real observation and the model does not reproduce it. It does not affect anything downstream, since those neurons are a few percent of a population whose fate is decided by the ones that do expand, but it is a miss rather than a match.</w:t>
      </w:r>
    </w:p>
    <w:p>
      <w:pPr>
        <w:spacing w:after="60" w:before="0" w:line="240" w:lineRule="auto"/>
        <w:ind w:firstLine="288"/>
        <w:jc w:val="both"/>
      </w:pPr>
      <w:r>
        <w:rPr>
          <w:rFonts w:ascii="Times New Roman" w:hAnsi="Times New Roman" w:cs="Times New Roman"/>
          <w:b w:val="0"/>
          <w:i w:val="0"/>
          <w:caps w:val="0"/>
          <w:sz w:val="20"/>
        </w:rPr>
        <w:t>The terminal length distribution is the partial match. Its centre is right, with a median of 236 repeats sitting inside the observed 100 to over 500, but its upper tail stops at 375 where lengths beyond 500 are reported. That is expected and has a known cause, since the simulation caps tract length at 1,000 repeats and uses a step size that does not grow with length. A length-dependent step would stretch the tail without changing anything upstream, and it was tried and discarded during calibration because it made the kinetic fit worse rather than better.</w:t>
      </w:r>
    </w:p>
    <w:p>
      <w:pPr>
        <w:spacing w:after="60" w:before="0" w:line="240" w:lineRule="auto"/>
        <w:ind w:firstLine="288"/>
        <w:jc w:val="both"/>
      </w:pPr>
      <w:r>
        <w:rPr>
          <w:rFonts w:ascii="Times New Roman" w:hAnsi="Times New Roman" w:cs="Times New Roman"/>
          <w:b w:val="0"/>
          <w:i w:val="0"/>
          <w:caps w:val="0"/>
          <w:sz w:val="20"/>
        </w:rPr>
        <w:t>The last row is the outright failure and the serious one, and Section III-D and Section III-E are about chasing it down rather than explaining it away.</w:t>
      </w:r>
    </w:p>
    <w:p>
      <w:pPr>
        <w:sectPr>
          <w:type w:val="continuous"/>
          <w:pgSz w:w="12240" w:h="15840"/>
          <w:pgMar w:top="1080" w:right="900" w:bottom="1440" w:left="900" w:header="720" w:footer="720" w:gutter="0"/>
          <w:cols w:space="360" w:num="2" w:equalWidth="1"/>
          <w:docGrid w:linePitch="360"/>
        </w:sectPr>
      </w:pPr>
    </w:p>
    <w:p>
      <w:pPr>
        <w:spacing w:after="40" w:before="0" w:line="240" w:lineRule="auto"/>
        <w:ind w:firstLine="0"/>
        <w:jc w:val="center"/>
      </w:pPr>
      <w:r>
        <w:drawing>
          <wp:inline xmlns:a="http://schemas.openxmlformats.org/drawingml/2006/main" xmlns:pic="http://schemas.openxmlformats.org/drawingml/2006/picture">
            <wp:extent cx="6492240" cy="2317344"/>
            <wp:docPr id="4" name="Picture 4"/>
            <wp:cNvGraphicFramePr>
              <a:graphicFrameLocks noChangeAspect="1"/>
            </wp:cNvGraphicFramePr>
            <a:graphic>
              <a:graphicData uri="http://schemas.openxmlformats.org/drawingml/2006/picture">
                <pic:pic>
                  <pic:nvPicPr>
                    <pic:cNvPr id="0" name="fig3_population.png"/>
                    <pic:cNvPicPr/>
                  </pic:nvPicPr>
                  <pic:blipFill>
                    <a:blip r:embed="rId12"/>
                    <a:stretch>
                      <a:fillRect/>
                    </a:stretch>
                  </pic:blipFill>
                  <pic:spPr>
                    <a:xfrm>
                      <a:off x="0" y="0"/>
                      <a:ext cx="6492240" cy="2317344"/>
                    </a:xfrm>
                    <a:prstGeom prst="rect"/>
                  </pic:spPr>
                </pic:pic>
              </a:graphicData>
            </a:graphic>
          </wp:inline>
        </w:drawing>
      </w:r>
    </w:p>
    <w:p>
      <w:pPr>
        <w:spacing w:after="160" w:before="0" w:line="240" w:lineRule="auto"/>
        <w:ind w:firstLine="0"/>
        <w:jc w:val="both"/>
      </w:pPr>
      <w:r>
        <w:rPr>
          <w:rFonts w:ascii="Times New Roman" w:hAnsi="Times New Roman" w:cs="Times New Roman"/>
          <w:b w:val="0"/>
          <w:i w:val="0"/>
          <w:caps w:val="0"/>
          <w:sz w:val="16"/>
        </w:rPr>
        <w:t xml:space="preserve">Fig. 4.  </w:t>
      </w:r>
      <w:r>
        <w:rPr>
          <w:rFonts w:ascii="Times New Roman" w:hAnsi="Times New Roman" w:cs="Times New Roman"/>
          <w:b/>
          <w:i w:val="0"/>
          <w:caps w:val="0"/>
          <w:sz w:val="16"/>
        </w:rPr>
        <w:t>Simulated neuron populations.</w:t>
      </w:r>
      <w:r>
        <w:rPr>
          <w:rFonts w:ascii="Times New Roman" w:hAnsi="Times New Roman" w:cs="Times New Roman"/>
          <w:b w:val="0"/>
          <w:i w:val="0"/>
          <w:caps w:val="0"/>
          <w:sz w:val="16"/>
        </w:rPr>
        <w:t xml:space="preserve"> (A) Survival curves by inherited CAG length. (B) Model age at 50% loss against an external clinical regression. (C) Distribution of terminal tract lengths for a 42-repeat allele.</w:t>
      </w:r>
    </w:p>
    <w:p>
      <w:pPr>
        <w:sectPr>
          <w:type w:val="continuous"/>
          <w:pgSz w:w="12240" w:h="15840"/>
          <w:pgMar w:top="1080" w:right="900" w:bottom="1440" w:left="900" w:header="720" w:footer="720" w:gutter="0"/>
          <w:cols w:space="360" w:num="1" w:equalWidth="1"/>
          <w:docGrid w:linePitch="360"/>
        </w:sectPr>
      </w:pPr>
    </w:p>
    <w:p>
      <w:pPr>
        <w:spacing w:after="40" w:before="120" w:line="240" w:lineRule="auto"/>
        <w:ind w:firstLine="0"/>
        <w:jc w:val="left"/>
      </w:pPr>
      <w:r>
        <w:rPr>
          <w:rFonts w:ascii="Times New Roman" w:hAnsi="Times New Roman" w:cs="Times New Roman"/>
          <w:b w:val="0"/>
          <w:i/>
          <w:caps w:val="0"/>
          <w:sz w:val="20"/>
        </w:rPr>
        <w:t>D.  Accelerating neuron death does not close the gap</w:t>
      </w:r>
    </w:p>
    <w:p>
      <w:pPr>
        <w:spacing w:after="60" w:before="0" w:line="240" w:lineRule="auto"/>
        <w:ind w:firstLine="288"/>
        <w:jc w:val="both"/>
      </w:pPr>
      <w:r>
        <w:rPr>
          <w:rFonts w:ascii="Times New Roman" w:hAnsi="Times New Roman" w:cs="Times New Roman"/>
          <w:b w:val="0"/>
          <w:i w:val="0"/>
          <w:caps w:val="0"/>
          <w:sz w:val="20"/>
        </w:rPr>
        <w:t>Donors with CAP scores above 600 are reported to have lost 80 to 99% of their projection neurons [1]. The model loses 43%. That is not a small discrepancy and it deserves a real attempt at explanation.</w:t>
      </w:r>
    </w:p>
    <w:p>
      <w:pPr>
        <w:spacing w:after="60" w:before="0" w:line="240" w:lineRule="auto"/>
        <w:ind w:firstLine="288"/>
        <w:jc w:val="both"/>
      </w:pPr>
      <w:r>
        <w:rPr>
          <w:rFonts w:ascii="Times New Roman" w:hAnsi="Times New Roman" w:cs="Times New Roman"/>
          <w:b w:val="0"/>
          <w:i w:val="0"/>
          <w:caps w:val="0"/>
          <w:sz w:val="20"/>
        </w:rPr>
        <w:t xml:space="preserve">The obvious candidate is that striatal degeneration is not purely cell-autonomous, and that losing neurons makes the survivors more vulnerable. The network is losing inhibitory tone, trophic support and glutamate buffering as it thins, so a late avalanche is biologically plausible. This was tested directly, by multiplying every survivor's elimination hazard by (1 + </w:t>
      </w:r>
      <w:r>
        <w:rPr>
          <w:rFonts w:ascii="Times New Roman" w:hAnsi="Times New Roman" w:cs="Times New Roman"/>
          <w:b w:val="0"/>
          <w:i/>
          <w:caps w:val="0"/>
          <w:sz w:val="20"/>
        </w:rPr>
        <w:t>k</w:t>
      </w:r>
      <w:r>
        <w:rPr>
          <w:rFonts w:ascii="Times New Roman" w:hAnsi="Times New Roman" w:cs="Times New Roman"/>
          <w:b w:val="0"/>
          <w:i/>
          <w:caps w:val="0"/>
          <w:sz w:val="20"/>
          <w:vertAlign w:val="subscript"/>
        </w:rPr>
        <w:t>nca</w:t>
      </w:r>
      <w:r>
        <w:rPr>
          <w:rFonts w:ascii="Times New Roman" w:hAnsi="Times New Roman" w:cs="Times New Roman"/>
          <w:b w:val="0"/>
          <w:i w:val="0"/>
          <w:caps w:val="0"/>
          <w:sz w:val="20"/>
        </w:rPr>
        <w:t xml:space="preserve"> · </w:t>
      </w:r>
      <w:r>
        <w:rPr>
          <w:rFonts w:ascii="Times New Roman" w:hAnsi="Times New Roman" w:cs="Times New Roman"/>
          <w:b w:val="0"/>
          <w:i/>
          <w:caps w:val="0"/>
          <w:sz w:val="20"/>
        </w:rPr>
        <w:t>f</w:t>
      </w:r>
      <w:r>
        <w:rPr>
          <w:rFonts w:ascii="Times New Roman" w:hAnsi="Times New Roman" w:cs="Times New Roman"/>
          <w:b w:val="0"/>
          <w:i/>
          <w:caps w:val="0"/>
          <w:sz w:val="20"/>
          <w:vertAlign w:val="subscript"/>
        </w:rPr>
        <w:t>lost</w:t>
      </w:r>
      <w:r>
        <w:rPr>
          <w:rFonts w:ascii="Times New Roman" w:hAnsi="Times New Roman" w:cs="Times New Roman"/>
          <w:b w:val="0"/>
          <w:i w:val="0"/>
          <w:caps w:val="0"/>
          <w:sz w:val="20"/>
        </w:rPr>
        <w:t>) and scanning the coupling constant from zero to forty.</w:t>
      </w:r>
    </w:p>
    <w:p>
      <w:pPr>
        <w:spacing w:after="60" w:before="0" w:line="240" w:lineRule="auto"/>
        <w:ind w:firstLine="288"/>
        <w:jc w:val="both"/>
      </w:pPr>
      <w:r>
        <w:rPr>
          <w:rFonts w:ascii="Times New Roman" w:hAnsi="Times New Roman" w:cs="Times New Roman"/>
          <w:b w:val="0"/>
          <w:i w:val="0"/>
          <w:caps w:val="0"/>
          <w:sz w:val="20"/>
        </w:rPr>
        <w:t xml:space="preserve">It does essentially nothing. Mean loss at CAP 600 moves from 43.3% to 45.8% across the entire range (Fig. 5B; </w:t>
      </w:r>
      <w:r>
        <w:rPr>
          <w:rFonts w:ascii="Consolas" w:hAnsi="Consolas" w:cs="Consolas"/>
          <w:b w:val="0"/>
          <w:i w:val="0"/>
          <w:caps w:val="0"/>
          <w:sz w:val="20"/>
        </w:rPr>
        <w:t>results/knca_fit.csv</w:t>
      </w:r>
      <w:r>
        <w:rPr>
          <w:rFonts w:ascii="Times New Roman" w:hAnsi="Times New Roman" w:cs="Times New Roman"/>
          <w:b w:val="0"/>
          <w:i w:val="0"/>
          <w:caps w:val="0"/>
          <w:sz w:val="20"/>
        </w:rPr>
        <w:t>), and the reported range is never reached at any value. Pushing the coupling higher does not help either, because the mechanism is saturating against a hard structural constraint.</w:t>
      </w:r>
    </w:p>
    <w:p>
      <w:pPr>
        <w:spacing w:after="60" w:before="0" w:line="240" w:lineRule="auto"/>
        <w:ind w:firstLine="288"/>
        <w:jc w:val="both"/>
      </w:pPr>
      <w:r>
        <w:rPr>
          <w:rFonts w:ascii="Times New Roman" w:hAnsi="Times New Roman" w:cs="Times New Roman"/>
          <w:b w:val="0"/>
          <w:i w:val="0"/>
          <w:caps w:val="0"/>
          <w:sz w:val="20"/>
        </w:rPr>
        <w:t>The reason is the clearest mechanistic statement this model makes. Once a neuron crosses 150 repeats it is dead within about twenty months. The time spent waiting to reach that threshold is 97.5% of its life. Anything that acts after threshold is operating on the last 2.5% of the timeline, so it has almost no leverage on when the striatum is lost. Multiply the terminal hazard by forty and you shorten twenty months to a few weeks, which is invisible against five decades of waiting.</w:t>
      </w:r>
    </w:p>
    <w:p>
      <w:pPr>
        <w:spacing w:after="60" w:before="0" w:line="240" w:lineRule="auto"/>
        <w:ind w:firstLine="288"/>
        <w:jc w:val="both"/>
      </w:pPr>
      <w:r>
        <w:rPr>
          <w:rFonts w:ascii="Times New Roman" w:hAnsi="Times New Roman" w:cs="Times New Roman"/>
          <w:b w:val="0"/>
          <w:i w:val="0"/>
          <w:caps w:val="0"/>
          <w:sz w:val="20"/>
        </w:rPr>
        <w:t>The same arithmetic applies to therapy, and that is why the delivery analysis matters as much as it does. There is no late rescue available in this model, for pathology or for treatment. Everything happens before the threshold or not at all.</w:t>
      </w:r>
    </w:p>
    <w:p>
      <w:pPr>
        <w:sectPr>
          <w:type w:val="continuous"/>
          <w:pgSz w:w="12240" w:h="15840"/>
          <w:pgMar w:top="1080" w:right="900" w:bottom="1440" w:left="900" w:header="720" w:footer="720" w:gutter="0"/>
          <w:cols w:space="360" w:num="2" w:equalWidth="1"/>
          <w:docGrid w:linePitch="360"/>
        </w:sectPr>
      </w:pPr>
    </w:p>
    <w:p>
      <w:pPr>
        <w:spacing w:after="40" w:before="0" w:line="240" w:lineRule="auto"/>
        <w:ind w:firstLine="0"/>
        <w:jc w:val="center"/>
      </w:pPr>
      <w:r>
        <w:drawing>
          <wp:inline xmlns:a="http://schemas.openxmlformats.org/drawingml/2006/main" xmlns:pic="http://schemas.openxmlformats.org/drawingml/2006/picture">
            <wp:extent cx="6492240" cy="2459325"/>
            <wp:docPr id="5" name="Picture 5"/>
            <wp:cNvGraphicFramePr>
              <a:graphicFrameLocks noChangeAspect="1"/>
            </wp:cNvGraphicFramePr>
            <a:graphic>
              <a:graphicData uri="http://schemas.openxmlformats.org/drawingml/2006/picture">
                <pic:pic>
                  <pic:nvPicPr>
                    <pic:cNvPr id="0" name="fig4_coupling.png"/>
                    <pic:cNvPicPr/>
                  </pic:nvPicPr>
                  <pic:blipFill>
                    <a:blip r:embed="rId13"/>
                    <a:stretch>
                      <a:fillRect/>
                    </a:stretch>
                  </pic:blipFill>
                  <pic:spPr>
                    <a:xfrm>
                      <a:off x="0" y="0"/>
                      <a:ext cx="6492240" cy="2459325"/>
                    </a:xfrm>
                    <a:prstGeom prst="rect"/>
                  </pic:spPr>
                </pic:pic>
              </a:graphicData>
            </a:graphic>
          </wp:inline>
        </w:drawing>
      </w:r>
    </w:p>
    <w:p>
      <w:pPr>
        <w:spacing w:after="160" w:before="0" w:line="240" w:lineRule="auto"/>
        <w:ind w:firstLine="0"/>
        <w:jc w:val="both"/>
      </w:pPr>
      <w:r>
        <w:rPr>
          <w:rFonts w:ascii="Times New Roman" w:hAnsi="Times New Roman" w:cs="Times New Roman"/>
          <w:b w:val="0"/>
          <w:i w:val="0"/>
          <w:caps w:val="0"/>
          <w:sz w:val="16"/>
        </w:rPr>
        <w:t xml:space="preserve">Fig. 5.  </w:t>
      </w:r>
      <w:r>
        <w:rPr>
          <w:rFonts w:ascii="Times New Roman" w:hAnsi="Times New Roman" w:cs="Times New Roman"/>
          <w:b/>
          <w:i w:val="0"/>
          <w:caps w:val="0"/>
          <w:sz w:val="16"/>
        </w:rPr>
        <w:t>Testing non-cell-autonomous acceleration.</w:t>
      </w:r>
      <w:r>
        <w:rPr>
          <w:rFonts w:ascii="Times New Roman" w:hAnsi="Times New Roman" w:cs="Times New Roman"/>
          <w:b w:val="0"/>
          <w:i w:val="0"/>
          <w:caps w:val="0"/>
          <w:sz w:val="16"/>
        </w:rPr>
        <w:t xml:space="preserve"> (A) Survival with (solid) and without (dashed) coupling; triangles mark the age at CAP 600. (B) Mean neuron loss at CAP 600 against the coupling constant, with the reported range shaded. It is never reached. (C) Model ages at 25% and 50% loss against the external onset regression.</w:t>
      </w:r>
    </w:p>
    <w:p>
      <w:pPr>
        <w:sectPr>
          <w:type w:val="continuous"/>
          <w:pgSz w:w="12240" w:h="15840"/>
          <w:pgMar w:top="1080" w:right="900" w:bottom="1440" w:left="900" w:header="720" w:footer="720" w:gutter="0"/>
          <w:cols w:space="360" w:num="1" w:equalWidth="1"/>
          <w:docGrid w:linePitch="360"/>
        </w:sectPr>
      </w:pPr>
    </w:p>
    <w:p>
      <w:pPr>
        <w:spacing w:after="40" w:before="120" w:line="240" w:lineRule="auto"/>
        <w:ind w:firstLine="0"/>
        <w:jc w:val="left"/>
      </w:pPr>
      <w:r>
        <w:rPr>
          <w:rFonts w:ascii="Times New Roman" w:hAnsi="Times New Roman" w:cs="Times New Roman"/>
          <w:b w:val="0"/>
          <w:i/>
          <w:caps w:val="0"/>
          <w:sz w:val="20"/>
        </w:rPr>
        <w:t>E.  What would close the gap, and why the slower model is kept anyway</w:t>
      </w:r>
    </w:p>
    <w:p>
      <w:pPr>
        <w:spacing w:after="60" w:before="0" w:line="240" w:lineRule="auto"/>
        <w:ind w:firstLine="288"/>
        <w:jc w:val="both"/>
      </w:pPr>
      <w:r>
        <w:rPr>
          <w:rFonts w:ascii="Times New Roman" w:hAnsi="Times New Roman" w:cs="Times New Roman"/>
          <w:b w:val="0"/>
          <w:i w:val="0"/>
          <w:caps w:val="0"/>
          <w:sz w:val="20"/>
        </w:rPr>
        <w:t xml:space="preserve">Two structural possibilities remain. Either the tract commits a neuron to death at a shorter length than 150 repeats, or expansion is uniformly faster than the published dwell times imply. A two-dimensional scan over both settles which of them could work (Fig. 6A; </w:t>
      </w:r>
      <w:r>
        <w:rPr>
          <w:rFonts w:ascii="Consolas" w:hAnsi="Consolas" w:cs="Consolas"/>
          <w:b w:val="0"/>
          <w:i w:val="0"/>
          <w:caps w:val="0"/>
          <w:sz w:val="20"/>
        </w:rPr>
        <w:t>results/reconciliation_map.csv</w:t>
      </w:r>
      <w:r>
        <w:rPr>
          <w:rFonts w:ascii="Times New Roman" w:hAnsi="Times New Roman" w:cs="Times New Roman"/>
          <w:b w:val="0"/>
          <w:i w:val="0"/>
          <w:caps w:val="0"/>
          <w:sz w:val="20"/>
        </w:rPr>
        <w:t>).</w:t>
      </w:r>
    </w:p>
    <w:p>
      <w:pPr>
        <w:spacing w:after="60" w:before="0" w:line="240" w:lineRule="auto"/>
        <w:ind w:firstLine="288"/>
        <w:jc w:val="both"/>
      </w:pPr>
      <w:r>
        <w:rPr>
          <w:rFonts w:ascii="Times New Roman" w:hAnsi="Times New Roman" w:cs="Times New Roman"/>
          <w:b w:val="0"/>
          <w:i w:val="0"/>
          <w:caps w:val="0"/>
          <w:sz w:val="20"/>
        </w:rPr>
        <w:t>Lowering the commitment length from 150 to 90 repeats moves end-stage loss only from 43.9% to 48.6%, so that is not the answer. A uniform rate multiplier g moves it from 43.9% at g = 1 to 90.8% at g = 2, so that is. Fitting the multiplier gives g = 1.96, which would imply transit times of 25.5, 6.1 and 2.0 years in place of the published 50, 12 and 4.</w:t>
      </w:r>
    </w:p>
    <w:p>
      <w:pPr>
        <w:spacing w:after="60" w:before="0" w:line="240" w:lineRule="auto"/>
        <w:ind w:firstLine="288"/>
        <w:jc w:val="both"/>
      </w:pPr>
      <w:r>
        <w:rPr>
          <w:rFonts w:ascii="Times New Roman" w:hAnsi="Times New Roman" w:cs="Times New Roman"/>
          <w:b w:val="0"/>
          <w:i w:val="0"/>
          <w:caps w:val="0"/>
          <w:sz w:val="20"/>
        </w:rPr>
        <w:t>The trouble is that the faster model then fails an entirely different test, one that was not used to build either version. Under g = 1.96 a 42-repeat carrier reaches 50% neuron loss at age 36.9, and has lost 70.7% of projection neurons by the age an external clinical regression predicts for motor onset, 46.4 years [10]. For a 50-repeat carrier the figure is 81.9%. Losing four-fifths of the striatum before the first clinical sign is not credible, and it also contradicts the observation in the source paper that even at 25% loss more than nine out of ten surviving neurons still carry a tract that is not yet harmful [1].</w:t>
      </w:r>
    </w:p>
    <w:p>
      <w:pPr>
        <w:spacing w:after="60" w:before="0" w:line="240" w:lineRule="auto"/>
        <w:ind w:firstLine="288"/>
        <w:jc w:val="both"/>
      </w:pPr>
      <w:r>
        <w:rPr>
          <w:rFonts w:ascii="Times New Roman" w:hAnsi="Times New Roman" w:cs="Times New Roman"/>
          <w:b w:val="0"/>
          <w:i w:val="0"/>
          <w:caps w:val="0"/>
          <w:sz w:val="20"/>
        </w:rPr>
        <w:t>One input to that regression is assumed and should be named here rather than left in a supplementary file, because it sits behind both of this section's conclusions and behind the falsifiable prediction in Section IV-C. The regression takes a parental age at onset as well as a CAG length, and the source reports no cohort mean for it, so 45 years is assumed. Its influence is modest and bounded. The coefficient on parental onset is 0.3293, so moving the assumption across 35 to 55 years moves predicted onset for a 42-repeat carrier from 43.1 to 49.7 years, and the dwell-time-faithful model's loss at that age from 15.0% to 22.3% (</w:t>
      </w:r>
      <w:r>
        <w:rPr>
          <w:rFonts w:ascii="Consolas" w:hAnsi="Consolas" w:cs="Consolas"/>
          <w:b w:val="0"/>
          <w:i w:val="0"/>
          <w:caps w:val="0"/>
          <w:sz w:val="20"/>
        </w:rPr>
        <w:t>results/parent_aao_sensitivity.csv</w:t>
      </w:r>
      <w:r>
        <w:rPr>
          <w:rFonts w:ascii="Times New Roman" w:hAnsi="Times New Roman" w:cs="Times New Roman"/>
          <w:b w:val="0"/>
          <w:i w:val="0"/>
          <w:caps w:val="0"/>
          <w:sz w:val="20"/>
        </w:rPr>
        <w:t>). Over the same range the faster model's loss at onset stays between 64.4% and 75.7% at 42 repeats, and never falls below 64% at any length, so no plausible choice of parental onset age rescues it. The rejection of the faster model does not depend on the assumption. The width of the 18 to 31% prediction does, and Section IV-C says so.</w:t>
      </w:r>
    </w:p>
    <w:p>
      <w:pPr>
        <w:spacing w:after="60" w:before="0" w:line="240" w:lineRule="auto"/>
        <w:ind w:firstLine="288"/>
        <w:jc w:val="both"/>
      </w:pPr>
      <w:r>
        <w:rPr>
          <w:rFonts w:ascii="Times New Roman" w:hAnsi="Times New Roman" w:cs="Times New Roman"/>
          <w:b w:val="0"/>
          <w:i w:val="0"/>
          <w:caps w:val="0"/>
          <w:sz w:val="20"/>
        </w:rPr>
        <w:t>The dwell-time-faithful model puts loss at predicted clinical onset at 18.4% for 42 repeats, 24.4% for 46 and 31.2% for 50. Those numbers are consistent with the single-cell picture and with the general finding that striatal atrophy on imaging precedes diagnosis by years rather than decades.</w:t>
      </w:r>
    </w:p>
    <w:p>
      <w:pPr>
        <w:spacing w:after="60" w:before="0" w:line="240" w:lineRule="auto"/>
        <w:ind w:firstLine="288"/>
        <w:jc w:val="both"/>
      </w:pPr>
      <w:r>
        <w:rPr>
          <w:rFonts w:ascii="Times New Roman" w:hAnsi="Times New Roman" w:cs="Times New Roman"/>
          <w:b w:val="0"/>
          <w:i w:val="0"/>
          <w:caps w:val="0"/>
          <w:sz w:val="20"/>
        </w:rPr>
        <w:t>So the resolution adopted here is that "CAP above 600" in the source describes a late-stage, severely affected autopsy population rather than the threshold value CAP = 600 at which the model was evaluated. Post-mortem series are not sampled uniformly along the CAP axis; they are enriched for people who died of advanced disease. Evaluating the model at the stated threshold is the strictest possible reading of the published sentence, and a more generous reading dissolves much of the discrepancy.</w:t>
      </w:r>
    </w:p>
    <w:p>
      <w:pPr>
        <w:spacing w:after="60" w:before="0" w:line="240" w:lineRule="auto"/>
        <w:ind w:firstLine="288"/>
        <w:jc w:val="both"/>
      </w:pPr>
      <w:r>
        <w:rPr>
          <w:rFonts w:ascii="Times New Roman" w:hAnsi="Times New Roman" w:cs="Times New Roman"/>
          <w:b w:val="0"/>
          <w:i w:val="0"/>
          <w:caps w:val="0"/>
          <w:sz w:val="20"/>
        </w:rPr>
        <w:t>There is a third candidate, and unlike the first two it is a defect in this work rather than in the data. Calibration minimises residuals on the mean-field transit-time integral, which follows the mean trajectory of the tract. The published anchors are mean first-passage times of a jump process. For a nonlinear λ those are different quantities, and the integral additionally ignores contractions, so there is no reason for them to agree and they do not. Compared directly at the fitted parameters (</w:t>
      </w:r>
      <w:r>
        <w:rPr>
          <w:rFonts w:ascii="Consolas" w:hAnsi="Consolas" w:cs="Consolas"/>
          <w:b w:val="0"/>
          <w:i w:val="0"/>
          <w:caps w:val="0"/>
          <w:sz w:val="20"/>
        </w:rPr>
        <w:t>results/transit_time_check.csv</w:t>
      </w:r>
      <w:r>
        <w:rPr>
          <w:rFonts w:ascii="Times New Roman" w:hAnsi="Times New Roman" w:cs="Times New Roman"/>
          <w:b w:val="0"/>
          <w:i w:val="0"/>
          <w:caps w:val="0"/>
          <w:sz w:val="20"/>
        </w:rPr>
        <w:t>), the stochastic process takes 65.3 years to cross from 40 to 60 repeats where the integral says 50, 18.0 years against 12, and 4.9 years against 4. The gap is 21 to 50%, of which about three quarters is the jump process itself and the remainder is contraction. So the model as fitted is slower than the published kinetics, in exactly the direction that would under-predict end-stage loss.</w:t>
      </w:r>
    </w:p>
    <w:p>
      <w:pPr>
        <w:spacing w:after="60" w:before="0" w:line="240" w:lineRule="auto"/>
        <w:ind w:firstLine="288"/>
        <w:jc w:val="both"/>
      </w:pPr>
      <w:r>
        <w:rPr>
          <w:rFonts w:ascii="Times New Roman" w:hAnsi="Times New Roman" w:cs="Times New Roman"/>
          <w:b w:val="0"/>
          <w:i w:val="0"/>
          <w:caps w:val="0"/>
          <w:sz w:val="20"/>
        </w:rPr>
        <w:t>That is a testable proposition rather than a hand-wave, because the fit can simply be redone against the right quantity. Refitting the same four parameters against stochastic mean first-passage times instead of the integral converges cleanly (</w:t>
      </w:r>
      <w:r>
        <w:rPr>
          <w:rFonts w:ascii="Consolas" w:hAnsi="Consolas" w:cs="Consolas"/>
          <w:b w:val="0"/>
          <w:i w:val="0"/>
          <w:caps w:val="0"/>
          <w:sz w:val="20"/>
        </w:rPr>
        <w:t>results/estimator_calibration.csv</w:t>
      </w:r>
      <w:r>
        <w:rPr>
          <w:rFonts w:ascii="Times New Roman" w:hAnsi="Times New Roman" w:cs="Times New Roman"/>
          <w:b w:val="0"/>
          <w:i w:val="0"/>
          <w:caps w:val="0"/>
          <w:sz w:val="20"/>
        </w:rPr>
        <w:t>) and moves the parameters in an informative pattern: the basal rate rises by a third, from λ(40) = 0.070 to 0.092 per year, and R rises from 17.7 to 24.3, while the switch position barely moves at all, from 80.2 to 80.0 repeats, and β stays pinned at the bottom of its range. The structural conclusions of Section III-A are therefore not artefacts of the estimator. The switch is still at eighty repeats and the thermodynamic term is still unidentifiable.</w:t>
      </w:r>
    </w:p>
    <w:p>
      <w:pPr>
        <w:spacing w:after="60" w:before="0" w:line="240" w:lineRule="auto"/>
        <w:ind w:firstLine="288"/>
        <w:jc w:val="both"/>
      </w:pPr>
      <w:r>
        <w:rPr>
          <w:rFonts w:ascii="Times New Roman" w:hAnsi="Times New Roman" w:cs="Times New Roman"/>
          <w:b w:val="0"/>
          <w:i w:val="0"/>
          <w:caps w:val="0"/>
          <w:sz w:val="20"/>
        </w:rPr>
        <w:t>What does move is the quantity this section is about. Under the stochastic calibration, mean loss at CAP 600 rises from 39.8% to 62.4% on the same three inherited lengths with the same seeds, which closes rather more than half the distance to the reported 80 to 99% with no ad hoc rate multiplier anywhere. The cost is the same cost that sank M2, only smaller: loss at the externally predicted onset age rises from 18.7% to 36.1% for a 42-repeat carrier and from 30.6% to 52.1% at 50 repeats, which is high but not the four-fifths-of-the-striatum-gone that made M2 untenable. And the therapeutic conclusion is almost unchanged, which is the result that matters most here: the benefit of the measured achievable knockdown started at 30 is 13.7 points of striatum preserved at 70 under the mean-field fit and 14.7 under the stochastic fit (</w:t>
      </w:r>
      <w:r>
        <w:rPr>
          <w:rFonts w:ascii="Consolas" w:hAnsi="Consolas" w:cs="Consolas"/>
          <w:b w:val="0"/>
          <w:i w:val="0"/>
          <w:caps w:val="0"/>
          <w:sz w:val="20"/>
        </w:rPr>
        <w:t>results/estimator_predictions.csv</w:t>
      </w:r>
      <w:r>
        <w:rPr>
          <w:rFonts w:ascii="Times New Roman" w:hAnsi="Times New Roman" w:cs="Times New Roman"/>
          <w:b w:val="0"/>
          <w:i w:val="0"/>
          <w:caps w:val="0"/>
          <w:sz w:val="20"/>
        </w:rPr>
        <w:t>).</w:t>
      </w:r>
    </w:p>
    <w:p>
      <w:pPr>
        <w:spacing w:after="60" w:before="0" w:line="240" w:lineRule="auto"/>
        <w:ind w:firstLine="288"/>
        <w:jc w:val="both"/>
      </w:pPr>
      <w:r>
        <w:rPr>
          <w:rFonts w:ascii="Times New Roman" w:hAnsi="Times New Roman" w:cs="Times New Roman"/>
          <w:b w:val="0"/>
          <w:i w:val="0"/>
          <w:caps w:val="0"/>
          <w:sz w:val="20"/>
        </w:rPr>
        <w:t>The mean-field parameterisation is kept as primary for one reason only, and it is a reason about provenance rather than about mathematics. It reproduces the published anchors exactly as those anchors are stated, and the source does not say which estimator its own numbers represent, so adopting the stochastic fit would mean assuming an answer to a question the literature does not settle. Carrying both and reporting the spread is the defensible position. The practical consequence is that the CAP-600 discrepancy is smaller than Section III-D makes it look, that part of it is attributable to a choice of estimator rather than to biology, and that the conclusions this paper actually draws survive either choice.</w:t>
      </w:r>
    </w:p>
    <w:p>
      <w:pPr>
        <w:spacing w:after="60" w:before="0" w:line="240" w:lineRule="auto"/>
        <w:ind w:firstLine="288"/>
        <w:jc w:val="both"/>
      </w:pPr>
      <w:r>
        <w:rPr>
          <w:rFonts w:ascii="Times New Roman" w:hAnsi="Times New Roman" w:cs="Times New Roman"/>
          <w:b w:val="0"/>
          <w:i w:val="0"/>
          <w:caps w:val="0"/>
          <w:sz w:val="20"/>
        </w:rPr>
        <w:t>This is also an unresolved tension in the published literature rather than only a modelling artefact, and it is worth being plain about that. The dwell-time-faithful model is used for every therapeutic prediction in this paper and the faster one is carried as a sensitivity bound. The tension is also testable: the two versions predict visibly different loss-versus-CAP trajectories (Fig. 12B), and a post-mortem series with enough cases spread across the CAP range would separate them without needing any new technique.</w:t>
      </w:r>
    </w:p>
    <w:p>
      <w:pPr>
        <w:sectPr>
          <w:type w:val="continuous"/>
          <w:pgSz w:w="12240" w:h="15840"/>
          <w:pgMar w:top="1080" w:right="900" w:bottom="1440" w:left="900" w:header="720" w:footer="720" w:gutter="0"/>
          <w:cols w:space="360" w:num="2" w:equalWidth="1"/>
          <w:docGrid w:linePitch="360"/>
        </w:sectPr>
      </w:pPr>
    </w:p>
    <w:p>
      <w:pPr>
        <w:spacing w:after="40" w:before="0" w:line="240" w:lineRule="auto"/>
        <w:ind w:firstLine="0"/>
        <w:jc w:val="center"/>
      </w:pPr>
      <w:r>
        <w:drawing>
          <wp:inline xmlns:a="http://schemas.openxmlformats.org/drawingml/2006/main" xmlns:pic="http://schemas.openxmlformats.org/drawingml/2006/picture">
            <wp:extent cx="6492240" cy="3273347"/>
            <wp:docPr id="6" name="Picture 6"/>
            <wp:cNvGraphicFramePr>
              <a:graphicFrameLocks noChangeAspect="1"/>
            </wp:cNvGraphicFramePr>
            <a:graphic>
              <a:graphicData uri="http://schemas.openxmlformats.org/drawingml/2006/picture">
                <pic:pic>
                  <pic:nvPicPr>
                    <pic:cNvPr id="0" name="fig5_reconciliation.png"/>
                    <pic:cNvPicPr/>
                  </pic:nvPicPr>
                  <pic:blipFill>
                    <a:blip r:embed="rId14"/>
                    <a:stretch>
                      <a:fillRect/>
                    </a:stretch>
                  </pic:blipFill>
                  <pic:spPr>
                    <a:xfrm>
                      <a:off x="0" y="0"/>
                      <a:ext cx="6492240" cy="3273347"/>
                    </a:xfrm>
                    <a:prstGeom prst="rect"/>
                  </pic:spPr>
                </pic:pic>
              </a:graphicData>
            </a:graphic>
          </wp:inline>
        </w:drawing>
      </w:r>
    </w:p>
    <w:p>
      <w:pPr>
        <w:spacing w:after="160" w:before="0" w:line="240" w:lineRule="auto"/>
        <w:ind w:firstLine="0"/>
        <w:jc w:val="both"/>
      </w:pPr>
      <w:r>
        <w:rPr>
          <w:rFonts w:ascii="Times New Roman" w:hAnsi="Times New Roman" w:cs="Times New Roman"/>
          <w:b w:val="0"/>
          <w:i w:val="0"/>
          <w:caps w:val="0"/>
          <w:sz w:val="16"/>
        </w:rPr>
        <w:t xml:space="preserve">Fig. 6.  </w:t>
      </w:r>
      <w:r>
        <w:rPr>
          <w:rFonts w:ascii="Times New Roman" w:hAnsi="Times New Roman" w:cs="Times New Roman"/>
          <w:b/>
          <w:i w:val="0"/>
          <w:caps w:val="0"/>
          <w:sz w:val="16"/>
        </w:rPr>
        <w:t>Reconciling two published constraints.</w:t>
      </w:r>
      <w:r>
        <w:rPr>
          <w:rFonts w:ascii="Times New Roman" w:hAnsi="Times New Roman" w:cs="Times New Roman"/>
          <w:b w:val="0"/>
          <w:i w:val="0"/>
          <w:caps w:val="0"/>
          <w:sz w:val="16"/>
        </w:rPr>
        <w:t xml:space="preserve"> (A) Mean neuron loss at CAP 600 across expansion-rate multipliers and commitment lengths. Only a roughly two-fold faster clock reaches the reported range. (B) Survival under the two bracketing parameterisations.</w:t>
      </w:r>
    </w:p>
    <w:p>
      <w:pPr>
        <w:sectPr>
          <w:type w:val="continuous"/>
          <w:pgSz w:w="12240" w:h="15840"/>
          <w:pgMar w:top="1080" w:right="900" w:bottom="1440" w:left="900" w:header="720" w:footer="720" w:gutter="0"/>
          <w:cols w:space="360" w:num="1" w:equalWidth="1"/>
          <w:docGrid w:linePitch="360"/>
        </w:sectPr>
      </w:pPr>
    </w:p>
    <w:p>
      <w:pPr>
        <w:spacing w:after="40" w:before="120" w:line="240" w:lineRule="auto"/>
        <w:ind w:firstLine="0"/>
        <w:jc w:val="left"/>
      </w:pPr>
      <w:r>
        <w:rPr>
          <w:rFonts w:ascii="Times New Roman" w:hAnsi="Times New Roman" w:cs="Times New Roman"/>
          <w:b w:val="0"/>
          <w:i/>
          <w:caps w:val="0"/>
          <w:sz w:val="20"/>
        </w:rPr>
        <w:t>F.  A held-out prediction: which neurons go first, and by how much</w:t>
      </w:r>
    </w:p>
    <w:p>
      <w:pPr>
        <w:spacing w:after="60" w:before="0" w:line="240" w:lineRule="auto"/>
        <w:ind w:firstLine="288"/>
        <w:jc w:val="both"/>
      </w:pPr>
      <w:r>
        <w:rPr>
          <w:rFonts w:ascii="Times New Roman" w:hAnsi="Times New Roman" w:cs="Times New Roman"/>
          <w:b w:val="0"/>
          <w:i w:val="0"/>
          <w:caps w:val="0"/>
          <w:sz w:val="20"/>
        </w:rPr>
        <w:t>Indirect-pathway projection neurons are reported to expand about 15% faster than direct-pathway neurons, and to make up a smaller share of survivors in Huntington's disease donors than in controls, where they are 47% with a standard deviation of 6 [1]. Neither number was used in calibration, so running the two subtypes as separate populations with a 1.15 rate ratio produces a prediction with nothing fitted to it.</w:t>
      </w:r>
    </w:p>
    <w:p>
      <w:pPr>
        <w:spacing w:after="60" w:before="0" w:line="240" w:lineRule="auto"/>
        <w:ind w:firstLine="288"/>
        <w:jc w:val="both"/>
      </w:pPr>
      <w:r>
        <w:rPr>
          <w:rFonts w:ascii="Times New Roman" w:hAnsi="Times New Roman" w:cs="Times New Roman"/>
          <w:b w:val="0"/>
          <w:i w:val="0"/>
          <w:caps w:val="0"/>
          <w:sz w:val="20"/>
        </w:rPr>
        <w:t xml:space="preserve">The prediction is that the depletion is real, orderly, and modest (Fig. 7; </w:t>
      </w:r>
      <w:r>
        <w:rPr>
          <w:rFonts w:ascii="Consolas" w:hAnsi="Consolas" w:cs="Consolas"/>
          <w:b w:val="0"/>
          <w:i w:val="0"/>
          <w:caps w:val="0"/>
          <w:sz w:val="20"/>
        </w:rPr>
        <w:t>results/subtype_trajectory.csv</w:t>
      </w:r>
      <w:r>
        <w:rPr>
          <w:rFonts w:ascii="Times New Roman" w:hAnsi="Times New Roman" w:cs="Times New Roman"/>
          <w:b w:val="0"/>
          <w:i w:val="0"/>
          <w:caps w:val="0"/>
          <w:sz w:val="20"/>
        </w:rPr>
        <w:t xml:space="preserve">). For a 42-repeat carrier the indirect-pathway share of survivors falls from 47% to 45.9% by the time 10% of neurons are gone, to 44.2% at 25% loss, to 41.1% at 50% loss and to 36.3% at 75% loss. The same figures come out for 46 and 50 repeats within a few tenths of a point, which is a useful result in itself: </w:t>
      </w:r>
      <w:r>
        <w:rPr>
          <w:rFonts w:ascii="Times New Roman" w:hAnsi="Times New Roman" w:cs="Times New Roman"/>
          <w:b/>
          <w:i w:val="0"/>
          <w:caps w:val="0"/>
          <w:sz w:val="20"/>
        </w:rPr>
        <w:t>subtype depletion tracks total neuron loss, not age and not inherited CAG length.</w:t>
      </w:r>
      <w:r>
        <w:rPr>
          <w:rFonts w:ascii="Times New Roman" w:hAnsi="Times New Roman" w:cs="Times New Roman"/>
          <w:b w:val="0"/>
          <w:i w:val="0"/>
          <w:caps w:val="0"/>
          <w:sz w:val="20"/>
        </w:rPr>
        <w:t xml:space="preserve"> It is a readout of disease stage rather than of genotype.</w:t>
      </w:r>
    </w:p>
    <w:p>
      <w:pPr>
        <w:spacing w:after="60" w:before="0" w:line="240" w:lineRule="auto"/>
        <w:ind w:firstLine="288"/>
        <w:jc w:val="both"/>
      </w:pPr>
      <w:r>
        <w:rPr>
          <w:rFonts w:ascii="Times New Roman" w:hAnsi="Times New Roman" w:cs="Times New Roman"/>
          <w:b w:val="0"/>
          <w:i w:val="0"/>
          <w:caps w:val="0"/>
          <w:sz w:val="20"/>
        </w:rPr>
        <w:t>Two things follow. First, a depletion of five or six percentage points at half loss is small against a control standard deviation of six, so a cross-sectional study would need a lot of donors and careful staging to see it. The model says the effect is there but says it is not easy to measure, and that is a more useful statement than a bare direction.</w:t>
      </w:r>
    </w:p>
    <w:p>
      <w:pPr>
        <w:spacing w:after="60" w:before="0" w:line="240" w:lineRule="auto"/>
        <w:ind w:firstLine="288"/>
        <w:jc w:val="both"/>
      </w:pPr>
      <w:r>
        <w:rPr>
          <w:rFonts w:ascii="Times New Roman" w:hAnsi="Times New Roman" w:cs="Times New Roman"/>
          <w:b w:val="0"/>
          <w:i w:val="0"/>
          <w:caps w:val="0"/>
          <w:sz w:val="20"/>
        </w:rPr>
        <w:t xml:space="preserve">Second, the inverse scan puts bounds on the rate difference (Fig. 7C; </w:t>
      </w:r>
      <w:r>
        <w:rPr>
          <w:rFonts w:ascii="Consolas" w:hAnsi="Consolas" w:cs="Consolas"/>
          <w:b w:val="0"/>
          <w:i w:val="0"/>
          <w:caps w:val="0"/>
          <w:sz w:val="20"/>
        </w:rPr>
        <w:t>results/subtype_rate_scan.csv</w:t>
      </w:r>
      <w:r>
        <w:rPr>
          <w:rFonts w:ascii="Times New Roman" w:hAnsi="Times New Roman" w:cs="Times New Roman"/>
          <w:b w:val="0"/>
          <w:i w:val="0"/>
          <w:caps w:val="0"/>
          <w:sz w:val="20"/>
        </w:rPr>
        <w:t>). A ratio of 1.00 gives a depletion of −0.2 points, which is the Monte Carlo noise floor. The reported 1.15 gives 6.0 points at half loss. Reaching twenty points, the sort of difference that would be unmistakable in autopsy tissue, would need a ratio of about 1.6, which is well outside what the sequencing data support. So if a future series reports a large indirect-pathway depletion, a 15% rate difference will not account for it, and something besides expansion rate, such as a genuine difference in vulnerability per repeat, would have to be invoked.</w:t>
      </w:r>
    </w:p>
    <w:p>
      <w:pPr>
        <w:sectPr>
          <w:type w:val="continuous"/>
          <w:pgSz w:w="12240" w:h="15840"/>
          <w:pgMar w:top="1080" w:right="900" w:bottom="1440" w:left="900" w:header="720" w:footer="720" w:gutter="0"/>
          <w:cols w:space="360" w:num="2" w:equalWidth="1"/>
          <w:docGrid w:linePitch="360"/>
        </w:sectPr>
      </w:pPr>
    </w:p>
    <w:p>
      <w:pPr>
        <w:spacing w:after="40" w:before="0" w:line="240" w:lineRule="auto"/>
        <w:ind w:firstLine="0"/>
        <w:jc w:val="center"/>
      </w:pPr>
      <w:r>
        <w:drawing>
          <wp:inline xmlns:a="http://schemas.openxmlformats.org/drawingml/2006/main" xmlns:pic="http://schemas.openxmlformats.org/drawingml/2006/picture">
            <wp:extent cx="6492240" cy="2293004"/>
            <wp:docPr id="7" name="Picture 7"/>
            <wp:cNvGraphicFramePr>
              <a:graphicFrameLocks noChangeAspect="1"/>
            </wp:cNvGraphicFramePr>
            <a:graphic>
              <a:graphicData uri="http://schemas.openxmlformats.org/drawingml/2006/picture">
                <pic:pic>
                  <pic:nvPicPr>
                    <pic:cNvPr id="0" name="fig12_subtypes.png"/>
                    <pic:cNvPicPr/>
                  </pic:nvPicPr>
                  <pic:blipFill>
                    <a:blip r:embed="rId15"/>
                    <a:stretch>
                      <a:fillRect/>
                    </a:stretch>
                  </pic:blipFill>
                  <pic:spPr>
                    <a:xfrm>
                      <a:off x="0" y="0"/>
                      <a:ext cx="6492240" cy="2293004"/>
                    </a:xfrm>
                    <a:prstGeom prst="rect"/>
                  </pic:spPr>
                </pic:pic>
              </a:graphicData>
            </a:graphic>
          </wp:inline>
        </w:drawing>
      </w:r>
    </w:p>
    <w:p>
      <w:pPr>
        <w:spacing w:after="160" w:before="0" w:line="240" w:lineRule="auto"/>
        <w:ind w:firstLine="0"/>
        <w:jc w:val="both"/>
      </w:pPr>
      <w:r>
        <w:rPr>
          <w:rFonts w:ascii="Times New Roman" w:hAnsi="Times New Roman" w:cs="Times New Roman"/>
          <w:b w:val="0"/>
          <w:i w:val="0"/>
          <w:caps w:val="0"/>
          <w:sz w:val="16"/>
        </w:rPr>
        <w:t xml:space="preserve">Fig. 7.  </w:t>
      </w:r>
      <w:r>
        <w:rPr>
          <w:rFonts w:ascii="Times New Roman" w:hAnsi="Times New Roman" w:cs="Times New Roman"/>
          <w:b/>
          <w:i w:val="0"/>
          <w:caps w:val="0"/>
          <w:sz w:val="16"/>
        </w:rPr>
        <w:t>Predicted subtype composition.</w:t>
      </w:r>
      <w:r>
        <w:rPr>
          <w:rFonts w:ascii="Times New Roman" w:hAnsi="Times New Roman" w:cs="Times New Roman"/>
          <w:b w:val="0"/>
          <w:i w:val="0"/>
          <w:caps w:val="0"/>
          <w:sz w:val="16"/>
        </w:rPr>
        <w:t xml:space="preserve"> (A) Indirect-pathway neurons as a percentage of survivors over age, for three inherited lengths, against the control value of 47% with its measured spread shaded. (B) The same curves plotted against total neuron loss: they collapse onto one line, so depletion reports stage rather than genotype. (C) Depletion at half loss against the assumed rate ratio, with the reported value marked.</w:t>
      </w:r>
    </w:p>
    <w:p>
      <w:pPr>
        <w:sectPr>
          <w:type w:val="continuous"/>
          <w:pgSz w:w="12240" w:h="15840"/>
          <w:pgMar w:top="1080" w:right="900" w:bottom="1440" w:left="900" w:header="720" w:footer="720" w:gutter="0"/>
          <w:cols w:space="360" w:num="1" w:equalWidth="1"/>
          <w:docGrid w:linePitch="360"/>
        </w:sectPr>
      </w:pPr>
    </w:p>
    <w:p>
      <w:pPr>
        <w:spacing w:after="40" w:before="120" w:line="240" w:lineRule="auto"/>
        <w:ind w:firstLine="0"/>
        <w:jc w:val="left"/>
      </w:pPr>
      <w:r>
        <w:rPr>
          <w:rFonts w:ascii="Times New Roman" w:hAnsi="Times New Roman" w:cs="Times New Roman"/>
          <w:b w:val="0"/>
          <w:i/>
          <w:caps w:val="0"/>
          <w:sz w:val="20"/>
        </w:rPr>
        <w:t>G.  Genetic modifiers land on three different parameters, and only one of them is druggable</w:t>
      </w:r>
    </w:p>
    <w:p>
      <w:pPr>
        <w:spacing w:after="60" w:before="0" w:line="240" w:lineRule="auto"/>
        <w:ind w:firstLine="288"/>
        <w:jc w:val="both"/>
      </w:pPr>
      <w:r>
        <w:rPr>
          <w:rFonts w:ascii="Times New Roman" w:hAnsi="Times New Roman" w:cs="Times New Roman"/>
          <w:b w:val="0"/>
          <w:i w:val="0"/>
          <w:caps w:val="0"/>
          <w:sz w:val="20"/>
        </w:rPr>
        <w:t xml:space="preserve">The strongest known modifiers of age at onset in Huntington's disease sit in mismatch-repair genes and in the sequence of the CAG tract itself. Each maps onto a distinct parameter of the fitted rate law, which means the model can convert a genotype into a predicted shift in years without any new fitting (Fig. 8; </w:t>
      </w:r>
      <w:r>
        <w:rPr>
          <w:rFonts w:ascii="Consolas" w:hAnsi="Consolas" w:cs="Consolas"/>
          <w:b w:val="0"/>
          <w:i w:val="0"/>
          <w:caps w:val="0"/>
          <w:sz w:val="20"/>
        </w:rPr>
        <w:t>results/modifier_effects.csv</w:t>
      </w:r>
      <w:r>
        <w:rPr>
          <w:rFonts w:ascii="Times New Roman" w:hAnsi="Times New Roman" w:cs="Times New Roman"/>
          <w:b w:val="0"/>
          <w:i w:val="0"/>
          <w:caps w:val="0"/>
          <w:sz w:val="20"/>
        </w:rPr>
        <w:t>). Baseline for a 42-repeat carrier is age 51.8 at 25% neuron loss.</w:t>
      </w:r>
    </w:p>
    <w:p>
      <w:pPr>
        <w:spacing w:after="60" w:before="0" w:line="240" w:lineRule="auto"/>
        <w:ind w:firstLine="288"/>
        <w:jc w:val="both"/>
      </w:pPr>
      <w:r>
        <w:rPr>
          <w:rFonts w:ascii="Times New Roman" w:hAnsi="Times New Roman" w:cs="Times New Roman"/>
          <w:b/>
          <w:i w:val="0"/>
          <w:caps w:val="0"/>
          <w:sz w:val="20"/>
        </w:rPr>
        <w:t>MSH3 expression</w:t>
      </w:r>
      <w:r>
        <w:rPr>
          <w:rFonts w:ascii="Times New Roman" w:hAnsi="Times New Roman" w:cs="Times New Roman"/>
          <w:b w:val="0"/>
          <w:i w:val="0"/>
          <w:caps w:val="0"/>
          <w:sz w:val="20"/>
        </w:rPr>
        <w:t xml:space="preserve"> enters as the first-order factor θ. Dropping it to 60% of normal, roughly what a protective expression quantitative trait locus might do, delays 25% loss by 33.6 years. Raising it to 150% brings the same endpoint forward by 16.6 years. The curve is steep and strongly asymmetric: the first 10% of lowering buys 5.6 years, the next 10% buys another 6.3, and the slope keeps rising. That asymmetry is the compounding effect, and it is the reason partial knockdown is worth more than it looks.</w:t>
      </w:r>
    </w:p>
    <w:p>
      <w:pPr>
        <w:spacing w:after="60" w:before="0" w:line="240" w:lineRule="auto"/>
        <w:ind w:firstLine="288"/>
        <w:jc w:val="both"/>
      </w:pPr>
      <w:r>
        <w:rPr>
          <w:rFonts w:ascii="Times New Roman" w:hAnsi="Times New Roman" w:cs="Times New Roman"/>
          <w:b/>
          <w:i w:val="0"/>
          <w:caps w:val="0"/>
          <w:sz w:val="20"/>
        </w:rPr>
        <w:t>FAN1 activity</w:t>
      </w:r>
      <w:r>
        <w:rPr>
          <w:rFonts w:ascii="Times New Roman" w:hAnsi="Times New Roman" w:cs="Times New Roman"/>
          <w:b w:val="0"/>
          <w:i w:val="0"/>
          <w:caps w:val="0"/>
          <w:sz w:val="20"/>
        </w:rPr>
        <w:t xml:space="preserve"> enters as the protective divisor f. Halving it advances onset by 25.9 years, and doubling it delays onset by 51.5 years. FAN1 is numerically the strongest single lever in the model, which fits its position as one of the strongest onset modifiers in human genetics, and it fits the recent demonstration that FAN1 opposes MutLγ directly at the incision step [5]. It is also, unfortunately, the hardest to use: increasing an enzyme's activity in a deep brain structure is a much harder pharmacological problem than reducing a protein's abundance.</w:t>
      </w:r>
    </w:p>
    <w:p>
      <w:pPr>
        <w:spacing w:after="60" w:before="0" w:line="240" w:lineRule="auto"/>
        <w:ind w:firstLine="288"/>
        <w:jc w:val="both"/>
      </w:pPr>
      <w:r>
        <w:rPr>
          <w:rFonts w:ascii="Times New Roman" w:hAnsi="Times New Roman" w:cs="Times New Roman"/>
          <w:b/>
          <w:i w:val="0"/>
          <w:caps w:val="0"/>
          <w:sz w:val="20"/>
        </w:rPr>
        <w:t>Loss of a CAA interruption</w:t>
      </w:r>
      <w:r>
        <w:rPr>
          <w:rFonts w:ascii="Times New Roman" w:hAnsi="Times New Roman" w:cs="Times New Roman"/>
          <w:b w:val="0"/>
          <w:i w:val="0"/>
          <w:caps w:val="0"/>
          <w:sz w:val="20"/>
        </w:rPr>
        <w:t xml:space="preserve"> enters as a downward shift in the clustering switch </w:t>
      </w:r>
      <w:r>
        <w:rPr>
          <w:rFonts w:ascii="Times New Roman" w:hAnsi="Times New Roman" w:cs="Times New Roman"/>
          <w:b w:val="0"/>
          <w:i/>
          <w:caps w:val="0"/>
          <w:sz w:val="20"/>
        </w:rPr>
        <w:t>L</w:t>
      </w:r>
      <w:r>
        <w:rPr>
          <w:rFonts w:ascii="Times New Roman" w:hAnsi="Times New Roman" w:cs="Times New Roman"/>
          <w:b w:val="0"/>
          <w:i/>
          <w:caps w:val="0"/>
          <w:sz w:val="20"/>
          <w:vertAlign w:val="subscript"/>
        </w:rPr>
        <w:t>sw</w:t>
      </w:r>
      <w:r>
        <w:rPr>
          <w:rFonts w:ascii="Times New Roman" w:hAnsi="Times New Roman" w:cs="Times New Roman"/>
          <w:b w:val="0"/>
          <w:i w:val="0"/>
          <w:caps w:val="0"/>
          <w:sz w:val="20"/>
        </w:rPr>
        <w:t>, because an uninterrupted tract reaches the clustered regime at a shorter total length than an interrupted one of the same nominal size. Shifting the switch down by ten repeats advances 25% loss by 16.8 years, and by fifteen repeats advances it by 24.2 years. This gives a quantitative mechanism for an observation that is otherwise hard to rationalise, namely that two carriers with identical nominal CAG counts can differ by a decade or more in onset depending on whether the tract is pure.</w:t>
      </w:r>
    </w:p>
    <w:p>
      <w:pPr>
        <w:spacing w:after="60" w:before="0" w:line="240" w:lineRule="auto"/>
        <w:ind w:firstLine="288"/>
        <w:jc w:val="both"/>
      </w:pPr>
      <w:r>
        <w:rPr>
          <w:rFonts w:ascii="Times New Roman" w:hAnsi="Times New Roman" w:cs="Times New Roman"/>
          <w:b w:val="0"/>
          <w:i w:val="0"/>
          <w:caps w:val="0"/>
          <w:sz w:val="20"/>
        </w:rPr>
        <w:t>All three of these are predictions rather than fits. No modifier effect size entered the calibration, and the model was never shown a single human onset age.</w:t>
      </w:r>
    </w:p>
    <w:p>
      <w:pPr>
        <w:sectPr>
          <w:type w:val="continuous"/>
          <w:pgSz w:w="12240" w:h="15840"/>
          <w:pgMar w:top="1080" w:right="900" w:bottom="1440" w:left="900" w:header="720" w:footer="720" w:gutter="0"/>
          <w:cols w:space="360" w:num="2" w:equalWidth="1"/>
          <w:docGrid w:linePitch="360"/>
        </w:sectPr>
      </w:pPr>
    </w:p>
    <w:p>
      <w:pPr>
        <w:spacing w:after="40" w:before="0" w:line="240" w:lineRule="auto"/>
        <w:ind w:firstLine="0"/>
        <w:jc w:val="center"/>
      </w:pPr>
      <w:r>
        <w:drawing>
          <wp:inline xmlns:a="http://schemas.openxmlformats.org/drawingml/2006/main" xmlns:pic="http://schemas.openxmlformats.org/drawingml/2006/picture">
            <wp:extent cx="6492240" cy="2321353"/>
            <wp:docPr id="8" name="Picture 8"/>
            <wp:cNvGraphicFramePr>
              <a:graphicFrameLocks noChangeAspect="1"/>
            </wp:cNvGraphicFramePr>
            <a:graphic>
              <a:graphicData uri="http://schemas.openxmlformats.org/drawingml/2006/picture">
                <pic:pic>
                  <pic:nvPicPr>
                    <pic:cNvPr id="0" name="fig13_modifiers.png"/>
                    <pic:cNvPicPr/>
                  </pic:nvPicPr>
                  <pic:blipFill>
                    <a:blip r:embed="rId16"/>
                    <a:stretch>
                      <a:fillRect/>
                    </a:stretch>
                  </pic:blipFill>
                  <pic:spPr>
                    <a:xfrm>
                      <a:off x="0" y="0"/>
                      <a:ext cx="6492240" cy="2321353"/>
                    </a:xfrm>
                    <a:prstGeom prst="rect"/>
                  </pic:spPr>
                </pic:pic>
              </a:graphicData>
            </a:graphic>
          </wp:inline>
        </w:drawing>
      </w:r>
    </w:p>
    <w:p>
      <w:pPr>
        <w:spacing w:after="160" w:before="0" w:line="240" w:lineRule="auto"/>
        <w:ind w:firstLine="0"/>
        <w:jc w:val="both"/>
      </w:pPr>
      <w:r>
        <w:rPr>
          <w:rFonts w:ascii="Times New Roman" w:hAnsi="Times New Roman" w:cs="Times New Roman"/>
          <w:b w:val="0"/>
          <w:i w:val="0"/>
          <w:caps w:val="0"/>
          <w:sz w:val="16"/>
        </w:rPr>
        <w:t xml:space="preserve">Fig. 8.  </w:t>
      </w:r>
      <w:r>
        <w:rPr>
          <w:rFonts w:ascii="Times New Roman" w:hAnsi="Times New Roman" w:cs="Times New Roman"/>
          <w:b/>
          <w:i w:val="0"/>
          <w:caps w:val="0"/>
          <w:sz w:val="16"/>
        </w:rPr>
        <w:t>Genetic modifiers as perturbations of one rate law.</w:t>
      </w:r>
      <w:r>
        <w:rPr>
          <w:rFonts w:ascii="Times New Roman" w:hAnsi="Times New Roman" w:cs="Times New Roman"/>
          <w:b w:val="0"/>
          <w:i w:val="0"/>
          <w:caps w:val="0"/>
          <w:sz w:val="16"/>
        </w:rPr>
        <w:t xml:space="preserve"> Shift in age at 25% neuron loss for a 42-repeat carrier when (A) MSH3 expression, (B) FAN1 activity, or (C) the clustering switch position is perturbed. Zero on each vertical axis is the unperturbed baseline.</w:t>
      </w:r>
    </w:p>
    <w:p>
      <w:pPr>
        <w:sectPr>
          <w:type w:val="continuous"/>
          <w:pgSz w:w="12240" w:h="15840"/>
          <w:pgMar w:top="1080" w:right="900" w:bottom="1440" w:left="900" w:header="720" w:footer="720" w:gutter="0"/>
          <w:cols w:space="360" w:num="1" w:equalWidth="1"/>
          <w:docGrid w:linePitch="360"/>
        </w:sectPr>
      </w:pPr>
    </w:p>
    <w:p>
      <w:pPr>
        <w:spacing w:after="40" w:before="120" w:line="240" w:lineRule="auto"/>
        <w:ind w:firstLine="0"/>
        <w:jc w:val="left"/>
      </w:pPr>
      <w:r>
        <w:rPr>
          <w:rFonts w:ascii="Times New Roman" w:hAnsi="Times New Roman" w:cs="Times New Roman"/>
          <w:b w:val="0"/>
          <w:i/>
          <w:caps w:val="0"/>
          <w:sz w:val="20"/>
        </w:rPr>
        <w:t>H.  Delivery: the striatum is the wrong place to reach from cerebrospinal fluid</w:t>
      </w:r>
    </w:p>
    <w:p>
      <w:pPr>
        <w:spacing w:after="60" w:before="0" w:line="240" w:lineRule="auto"/>
        <w:ind w:firstLine="288"/>
        <w:jc w:val="both"/>
      </w:pPr>
      <w:r>
        <w:rPr>
          <w:rFonts w:ascii="Times New Roman" w:hAnsi="Times New Roman" w:cs="Times New Roman"/>
          <w:b w:val="0"/>
          <w:i w:val="0"/>
          <w:caps w:val="0"/>
          <w:sz w:val="20"/>
        </w:rPr>
        <w:t>Converting the measured primate target engagement through the fitted exposure-response relationship (Fig. 9A) gives what an intrathecal oligonucleotide actually achieves in the structure that matters:</w:t>
      </w:r>
    </w:p>
    <w:p>
      <w:pPr>
        <w:sectPr>
          <w:type w:val="continuous"/>
          <w:pgSz w:w="12240" w:h="15840"/>
          <w:pgMar w:top="1080" w:right="900" w:bottom="1440" w:left="900" w:header="720" w:footer="720" w:gutter="0"/>
          <w:cols w:space="360" w:num="2" w:equalWidth="1"/>
          <w:docGrid w:linePitch="360"/>
        </w:sectPr>
      </w:pPr>
    </w:p>
    <w:p>
      <w:pPr>
        <w:spacing w:after="20" w:before="120" w:line="240" w:lineRule="auto"/>
        <w:ind w:firstLine="0"/>
        <w:jc w:val="center"/>
      </w:pPr>
      <w:r>
        <w:rPr>
          <w:rFonts w:ascii="Times New Roman" w:hAnsi="Times New Roman" w:cs="Times New Roman"/>
          <w:b w:val="0"/>
          <w:i w:val="0"/>
          <w:caps w:val="0"/>
          <w:sz w:val="16"/>
        </w:rPr>
        <w:t>TABLE V</w:t>
      </w:r>
    </w:p>
    <w:p>
      <w:pPr>
        <w:spacing w:after="60" w:before="0" w:line="240" w:lineRule="auto"/>
        <w:ind w:firstLine="0"/>
        <w:jc w:val="center"/>
      </w:pPr>
      <w:r>
        <w:rPr>
          <w:rFonts w:ascii="Times New Roman" w:hAnsi="Times New Roman" w:cs="Times New Roman"/>
          <w:b w:val="0"/>
          <w:i w:val="0"/>
          <w:caps/>
          <w:sz w:val="16"/>
        </w:rPr>
        <w:t>Target knockdown achieved by intrathecal delivery in primate striatum, measured on a reporter transcript rather than on MSH3, and the expansion suppression it implies if MSH3 behaves the same way.</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610"/>
          </w:tcPr>
          <w:p>
            <w:pPr>
              <w:spacing w:after="0"/>
            </w:pPr>
            <w:r/>
            <w:r>
              <w:rPr>
                <w:rFonts w:ascii="Times New Roman" w:hAnsi="Times New Roman" w:cs="Times New Roman"/>
                <w:b/>
                <w:i w:val="0"/>
                <w:caps w:val="0"/>
                <w:sz w:val="16"/>
              </w:rPr>
              <w:t>Region</w:t>
            </w:r>
          </w:p>
        </w:tc>
        <w:tc>
          <w:tcPr>
            <w:tcW w:type="dxa" w:w="2610"/>
          </w:tcPr>
          <w:p>
            <w:pPr>
              <w:spacing w:after="0"/>
            </w:pPr>
            <w:r/>
            <w:r>
              <w:rPr>
                <w:rFonts w:ascii="Times New Roman" w:hAnsi="Times New Roman" w:cs="Times New Roman"/>
                <w:b/>
                <w:i w:val="0"/>
                <w:caps w:val="0"/>
                <w:sz w:val="16"/>
              </w:rPr>
              <w:t>Target knockdown measured in primate</w:t>
            </w:r>
          </w:p>
        </w:tc>
        <w:tc>
          <w:tcPr>
            <w:tcW w:type="dxa" w:w="2610"/>
          </w:tcPr>
          <w:p>
            <w:pPr>
              <w:spacing w:after="0"/>
            </w:pPr>
            <w:r/>
            <w:r>
              <w:rPr>
                <w:rFonts w:ascii="Times New Roman" w:hAnsi="Times New Roman" w:cs="Times New Roman"/>
                <w:b/>
                <w:i w:val="0"/>
                <w:caps w:val="0"/>
                <w:sz w:val="16"/>
              </w:rPr>
              <w:t>Implied exposure</w:t>
            </w:r>
          </w:p>
        </w:tc>
        <w:tc>
          <w:tcPr>
            <w:tcW w:type="dxa" w:w="2610"/>
          </w:tcPr>
          <w:p>
            <w:pPr>
              <w:spacing w:after="0"/>
            </w:pPr>
            <w:r/>
            <w:r>
              <w:rPr>
                <w:rFonts w:ascii="Times New Roman" w:hAnsi="Times New Roman" w:cs="Times New Roman"/>
                <w:b/>
                <w:i w:val="0"/>
                <w:caps w:val="0"/>
                <w:sz w:val="16"/>
              </w:rPr>
              <w:t>Predicted expansion suppression if MSH3 behaves the same</w:t>
            </w:r>
          </w:p>
        </w:tc>
      </w:tr>
      <w:tr>
        <w:tc>
          <w:tcPr>
            <w:tcW w:type="dxa" w:w="2610"/>
          </w:tcPr>
          <w:p>
            <w:pPr>
              <w:spacing w:after="0"/>
            </w:pPr>
            <w:r>
              <w:rPr>
                <w:rFonts w:ascii="Times New Roman" w:hAnsi="Times New Roman" w:cs="Times New Roman"/>
                <w:b w:val="0"/>
                <w:i w:val="0"/>
                <w:caps w:val="0"/>
                <w:sz w:val="16"/>
              </w:rPr>
              <w:t>Putamen, projection neurons</w:t>
            </w:r>
          </w:p>
        </w:tc>
        <w:tc>
          <w:tcPr>
            <w:tcW w:type="dxa" w:w="2610"/>
          </w:tcPr>
          <w:p>
            <w:pPr>
              <w:spacing w:after="0"/>
            </w:pPr>
            <w:r>
              <w:rPr>
                <w:rFonts w:ascii="Times New Roman" w:hAnsi="Times New Roman" w:cs="Times New Roman"/>
                <w:b w:val="0"/>
                <w:i w:val="0"/>
                <w:caps w:val="0"/>
                <w:sz w:val="16"/>
              </w:rPr>
              <w:t>29%</w:t>
            </w:r>
          </w:p>
        </w:tc>
        <w:tc>
          <w:tcPr>
            <w:tcW w:type="dxa" w:w="2610"/>
          </w:tcPr>
          <w:p>
            <w:pPr>
              <w:spacing w:after="0"/>
            </w:pPr>
            <w:r>
              <w:rPr>
                <w:rFonts w:ascii="Times New Roman" w:hAnsi="Times New Roman" w:cs="Times New Roman"/>
                <w:b w:val="0"/>
                <w:i w:val="0"/>
                <w:caps w:val="0"/>
                <w:sz w:val="16"/>
              </w:rPr>
              <w:t>4.8 nmol per g</w:t>
            </w:r>
          </w:p>
        </w:tc>
        <w:tc>
          <w:tcPr>
            <w:tcW w:type="dxa" w:w="2610"/>
          </w:tcPr>
          <w:p>
            <w:pPr>
              <w:spacing w:after="0"/>
            </w:pPr>
            <w:r>
              <w:rPr>
                <w:rFonts w:ascii="Times New Roman" w:hAnsi="Times New Roman" w:cs="Times New Roman"/>
                <w:b/>
                <w:i w:val="0"/>
                <w:caps w:val="0"/>
                <w:sz w:val="16"/>
              </w:rPr>
              <w:t>33%</w:t>
            </w:r>
          </w:p>
        </w:tc>
      </w:tr>
      <w:tr>
        <w:tc>
          <w:tcPr>
            <w:tcW w:type="dxa" w:w="2610"/>
          </w:tcPr>
          <w:p>
            <w:pPr>
              <w:spacing w:after="0"/>
            </w:pPr>
            <w:r>
              <w:rPr>
                <w:rFonts w:ascii="Times New Roman" w:hAnsi="Times New Roman" w:cs="Times New Roman"/>
                <w:b w:val="0"/>
                <w:i w:val="0"/>
                <w:caps w:val="0"/>
                <w:sz w:val="16"/>
              </w:rPr>
              <w:t>Putamen, bulk tissue</w:t>
            </w:r>
          </w:p>
        </w:tc>
        <w:tc>
          <w:tcPr>
            <w:tcW w:type="dxa" w:w="2610"/>
          </w:tcPr>
          <w:p>
            <w:pPr>
              <w:spacing w:after="0"/>
            </w:pPr>
            <w:r>
              <w:rPr>
                <w:rFonts w:ascii="Times New Roman" w:hAnsi="Times New Roman" w:cs="Times New Roman"/>
                <w:b w:val="0"/>
                <w:i w:val="0"/>
                <w:caps w:val="0"/>
                <w:sz w:val="16"/>
              </w:rPr>
              <w:t>25%</w:t>
            </w:r>
          </w:p>
        </w:tc>
        <w:tc>
          <w:tcPr>
            <w:tcW w:type="dxa" w:w="2610"/>
          </w:tcPr>
          <w:p>
            <w:pPr>
              <w:spacing w:after="0"/>
            </w:pPr>
            <w:r>
              <w:rPr>
                <w:rFonts w:ascii="Times New Roman" w:hAnsi="Times New Roman" w:cs="Times New Roman"/>
                <w:b w:val="0"/>
                <w:i w:val="0"/>
                <w:caps w:val="0"/>
                <w:sz w:val="16"/>
              </w:rPr>
              <w:t>4.1 nmol per g</w:t>
            </w:r>
          </w:p>
        </w:tc>
        <w:tc>
          <w:tcPr>
            <w:tcW w:type="dxa" w:w="2610"/>
          </w:tcPr>
          <w:p>
            <w:pPr>
              <w:spacing w:after="0"/>
            </w:pPr>
            <w:r>
              <w:rPr>
                <w:rFonts w:ascii="Times New Roman" w:hAnsi="Times New Roman" w:cs="Times New Roman"/>
                <w:b w:val="0"/>
                <w:i w:val="0"/>
                <w:caps w:val="0"/>
                <w:sz w:val="16"/>
              </w:rPr>
              <w:t>30%</w:t>
            </w:r>
          </w:p>
        </w:tc>
      </w:tr>
      <w:tr>
        <w:tc>
          <w:tcPr>
            <w:tcW w:type="dxa" w:w="2610"/>
          </w:tcPr>
          <w:p>
            <w:pPr>
              <w:spacing w:after="0"/>
            </w:pPr>
            <w:r>
              <w:rPr>
                <w:rFonts w:ascii="Times New Roman" w:hAnsi="Times New Roman" w:cs="Times New Roman"/>
                <w:b w:val="0"/>
                <w:i w:val="0"/>
                <w:caps w:val="0"/>
                <w:sz w:val="16"/>
              </w:rPr>
              <w:t>Caudate, single-nucleus RNA sequencing</w:t>
            </w:r>
          </w:p>
        </w:tc>
        <w:tc>
          <w:tcPr>
            <w:tcW w:type="dxa" w:w="2610"/>
          </w:tcPr>
          <w:p>
            <w:pPr>
              <w:spacing w:after="0"/>
            </w:pPr>
            <w:r>
              <w:rPr>
                <w:rFonts w:ascii="Times New Roman" w:hAnsi="Times New Roman" w:cs="Times New Roman"/>
                <w:b w:val="0"/>
                <w:i w:val="0"/>
                <w:caps w:val="0"/>
                <w:sz w:val="16"/>
              </w:rPr>
              <w:t>43%</w:t>
            </w:r>
          </w:p>
        </w:tc>
        <w:tc>
          <w:tcPr>
            <w:tcW w:type="dxa" w:w="2610"/>
          </w:tcPr>
          <w:p>
            <w:pPr>
              <w:spacing w:after="0"/>
            </w:pPr>
            <w:r>
              <w:rPr>
                <w:rFonts w:ascii="Times New Roman" w:hAnsi="Times New Roman" w:cs="Times New Roman"/>
                <w:b w:val="0"/>
                <w:i w:val="0"/>
                <w:caps w:val="0"/>
                <w:sz w:val="16"/>
              </w:rPr>
              <w:t>8.0 nmol per g</w:t>
            </w:r>
          </w:p>
        </w:tc>
        <w:tc>
          <w:tcPr>
            <w:tcW w:type="dxa" w:w="2610"/>
          </w:tcPr>
          <w:p>
            <w:pPr>
              <w:spacing w:after="0"/>
            </w:pPr>
            <w:r>
              <w:rPr>
                <w:rFonts w:ascii="Times New Roman" w:hAnsi="Times New Roman" w:cs="Times New Roman"/>
                <w:b w:val="0"/>
                <w:i w:val="0"/>
                <w:caps w:val="0"/>
                <w:sz w:val="16"/>
              </w:rPr>
              <w:t>45%</w:t>
            </w:r>
          </w:p>
        </w:tc>
      </w:tr>
      <w:tr>
        <w:tc>
          <w:tcPr>
            <w:tcW w:type="dxa" w:w="2610"/>
          </w:tcPr>
          <w:p>
            <w:pPr>
              <w:spacing w:after="0"/>
            </w:pPr>
            <w:r>
              <w:rPr>
                <w:rFonts w:ascii="Times New Roman" w:hAnsi="Times New Roman" w:cs="Times New Roman"/>
                <w:b w:val="0"/>
                <w:i w:val="0"/>
                <w:caps w:val="0"/>
                <w:sz w:val="16"/>
              </w:rPr>
              <w:t>Caudate, quantitative PCR</w:t>
            </w:r>
          </w:p>
        </w:tc>
        <w:tc>
          <w:tcPr>
            <w:tcW w:type="dxa" w:w="2610"/>
          </w:tcPr>
          <w:p>
            <w:pPr>
              <w:spacing w:after="0"/>
            </w:pPr>
            <w:r>
              <w:rPr>
                <w:rFonts w:ascii="Times New Roman" w:hAnsi="Times New Roman" w:cs="Times New Roman"/>
                <w:b w:val="0"/>
                <w:i w:val="0"/>
                <w:caps w:val="0"/>
                <w:sz w:val="16"/>
              </w:rPr>
              <w:t>55%</w:t>
            </w:r>
          </w:p>
        </w:tc>
        <w:tc>
          <w:tcPr>
            <w:tcW w:type="dxa" w:w="2610"/>
          </w:tcPr>
          <w:p>
            <w:pPr>
              <w:spacing w:after="0"/>
            </w:pPr>
            <w:r>
              <w:rPr>
                <w:rFonts w:ascii="Times New Roman" w:hAnsi="Times New Roman" w:cs="Times New Roman"/>
                <w:b w:val="0"/>
                <w:i w:val="0"/>
                <w:caps w:val="0"/>
                <w:sz w:val="16"/>
              </w:rPr>
              <w:t>11.9 nmol per g</w:t>
            </w:r>
          </w:p>
        </w:tc>
        <w:tc>
          <w:tcPr>
            <w:tcW w:type="dxa" w:w="2610"/>
          </w:tcPr>
          <w:p>
            <w:pPr>
              <w:spacing w:after="0"/>
            </w:pPr>
            <w:r>
              <w:rPr>
                <w:rFonts w:ascii="Times New Roman" w:hAnsi="Times New Roman" w:cs="Times New Roman"/>
                <w:b w:val="0"/>
                <w:i w:val="0"/>
                <w:caps w:val="0"/>
                <w:sz w:val="16"/>
              </w:rPr>
              <w:t>55%</w:t>
            </w:r>
          </w:p>
        </w:tc>
      </w:tr>
    </w:tbl>
    <w:p>
      <w:pPr>
        <w:spacing w:after="120" w:before="0" w:line="240" w:lineRule="auto"/>
        <w:ind w:firstLine="0"/>
        <w:jc w:val="both"/>
      </w:pPr>
    </w:p>
    <w:p>
      <w:pPr>
        <w:sectPr>
          <w:type w:val="continuous"/>
          <w:pgSz w:w="12240" w:h="15840"/>
          <w:pgMar w:top="1080" w:right="900" w:bottom="1440" w:left="900" w:header="720" w:footer="720" w:gutter="0"/>
          <w:cols w:space="360" w:num="1" w:equalWidth="1"/>
          <w:docGrid w:linePitch="360"/>
        </w:sectPr>
      </w:pPr>
    </w:p>
    <w:p>
      <w:pPr>
        <w:spacing w:after="60" w:before="0" w:line="240" w:lineRule="auto"/>
        <w:ind w:firstLine="288"/>
        <w:jc w:val="both"/>
      </w:pPr>
      <w:r>
        <w:rPr>
          <w:rFonts w:ascii="Times New Roman" w:hAnsi="Times New Roman" w:cs="Times New Roman"/>
          <w:b w:val="0"/>
          <w:i w:val="0"/>
          <w:caps w:val="0"/>
          <w:sz w:val="20"/>
        </w:rPr>
        <w:t xml:space="preserve">Three cautions belong with that table, and the first is the heaviest. The primate measurement is not an MSH3 measurement. The study used an oligonucleotide against </w:t>
      </w:r>
      <w:r>
        <w:rPr>
          <w:rFonts w:ascii="Times New Roman" w:hAnsi="Times New Roman" w:cs="Times New Roman"/>
          <w:b w:val="0"/>
          <w:i/>
          <w:caps w:val="0"/>
          <w:sz w:val="20"/>
        </w:rPr>
        <w:t>Malat1</w:t>
      </w:r>
      <w:r>
        <w:rPr>
          <w:rFonts w:ascii="Times New Roman" w:hAnsi="Times New Roman" w:cs="Times New Roman"/>
          <w:b w:val="0"/>
          <w:i w:val="0"/>
          <w:caps w:val="0"/>
          <w:sz w:val="20"/>
        </w:rPr>
        <w:t>, a nuclear long non-coding RNA, as a reporter of where an intrathecally delivered gapmer is active, and it reports residual target RNA rather than residual protein [7]. The numbers are used here as a property of the route and the cell type, which is what they were measured to establish, and MSH3 is assumed to respond the same way to the same chemistry in the same neurons. That assumption is conventional, it is the best available, and it is the load-bearing step in the whole delivery argument, so no reader should be left to infer it. The right-hand column is labelled accordingly: it is what the model predicts if the assumption holds, not a measured suppression of expansion. These figures come from 25 mg given intrathecally three times in macaques, a regimen the original authors themselves note likely exceeds what clinical dosing would deliver [7]. And the inferred tissue penetration length is 3.9 mm, which is short against the depth of the human putamen.</w:t>
      </w:r>
    </w:p>
    <w:p>
      <w:pPr>
        <w:spacing w:after="60" w:before="0" w:line="240" w:lineRule="auto"/>
        <w:ind w:firstLine="288"/>
        <w:jc w:val="both"/>
      </w:pPr>
      <w:r>
        <w:rPr>
          <w:rFonts w:ascii="Times New Roman" w:hAnsi="Times New Roman" w:cs="Times New Roman"/>
          <w:b w:val="0"/>
          <w:i w:val="0"/>
          <w:caps w:val="0"/>
          <w:sz w:val="20"/>
        </w:rPr>
        <w:t>How much worse the human case is depends entirely on how deep the human putamen is taken to be, and that single assumed number swings the answer by more than an order of magnitude, so it is reported as a range rather than as a figure (</w:t>
      </w:r>
      <w:r>
        <w:rPr>
          <w:rFonts w:ascii="Consolas" w:hAnsi="Consolas" w:cs="Consolas"/>
          <w:b w:val="0"/>
          <w:i w:val="0"/>
          <w:caps w:val="0"/>
          <w:sz w:val="20"/>
        </w:rPr>
        <w:t>results/depth_attenuation.csv</w:t>
      </w:r>
      <w:r>
        <w:rPr>
          <w:rFonts w:ascii="Times New Roman" w:hAnsi="Times New Roman" w:cs="Times New Roman"/>
          <w:b w:val="0"/>
          <w:i w:val="0"/>
          <w:caps w:val="0"/>
          <w:sz w:val="20"/>
        </w:rPr>
        <w:t>). Against the 10 mm assumed for the macaque, a human depth of 12 mm costs a further 1.7-fold, 16 mm costs 4.6-fold and 20 mm costs 12.9-fold. Scaling linear dimensions by the cube root of brain mass, from a roughly 90 g macaque brain to a roughly 1,300 g human one, gives 24.4 mm and a 40-fold penalty, but that is almost certainly too pessimistic: the putamen does not sit at a fixed fraction of brain radius, and in a human the lateral ventricle runs alongside it. The middle anatomical scenario, a 4.6-fold further attenuation at 16 mm, is the figure carried forward, and it should be read as the midpoint of a two to forty-fold range rather than as a result.</w:t>
      </w:r>
    </w:p>
    <w:p>
      <w:pPr>
        <w:spacing w:after="60" w:before="0" w:line="240" w:lineRule="auto"/>
        <w:ind w:firstLine="288"/>
        <w:jc w:val="both"/>
      </w:pPr>
      <w:r>
        <w:rPr>
          <w:rFonts w:ascii="Times New Roman" w:hAnsi="Times New Roman" w:cs="Times New Roman"/>
          <w:b w:val="0"/>
          <w:i w:val="0"/>
          <w:caps w:val="0"/>
          <w:sz w:val="20"/>
        </w:rPr>
        <w:t>What is not in doubt is the direction and the reason for it. A diffusion-limited route into a deep structure gets worse, not better, when the brain gets bigger, and with a penetration length of 3.9 mm every additional four millimetres of depth costs roughly another factor of e.</w:t>
      </w:r>
    </w:p>
    <w:p>
      <w:pPr>
        <w:spacing w:after="60" w:before="0" w:line="240" w:lineRule="auto"/>
        <w:ind w:firstLine="288"/>
        <w:jc w:val="both"/>
      </w:pPr>
      <w:r>
        <w:rPr>
          <w:rFonts w:ascii="Times New Roman" w:hAnsi="Times New Roman" w:cs="Times New Roman"/>
          <w:b w:val="0"/>
          <w:i w:val="0"/>
          <w:caps w:val="0"/>
          <w:sz w:val="20"/>
        </w:rPr>
        <w:t>So the honest summary is that the best measured intrathecal engagement in the right cell type in the right structure is 29%, that figure comes from a heavier-than-clinical regimen in a smaller brain, and the model says it corresponds to roughly a third of the available expansion suppression.</w:t>
      </w:r>
    </w:p>
    <w:p>
      <w:pPr>
        <w:sectPr>
          <w:type w:val="continuous"/>
          <w:pgSz w:w="12240" w:h="15840"/>
          <w:pgMar w:top="1080" w:right="900" w:bottom="1440" w:left="900" w:header="720" w:footer="720" w:gutter="0"/>
          <w:cols w:space="360" w:num="2" w:equalWidth="1"/>
          <w:docGrid w:linePitch="360"/>
        </w:sectPr>
      </w:pPr>
    </w:p>
    <w:p>
      <w:pPr>
        <w:spacing w:after="40" w:before="0" w:line="240" w:lineRule="auto"/>
        <w:ind w:firstLine="0"/>
        <w:jc w:val="center"/>
      </w:pPr>
      <w:r>
        <w:drawing>
          <wp:inline xmlns:a="http://schemas.openxmlformats.org/drawingml/2006/main" xmlns:pic="http://schemas.openxmlformats.org/drawingml/2006/picture">
            <wp:extent cx="6492240" cy="2261090"/>
            <wp:docPr id="9" name="Picture 9"/>
            <wp:cNvGraphicFramePr>
              <a:graphicFrameLocks noChangeAspect="1"/>
            </wp:cNvGraphicFramePr>
            <a:graphic>
              <a:graphicData uri="http://schemas.openxmlformats.org/drawingml/2006/picture">
                <pic:pic>
                  <pic:nvPicPr>
                    <pic:cNvPr id="0" name="fig6_delivery.png"/>
                    <pic:cNvPicPr/>
                  </pic:nvPicPr>
                  <pic:blipFill>
                    <a:blip r:embed="rId17"/>
                    <a:stretch>
                      <a:fillRect/>
                    </a:stretch>
                  </pic:blipFill>
                  <pic:spPr>
                    <a:xfrm>
                      <a:off x="0" y="0"/>
                      <a:ext cx="6492240" cy="2261090"/>
                    </a:xfrm>
                    <a:prstGeom prst="rect"/>
                  </pic:spPr>
                </pic:pic>
              </a:graphicData>
            </a:graphic>
          </wp:inline>
        </w:drawing>
      </w:r>
    </w:p>
    <w:p>
      <w:pPr>
        <w:spacing w:after="160" w:before="0" w:line="240" w:lineRule="auto"/>
        <w:ind w:firstLine="0"/>
        <w:jc w:val="both"/>
      </w:pPr>
      <w:r>
        <w:rPr>
          <w:rFonts w:ascii="Times New Roman" w:hAnsi="Times New Roman" w:cs="Times New Roman"/>
          <w:b w:val="0"/>
          <w:i w:val="0"/>
          <w:caps w:val="0"/>
          <w:sz w:val="16"/>
        </w:rPr>
        <w:t xml:space="preserve">Fig. 9.  </w:t>
      </w:r>
      <w:r>
        <w:rPr>
          <w:rFonts w:ascii="Times New Roman" w:hAnsi="Times New Roman" w:cs="Times New Roman"/>
          <w:b/>
          <w:i w:val="0"/>
          <w:caps w:val="0"/>
          <w:sz w:val="16"/>
        </w:rPr>
        <w:t>The delivery problem.</w:t>
      </w:r>
      <w:r>
        <w:rPr>
          <w:rFonts w:ascii="Times New Roman" w:hAnsi="Times New Roman" w:cs="Times New Roman"/>
          <w:b w:val="0"/>
          <w:i w:val="0"/>
          <w:caps w:val="0"/>
          <w:sz w:val="16"/>
        </w:rPr>
        <w:t xml:space="preserve"> (A) Exposure-response fitted to the two mouse intracerebroventricular doses, with target knockdown levels marked. (B) What intrathecal delivery achieves in deep brain and the expansion suppression it implies. (C) Systemic dose required for 75% MSH3 lowering, against the dose that actually needs to arrive in the striatum (dashed).</w:t>
      </w:r>
    </w:p>
    <w:p>
      <w:pPr>
        <w:sectPr>
          <w:type w:val="continuous"/>
          <w:pgSz w:w="12240" w:h="15840"/>
          <w:pgMar w:top="1080" w:right="900" w:bottom="1440" w:left="900" w:header="720" w:footer="720" w:gutter="0"/>
          <w:cols w:space="360" w:num="1" w:equalWidth="1"/>
          <w:docGrid w:linePitch="360"/>
        </w:sectPr>
      </w:pPr>
    </w:p>
    <w:p>
      <w:pPr>
        <w:spacing w:after="40" w:before="120" w:line="240" w:lineRule="auto"/>
        <w:ind w:firstLine="0"/>
        <w:jc w:val="left"/>
      </w:pPr>
      <w:r>
        <w:rPr>
          <w:rFonts w:ascii="Times New Roman" w:hAnsi="Times New Roman" w:cs="Times New Roman"/>
          <w:b w:val="0"/>
          <w:i/>
          <w:caps w:val="0"/>
          <w:sz w:val="20"/>
        </w:rPr>
        <w:t>I.  A systemic nanocarrier has an affinity optimum, and the optimum is not enough</w:t>
      </w:r>
    </w:p>
    <w:p>
      <w:pPr>
        <w:spacing w:after="60" w:before="0" w:line="240" w:lineRule="auto"/>
        <w:ind w:firstLine="288"/>
        <w:jc w:val="both"/>
      </w:pPr>
      <w:r>
        <w:rPr>
          <w:rFonts w:ascii="Times New Roman" w:hAnsi="Times New Roman" w:cs="Times New Roman"/>
          <w:b w:val="0"/>
          <w:i w:val="0"/>
          <w:caps w:val="0"/>
          <w:sz w:val="20"/>
        </w:rPr>
        <w:t xml:space="preserve">Fitting the two-step capture and release model to the published anti-transferrin-receptor gold nanoparticle affinity series gives </w:t>
      </w:r>
      <w:r>
        <w:rPr>
          <w:rFonts w:ascii="Times New Roman" w:hAnsi="Times New Roman" w:cs="Times New Roman"/>
          <w:b w:val="0"/>
          <w:i/>
          <w:caps w:val="0"/>
          <w:sz w:val="20"/>
        </w:rPr>
        <w:t>K</w:t>
      </w:r>
      <w:r>
        <w:rPr>
          <w:rFonts w:ascii="Times New Roman" w:hAnsi="Times New Roman" w:cs="Times New Roman"/>
          <w:b w:val="0"/>
          <w:i/>
          <w:caps w:val="0"/>
          <w:sz w:val="20"/>
          <w:vertAlign w:val="subscript"/>
        </w:rPr>
        <w:t>D,b</w:t>
      </w:r>
      <w:r>
        <w:rPr>
          <w:rFonts w:ascii="Times New Roman" w:hAnsi="Times New Roman" w:cs="Times New Roman"/>
          <w:b w:val="0"/>
          <w:i w:val="0"/>
          <w:caps w:val="0"/>
          <w:sz w:val="20"/>
        </w:rPr>
        <w:t xml:space="preserve"> = 286 nM for luminal capture and </w:t>
      </w:r>
      <w:r>
        <w:rPr>
          <w:rFonts w:ascii="Times New Roman" w:hAnsi="Times New Roman" w:cs="Times New Roman"/>
          <w:b w:val="0"/>
          <w:i/>
          <w:caps w:val="0"/>
          <w:sz w:val="20"/>
        </w:rPr>
        <w:t>K</w:t>
      </w:r>
      <w:r>
        <w:rPr>
          <w:rFonts w:ascii="Times New Roman" w:hAnsi="Times New Roman" w:cs="Times New Roman"/>
          <w:b w:val="0"/>
          <w:i/>
          <w:caps w:val="0"/>
          <w:sz w:val="20"/>
          <w:vertAlign w:val="subscript"/>
        </w:rPr>
        <w:t>r</w:t>
      </w:r>
      <w:r>
        <w:rPr>
          <w:rFonts w:ascii="Times New Roman" w:hAnsi="Times New Roman" w:cs="Times New Roman"/>
          <w:b w:val="0"/>
          <w:i w:val="0"/>
          <w:caps w:val="0"/>
          <w:sz w:val="20"/>
        </w:rPr>
        <w:t xml:space="preserve"> = 64 nM for abluminal release, so parenchymal accumulation peaks at </w:t>
      </w:r>
      <w:r>
        <w:rPr>
          <w:rFonts w:ascii="Times New Roman" w:hAnsi="Times New Roman" w:cs="Times New Roman"/>
          <w:b w:val="0"/>
          <w:i/>
          <w:caps w:val="0"/>
          <w:sz w:val="20"/>
        </w:rPr>
        <w:t>K</w:t>
      </w:r>
      <w:r>
        <w:rPr>
          <w:rFonts w:ascii="Times New Roman" w:hAnsi="Times New Roman" w:cs="Times New Roman"/>
          <w:b w:val="0"/>
          <w:i/>
          <w:caps w:val="0"/>
          <w:sz w:val="20"/>
          <w:vertAlign w:val="subscript"/>
        </w:rPr>
        <w:t>D</w:t>
      </w:r>
      <w:r>
        <w:rPr>
          <w:rFonts w:ascii="Times New Roman" w:hAnsi="Times New Roman" w:cs="Times New Roman"/>
          <w:b w:val="0"/>
          <w:i w:val="0"/>
          <w:caps w:val="0"/>
          <w:sz w:val="20"/>
        </w:rPr>
        <w:t xml:space="preserve"> of about 135 nM (Fig. 10A). That is an order of magnitude weaker than the high-affinity variants that are usually engineered. Valency matters more than affinity over the measured range: the ratio of monovalent to bivalent accumulation at matched affinity is 5.7-fold, which is read straight off the measurements rather than fitted.</w:t>
      </w:r>
    </w:p>
    <w:p>
      <w:pPr>
        <w:spacing w:after="60" w:before="0" w:line="240" w:lineRule="auto"/>
        <w:ind w:firstLine="288"/>
        <w:jc w:val="both"/>
      </w:pPr>
      <w:r>
        <w:rPr>
          <w:rFonts w:ascii="Times New Roman" w:hAnsi="Times New Roman" w:cs="Times New Roman"/>
          <w:b w:val="0"/>
          <w:i w:val="0"/>
          <w:caps w:val="0"/>
          <w:sz w:val="20"/>
        </w:rPr>
        <w:t>The same caution that applies to the exposure-response curve applies here, and for the same reason. Two parameters were fitted to two bivalent data points, so the curve passes through both by construction and the fit has nothing left over to be tested against. That means the existence of an interior optimum is a property of the assumed product form, not something these data demonstrate: any two points can be threaded by a capture-times-release curve, and such a curve always has a maximum. What the data do supply is where that maximum sits if the form is right, and the fact that accumulation falls between 21 and 149 nM, which at least establishes that tighter binding is not monotonically better over the measured range. The mechanism itself, that binding tighter captures more carrier at the luminal face and releases less of it on the far side, is taken from the transcytosis literature rather than derived here.</w:t>
      </w:r>
    </w:p>
    <w:p>
      <w:pPr>
        <w:spacing w:after="60" w:before="0" w:line="240" w:lineRule="auto"/>
        <w:ind w:firstLine="288"/>
        <w:jc w:val="both"/>
      </w:pPr>
      <w:r>
        <w:rPr>
          <w:rFonts w:ascii="Times New Roman" w:hAnsi="Times New Roman" w:cs="Times New Roman"/>
          <w:b w:val="0"/>
          <w:i w:val="0"/>
          <w:caps w:val="0"/>
          <w:sz w:val="20"/>
        </w:rPr>
        <w:t>The optimum is real and it is small. Moving from the best measured monovalent design, at 0.230% of injected dose per gram, to the modelled optimum gives 2.0-fold more drug in the parenchyma. Set against the dose requirement, that is not close to sufficient (</w:t>
      </w:r>
      <w:r>
        <w:rPr>
          <w:rFonts w:ascii="Consolas" w:hAnsi="Consolas" w:cs="Consolas"/>
          <w:b w:val="0"/>
          <w:i w:val="0"/>
          <w:caps w:val="0"/>
          <w:sz w:val="20"/>
        </w:rPr>
        <w:t>results/translation.csv</w:t>
      </w:r>
      <w:r>
        <w:rPr>
          <w:rFonts w:ascii="Times New Roman" w:hAnsi="Times New Roman" w:cs="Times New Roman"/>
          <w:b w:val="0"/>
          <w:i w:val="0"/>
          <w:caps w:val="0"/>
          <w:sz w:val="20"/>
        </w:rPr>
        <w:t>):</w:t>
      </w:r>
    </w:p>
    <w:p>
      <w:pPr>
        <w:sectPr>
          <w:type w:val="continuous"/>
          <w:pgSz w:w="12240" w:h="15840"/>
          <w:pgMar w:top="1080" w:right="900" w:bottom="1440" w:left="900" w:header="720" w:footer="720" w:gutter="0"/>
          <w:cols w:space="360" w:num="2" w:equalWidth="1"/>
          <w:docGrid w:linePitch="360"/>
        </w:sectPr>
      </w:pPr>
    </w:p>
    <w:p>
      <w:pPr>
        <w:spacing w:after="20" w:before="120" w:line="240" w:lineRule="auto"/>
        <w:ind w:firstLine="0"/>
        <w:jc w:val="center"/>
      </w:pPr>
      <w:r>
        <w:rPr>
          <w:rFonts w:ascii="Times New Roman" w:hAnsi="Times New Roman" w:cs="Times New Roman"/>
          <w:b w:val="0"/>
          <w:i w:val="0"/>
          <w:caps w:val="0"/>
          <w:sz w:val="16"/>
        </w:rPr>
        <w:t>TABLE VI</w:t>
      </w:r>
    </w:p>
    <w:p>
      <w:pPr>
        <w:spacing w:after="60" w:before="0" w:line="240" w:lineRule="auto"/>
        <w:ind w:firstLine="0"/>
        <w:jc w:val="center"/>
      </w:pPr>
      <w:r>
        <w:rPr>
          <w:rFonts w:ascii="Times New Roman" w:hAnsi="Times New Roman" w:cs="Times New Roman"/>
          <w:b w:val="0"/>
          <w:i w:val="0"/>
          <w:caps/>
          <w:sz w:val="16"/>
        </w:rPr>
        <w:t>Systemic dose required for 75% striatal MSH3 lowering, by nanocarrier design.</w:t>
      </w:r>
    </w:p>
    <w:tbl>
      <w:tblPr>
        <w:tblStyle w:val="TableGrid"/>
        <w:tblW w:type="auto" w:w="0"/>
        <w:jc w:val="center"/>
        <w:tblLook w:firstColumn="1" w:firstRow="1" w:lastColumn="0" w:lastRow="0" w:noHBand="0" w:noVBand="1" w:val="04A0"/>
      </w:tblPr>
      <w:tblGrid>
        <w:gridCol w:w="3480"/>
        <w:gridCol w:w="3480"/>
        <w:gridCol w:w="3480"/>
      </w:tblGrid>
      <w:tr>
        <w:tc>
          <w:tcPr>
            <w:tcW w:type="dxa" w:w="3480"/>
          </w:tcPr>
          <w:p>
            <w:pPr>
              <w:spacing w:after="0"/>
            </w:pPr>
            <w:r/>
            <w:r>
              <w:rPr>
                <w:rFonts w:ascii="Times New Roman" w:hAnsi="Times New Roman" w:cs="Times New Roman"/>
                <w:b/>
                <w:i w:val="0"/>
                <w:caps w:val="0"/>
                <w:sz w:val="16"/>
              </w:rPr>
              <w:t>Design</w:t>
            </w:r>
          </w:p>
        </w:tc>
        <w:tc>
          <w:tcPr>
            <w:tcW w:type="dxa" w:w="3480"/>
          </w:tcPr>
          <w:p>
            <w:pPr>
              <w:spacing w:after="0"/>
            </w:pPr>
            <w:r/>
            <w:r>
              <w:rPr>
                <w:rFonts w:ascii="Times New Roman" w:hAnsi="Times New Roman" w:cs="Times New Roman"/>
                <w:b/>
                <w:i w:val="0"/>
                <w:caps w:val="0"/>
                <w:sz w:val="16"/>
              </w:rPr>
              <w:t>Dose for 75% striatal MSH3 lowering</w:t>
            </w:r>
          </w:p>
        </w:tc>
        <w:tc>
          <w:tcPr>
            <w:tcW w:type="dxa" w:w="3480"/>
          </w:tcPr>
          <w:p>
            <w:pPr>
              <w:spacing w:after="0"/>
            </w:pPr>
            <w:r/>
            <w:r>
              <w:rPr>
                <w:rFonts w:ascii="Times New Roman" w:hAnsi="Times New Roman" w:cs="Times New Roman"/>
                <w:b/>
                <w:i w:val="0"/>
                <w:caps w:val="0"/>
                <w:sz w:val="16"/>
              </w:rPr>
              <w:t>Improvement needed against 3 mg per kg</w:t>
            </w:r>
          </w:p>
        </w:tc>
      </w:tr>
      <w:tr>
        <w:tc>
          <w:tcPr>
            <w:tcW w:type="dxa" w:w="3480"/>
          </w:tcPr>
          <w:p>
            <w:pPr>
              <w:spacing w:after="0"/>
            </w:pPr>
            <w:r>
              <w:rPr>
                <w:rFonts w:ascii="Times New Roman" w:hAnsi="Times New Roman" w:cs="Times New Roman"/>
                <w:b w:val="0"/>
                <w:i w:val="0"/>
                <w:caps w:val="0"/>
                <w:sz w:val="16"/>
              </w:rPr>
              <w:t xml:space="preserve">Bivalent, </w:t>
            </w:r>
            <w:r>
              <w:rPr>
                <w:rFonts w:ascii="Times New Roman" w:hAnsi="Times New Roman" w:cs="Times New Roman"/>
                <w:b w:val="0"/>
                <w:i/>
                <w:caps w:val="0"/>
                <w:sz w:val="16"/>
              </w:rPr>
              <w:t>K</w:t>
            </w:r>
            <w:r>
              <w:rPr>
                <w:rFonts w:ascii="Times New Roman" w:hAnsi="Times New Roman" w:cs="Times New Roman"/>
                <w:b w:val="0"/>
                <w:i/>
                <w:caps w:val="0"/>
                <w:sz w:val="16"/>
                <w:vertAlign w:val="subscript"/>
              </w:rPr>
              <w:t>D</w:t>
            </w:r>
            <w:r>
              <w:rPr>
                <w:rFonts w:ascii="Times New Roman" w:hAnsi="Times New Roman" w:cs="Times New Roman"/>
                <w:b w:val="0"/>
                <w:i w:val="0"/>
                <w:caps w:val="0"/>
                <w:sz w:val="16"/>
              </w:rPr>
              <w:t xml:space="preserve"> 21 nM</w:t>
            </w:r>
          </w:p>
        </w:tc>
        <w:tc>
          <w:tcPr>
            <w:tcW w:type="dxa" w:w="3480"/>
          </w:tcPr>
          <w:p>
            <w:pPr>
              <w:spacing w:after="0"/>
            </w:pPr>
            <w:r>
              <w:rPr>
                <w:rFonts w:ascii="Times New Roman" w:hAnsi="Times New Roman" w:cs="Times New Roman"/>
                <w:b w:val="0"/>
                <w:i w:val="0"/>
                <w:caps w:val="0"/>
                <w:sz w:val="16"/>
              </w:rPr>
              <w:t>625 mg per kg</w:t>
            </w:r>
          </w:p>
        </w:tc>
        <w:tc>
          <w:tcPr>
            <w:tcW w:type="dxa" w:w="3480"/>
          </w:tcPr>
          <w:p>
            <w:pPr>
              <w:spacing w:after="0"/>
            </w:pPr>
            <w:r>
              <w:rPr>
                <w:rFonts w:ascii="Times New Roman" w:hAnsi="Times New Roman" w:cs="Times New Roman"/>
                <w:b w:val="0"/>
                <w:i w:val="0"/>
                <w:caps w:val="0"/>
                <w:sz w:val="16"/>
              </w:rPr>
              <w:t>208-fold</w:t>
            </w:r>
          </w:p>
        </w:tc>
      </w:tr>
      <w:tr>
        <w:tc>
          <w:tcPr>
            <w:tcW w:type="dxa" w:w="3480"/>
          </w:tcPr>
          <w:p>
            <w:pPr>
              <w:spacing w:after="0"/>
            </w:pPr>
            <w:r>
              <w:rPr>
                <w:rFonts w:ascii="Times New Roman" w:hAnsi="Times New Roman" w:cs="Times New Roman"/>
                <w:b w:val="0"/>
                <w:i w:val="0"/>
                <w:caps w:val="0"/>
                <w:sz w:val="16"/>
              </w:rPr>
              <w:t xml:space="preserve">Monovalent, </w:t>
            </w:r>
            <w:r>
              <w:rPr>
                <w:rFonts w:ascii="Times New Roman" w:hAnsi="Times New Roman" w:cs="Times New Roman"/>
                <w:b w:val="0"/>
                <w:i/>
                <w:caps w:val="0"/>
                <w:sz w:val="16"/>
              </w:rPr>
              <w:t>K</w:t>
            </w:r>
            <w:r>
              <w:rPr>
                <w:rFonts w:ascii="Times New Roman" w:hAnsi="Times New Roman" w:cs="Times New Roman"/>
                <w:b w:val="0"/>
                <w:i/>
                <w:caps w:val="0"/>
                <w:sz w:val="16"/>
                <w:vertAlign w:val="subscript"/>
              </w:rPr>
              <w:t>D</w:t>
            </w:r>
            <w:r>
              <w:rPr>
                <w:rFonts w:ascii="Times New Roman" w:hAnsi="Times New Roman" w:cs="Times New Roman"/>
                <w:b w:val="0"/>
                <w:i w:val="0"/>
                <w:caps w:val="0"/>
                <w:sz w:val="16"/>
              </w:rPr>
              <w:t xml:space="preserve"> 22 nM (best measured)</w:t>
            </w:r>
          </w:p>
        </w:tc>
        <w:tc>
          <w:tcPr>
            <w:tcW w:type="dxa" w:w="3480"/>
          </w:tcPr>
          <w:p>
            <w:pPr>
              <w:spacing w:after="0"/>
            </w:pPr>
            <w:r>
              <w:rPr>
                <w:rFonts w:ascii="Times New Roman" w:hAnsi="Times New Roman" w:cs="Times New Roman"/>
                <w:b w:val="0"/>
                <w:i w:val="0"/>
                <w:caps w:val="0"/>
                <w:sz w:val="16"/>
              </w:rPr>
              <w:t>109 mg per kg</w:t>
            </w:r>
          </w:p>
        </w:tc>
        <w:tc>
          <w:tcPr>
            <w:tcW w:type="dxa" w:w="3480"/>
          </w:tcPr>
          <w:p>
            <w:pPr>
              <w:spacing w:after="0"/>
            </w:pPr>
            <w:r>
              <w:rPr>
                <w:rFonts w:ascii="Times New Roman" w:hAnsi="Times New Roman" w:cs="Times New Roman"/>
                <w:b w:val="0"/>
                <w:i w:val="0"/>
                <w:caps w:val="0"/>
                <w:sz w:val="16"/>
              </w:rPr>
              <w:t>36-fold</w:t>
            </w:r>
          </w:p>
        </w:tc>
      </w:tr>
      <w:tr>
        <w:tc>
          <w:tcPr>
            <w:tcW w:type="dxa" w:w="3480"/>
          </w:tcPr>
          <w:p>
            <w:pPr>
              <w:spacing w:after="0"/>
            </w:pPr>
            <w:r>
              <w:rPr>
                <w:rFonts w:ascii="Times New Roman" w:hAnsi="Times New Roman" w:cs="Times New Roman"/>
                <w:b w:val="0"/>
                <w:i w:val="0"/>
                <w:caps w:val="0"/>
                <w:sz w:val="16"/>
              </w:rPr>
              <w:t>Monovalent, at the modelled optimum</w:t>
            </w:r>
          </w:p>
        </w:tc>
        <w:tc>
          <w:tcPr>
            <w:tcW w:type="dxa" w:w="3480"/>
          </w:tcPr>
          <w:p>
            <w:pPr>
              <w:spacing w:after="0"/>
            </w:pPr>
            <w:r>
              <w:rPr>
                <w:rFonts w:ascii="Times New Roman" w:hAnsi="Times New Roman" w:cs="Times New Roman"/>
                <w:b w:val="0"/>
                <w:i w:val="0"/>
                <w:caps w:val="0"/>
                <w:sz w:val="16"/>
              </w:rPr>
              <w:t>54 mg per kg</w:t>
            </w:r>
          </w:p>
        </w:tc>
        <w:tc>
          <w:tcPr>
            <w:tcW w:type="dxa" w:w="3480"/>
          </w:tcPr>
          <w:p>
            <w:pPr>
              <w:spacing w:after="0"/>
            </w:pPr>
            <w:r>
              <w:rPr>
                <w:rFonts w:ascii="Times New Roman" w:hAnsi="Times New Roman" w:cs="Times New Roman"/>
                <w:b w:val="0"/>
                <w:i w:val="0"/>
                <w:caps w:val="0"/>
                <w:sz w:val="16"/>
              </w:rPr>
              <w:t>18-fold</w:t>
            </w:r>
          </w:p>
        </w:tc>
      </w:tr>
    </w:tbl>
    <w:p>
      <w:pPr>
        <w:spacing w:after="120" w:before="0" w:line="240" w:lineRule="auto"/>
        <w:ind w:firstLine="0"/>
        <w:jc w:val="both"/>
      </w:pPr>
    </w:p>
    <w:p>
      <w:pPr>
        <w:sectPr>
          <w:type w:val="continuous"/>
          <w:pgSz w:w="12240" w:h="15840"/>
          <w:pgMar w:top="1080" w:right="900" w:bottom="1440" w:left="900" w:header="720" w:footer="720" w:gutter="0"/>
          <w:cols w:space="360" w:num="1" w:equalWidth="1"/>
          <w:docGrid w:linePitch="360"/>
        </w:sectPr>
      </w:pPr>
    </w:p>
    <w:p>
      <w:pPr>
        <w:spacing w:after="60" w:before="0" w:line="240" w:lineRule="auto"/>
        <w:ind w:firstLine="288"/>
        <w:jc w:val="both"/>
      </w:pPr>
      <w:r>
        <w:rPr>
          <w:rFonts w:ascii="Times New Roman" w:hAnsi="Times New Roman" w:cs="Times New Roman"/>
          <w:b w:val="0"/>
          <w:i w:val="0"/>
          <w:caps w:val="0"/>
          <w:sz w:val="20"/>
        </w:rPr>
        <w:t>Every figure in that table is in milligrams, so it carries an assumed molecular weight, and since the paper quotes these numbers more than any others the assumption belongs next to them rather than in a result file. The model works in nanomoles; converting to mass needs a molecular weight, taken here as 14 kDa, roughly a divalent siRNA. The script sweeps 7, 14 and 28 kDa, which covers a single strand through to a heavily conjugated construct, and every milligram figure scales in direct proportion, so the quoted doses halve or double at the ends of that range. The fold improvements do not, because the 3 mg per kg ceiling they are measured against is itself a mass.</w:t>
      </w:r>
    </w:p>
    <w:p>
      <w:pPr>
        <w:spacing w:after="60" w:before="0" w:line="240" w:lineRule="auto"/>
        <w:ind w:firstLine="288"/>
        <w:jc w:val="both"/>
      </w:pPr>
      <w:r>
        <w:rPr>
          <w:rFonts w:ascii="Times New Roman" w:hAnsi="Times New Roman" w:cs="Times New Roman"/>
          <w:b w:val="0"/>
          <w:i w:val="0"/>
          <w:caps w:val="0"/>
          <w:sz w:val="20"/>
        </w:rPr>
        <w:t>The contrast that makes the point is this. Seven milligrams of oligonucleotide inside a 20 g human striatum would achieve 75% MSH3 lowering, taking 14 kDa for the payload. Reaching that by the systemic transcytosis route would require injecting 7.6 grams. Affinity and valency engineering closes a factor of two of that gap. The rest has to come from somewhere else, and the arithmetic says exactly where to look: endosomal escape, assumed here at 2%, scales the required dose linearly and is by far the least constrained number in the chain. Receptor choice is the next lever. Failing both, the systemic route is the wrong route, and intraparenchymal or convection-enhanced delivery becomes the comparison to beat.</w:t>
      </w:r>
    </w:p>
    <w:p>
      <w:pPr>
        <w:sectPr>
          <w:type w:val="continuous"/>
          <w:pgSz w:w="12240" w:h="15840"/>
          <w:pgMar w:top="1080" w:right="900" w:bottom="1440" w:left="900" w:header="720" w:footer="720" w:gutter="0"/>
          <w:cols w:space="360" w:num="2" w:equalWidth="1"/>
          <w:docGrid w:linePitch="360"/>
        </w:sectPr>
      </w:pPr>
    </w:p>
    <w:p>
      <w:pPr>
        <w:spacing w:after="40" w:before="0" w:line="240" w:lineRule="auto"/>
        <w:ind w:firstLine="0"/>
        <w:jc w:val="center"/>
      </w:pPr>
      <w:r>
        <w:drawing>
          <wp:inline xmlns:a="http://schemas.openxmlformats.org/drawingml/2006/main" xmlns:pic="http://schemas.openxmlformats.org/drawingml/2006/picture">
            <wp:extent cx="6492240" cy="3198800"/>
            <wp:docPr id="10" name="Picture 10"/>
            <wp:cNvGraphicFramePr>
              <a:graphicFrameLocks noChangeAspect="1"/>
            </wp:cNvGraphicFramePr>
            <a:graphic>
              <a:graphicData uri="http://schemas.openxmlformats.org/drawingml/2006/picture">
                <pic:pic>
                  <pic:nvPicPr>
                    <pic:cNvPr id="0" name="fig7_rmt_design.png"/>
                    <pic:cNvPicPr/>
                  </pic:nvPicPr>
                  <pic:blipFill>
                    <a:blip r:embed="rId18"/>
                    <a:stretch>
                      <a:fillRect/>
                    </a:stretch>
                  </pic:blipFill>
                  <pic:spPr>
                    <a:xfrm>
                      <a:off x="0" y="0"/>
                      <a:ext cx="6492240" cy="3198800"/>
                    </a:xfrm>
                    <a:prstGeom prst="rect"/>
                  </pic:spPr>
                </pic:pic>
              </a:graphicData>
            </a:graphic>
          </wp:inline>
        </w:drawing>
      </w:r>
    </w:p>
    <w:p>
      <w:pPr>
        <w:spacing w:after="160" w:before="0" w:line="240" w:lineRule="auto"/>
        <w:ind w:firstLine="0"/>
        <w:jc w:val="both"/>
      </w:pPr>
      <w:r>
        <w:rPr>
          <w:rFonts w:ascii="Times New Roman" w:hAnsi="Times New Roman" w:cs="Times New Roman"/>
          <w:b w:val="0"/>
          <w:i w:val="0"/>
          <w:caps w:val="0"/>
          <w:sz w:val="16"/>
        </w:rPr>
        <w:t xml:space="preserve">Fig. 10.  </w:t>
      </w:r>
      <w:r>
        <w:rPr>
          <w:rFonts w:ascii="Times New Roman" w:hAnsi="Times New Roman" w:cs="Times New Roman"/>
          <w:b/>
          <w:i w:val="0"/>
          <w:caps w:val="0"/>
          <w:sz w:val="16"/>
        </w:rPr>
        <w:t>Nanocarrier design space.</w:t>
      </w:r>
      <w:r>
        <w:rPr>
          <w:rFonts w:ascii="Times New Roman" w:hAnsi="Times New Roman" w:cs="Times New Roman"/>
          <w:b w:val="0"/>
          <w:i w:val="0"/>
          <w:caps w:val="0"/>
          <w:sz w:val="16"/>
        </w:rPr>
        <w:t xml:space="preserve"> (A) Fitted affinity and valency response against the measured gold nanoparticle data, with the optimum at </w:t>
      </w:r>
      <w:r>
        <w:rPr>
          <w:rFonts w:ascii="Times New Roman" w:hAnsi="Times New Roman" w:cs="Times New Roman"/>
          <w:b w:val="0"/>
          <w:i/>
          <w:caps w:val="0"/>
          <w:sz w:val="16"/>
        </w:rPr>
        <w:t>K</w:t>
      </w:r>
      <w:r>
        <w:rPr>
          <w:rFonts w:ascii="Times New Roman" w:hAnsi="Times New Roman" w:cs="Times New Roman"/>
          <w:b w:val="0"/>
          <w:i/>
          <w:caps w:val="0"/>
          <w:sz w:val="16"/>
          <w:vertAlign w:val="subscript"/>
        </w:rPr>
        <w:t>D</w:t>
      </w:r>
      <w:r>
        <w:rPr>
          <w:rFonts w:ascii="Times New Roman" w:hAnsi="Times New Roman" w:cs="Times New Roman"/>
          <w:b w:val="0"/>
          <w:i w:val="0"/>
          <w:caps w:val="0"/>
          <w:sz w:val="16"/>
        </w:rPr>
        <w:t xml:space="preserve"> of about 135 nM. (B) Systemic dose required for 75% MSH3 lowering as a function of parenchymal accumulation, for three endosomal escape fractions.</w:t>
      </w:r>
    </w:p>
    <w:p>
      <w:pPr>
        <w:sectPr>
          <w:type w:val="continuous"/>
          <w:pgSz w:w="12240" w:h="15840"/>
          <w:pgMar w:top="1080" w:right="900" w:bottom="1440" w:left="900" w:header="720" w:footer="720" w:gutter="0"/>
          <w:cols w:space="360" w:num="1" w:equalWidth="1"/>
          <w:docGrid w:linePitch="360"/>
        </w:sectPr>
      </w:pPr>
    </w:p>
    <w:p>
      <w:pPr>
        <w:spacing w:after="40" w:before="120" w:line="240" w:lineRule="auto"/>
        <w:ind w:firstLine="0"/>
        <w:jc w:val="left"/>
      </w:pPr>
      <w:r>
        <w:rPr>
          <w:rFonts w:ascii="Times New Roman" w:hAnsi="Times New Roman" w:cs="Times New Roman"/>
          <w:b w:val="0"/>
          <w:i/>
          <w:caps w:val="0"/>
          <w:sz w:val="20"/>
        </w:rPr>
        <w:t>J.  In silico trial: a real benefit, sublinear in dose, and dominated by timing</w:t>
      </w:r>
    </w:p>
    <w:p>
      <w:pPr>
        <w:spacing w:after="60" w:before="0" w:line="240" w:lineRule="auto"/>
        <w:ind w:firstLine="288"/>
        <w:jc w:val="both"/>
      </w:pPr>
      <w:r>
        <w:rPr>
          <w:rFonts w:ascii="Times New Roman" w:hAnsi="Times New Roman" w:cs="Times New Roman"/>
          <w:b w:val="0"/>
          <w:i w:val="0"/>
          <w:caps w:val="0"/>
          <w:sz w:val="20"/>
        </w:rPr>
        <w:t xml:space="preserve">For a 42-repeat carrier, 47.3% of projection neurons are lost by age 70 without treatment. With lifelong treatment starting at age 30 (Fig. 11A; </w:t>
      </w:r>
      <w:r>
        <w:rPr>
          <w:rFonts w:ascii="Consolas" w:hAnsi="Consolas" w:cs="Consolas"/>
          <w:b w:val="0"/>
          <w:i w:val="0"/>
          <w:caps w:val="0"/>
          <w:sz w:val="20"/>
        </w:rPr>
        <w:t>results/trial_grid.csv</w:t>
      </w:r>
      <w:r>
        <w:rPr>
          <w:rFonts w:ascii="Times New Roman" w:hAnsi="Times New Roman" w:cs="Times New Roman"/>
          <w:b w:val="0"/>
          <w:i w:val="0"/>
          <w:caps w:val="0"/>
          <w:sz w:val="20"/>
        </w:rPr>
        <w:t>):</w:t>
      </w:r>
    </w:p>
    <w:p>
      <w:pPr>
        <w:spacing w:after="20" w:before="120" w:line="240" w:lineRule="auto"/>
        <w:ind w:firstLine="0"/>
        <w:jc w:val="center"/>
      </w:pPr>
      <w:r>
        <w:rPr>
          <w:rFonts w:ascii="Times New Roman" w:hAnsi="Times New Roman" w:cs="Times New Roman"/>
          <w:b w:val="0"/>
          <w:i w:val="0"/>
          <w:caps w:val="0"/>
          <w:sz w:val="16"/>
        </w:rPr>
        <w:t>TABLE VII</w:t>
      </w:r>
    </w:p>
    <w:p>
      <w:pPr>
        <w:spacing w:after="60" w:before="0" w:line="240" w:lineRule="auto"/>
        <w:ind w:firstLine="0"/>
        <w:jc w:val="center"/>
      </w:pPr>
      <w:r>
        <w:rPr>
          <w:rFonts w:ascii="Times New Roman" w:hAnsi="Times New Roman" w:cs="Times New Roman"/>
          <w:b w:val="0"/>
          <w:i w:val="0"/>
          <w:caps/>
          <w:sz w:val="16"/>
        </w:rPr>
        <w:t>Predicted outcome of lifelong treatment from age 30 in a 42-repeat carrier. Censored entries are lower bounds set by the simulated lifespan.</w:t>
      </w:r>
    </w:p>
    <w:tbl>
      <w:tblPr>
        <w:tblStyle w:val="TableGrid"/>
        <w:tblW w:type="auto" w:w="0"/>
        <w:jc w:val="center"/>
        <w:tblLook w:firstColumn="1" w:firstRow="1" w:lastColumn="0" w:lastRow="0" w:noHBand="0" w:noVBand="1" w:val="04A0"/>
      </w:tblPr>
      <w:tblGrid>
        <w:gridCol w:w="3480"/>
        <w:gridCol w:w="3480"/>
        <w:gridCol w:w="3480"/>
      </w:tblGrid>
      <w:tr>
        <w:tc>
          <w:tcPr>
            <w:tcW w:type="dxa" w:w="3480"/>
          </w:tcPr>
          <w:p>
            <w:pPr>
              <w:spacing w:after="0"/>
            </w:pPr>
            <w:r/>
            <w:r>
              <w:rPr>
                <w:rFonts w:ascii="Times New Roman" w:hAnsi="Times New Roman" w:cs="Times New Roman"/>
                <w:b/>
                <w:i w:val="0"/>
                <w:caps w:val="0"/>
                <w:sz w:val="16"/>
              </w:rPr>
              <w:t>Striatal MSH3 knockdown</w:t>
            </w:r>
          </w:p>
        </w:tc>
        <w:tc>
          <w:tcPr>
            <w:tcW w:type="dxa" w:w="3480"/>
          </w:tcPr>
          <w:p>
            <w:pPr>
              <w:spacing w:after="0"/>
            </w:pPr>
            <w:r/>
            <w:r>
              <w:rPr>
                <w:rFonts w:ascii="Times New Roman" w:hAnsi="Times New Roman" w:cs="Times New Roman"/>
                <w:b/>
                <w:i w:val="0"/>
                <w:caps w:val="0"/>
                <w:sz w:val="16"/>
              </w:rPr>
              <w:t>Neuron loss at 70</w:t>
            </w:r>
          </w:p>
        </w:tc>
        <w:tc>
          <w:tcPr>
            <w:tcW w:type="dxa" w:w="3480"/>
          </w:tcPr>
          <w:p>
            <w:pPr>
              <w:spacing w:after="0"/>
            </w:pPr>
            <w:r/>
            <w:r>
              <w:rPr>
                <w:rFonts w:ascii="Times New Roman" w:hAnsi="Times New Roman" w:cs="Times New Roman"/>
                <w:b/>
                <w:i w:val="0"/>
                <w:caps w:val="0"/>
                <w:sz w:val="16"/>
              </w:rPr>
              <w:t>Delay to 25% loss</w:t>
            </w:r>
          </w:p>
        </w:tc>
      </w:tr>
      <w:tr>
        <w:tc>
          <w:tcPr>
            <w:tcW w:type="dxa" w:w="3480"/>
          </w:tcPr>
          <w:p>
            <w:pPr>
              <w:spacing w:after="0"/>
            </w:pPr>
            <w:r>
              <w:rPr>
                <w:rFonts w:ascii="Times New Roman" w:hAnsi="Times New Roman" w:cs="Times New Roman"/>
                <w:b w:val="0"/>
                <w:i w:val="0"/>
                <w:caps w:val="0"/>
                <w:sz w:val="16"/>
              </w:rPr>
              <w:t>0% (control arm)</w:t>
            </w:r>
          </w:p>
        </w:tc>
        <w:tc>
          <w:tcPr>
            <w:tcW w:type="dxa" w:w="3480"/>
          </w:tcPr>
          <w:p>
            <w:pPr>
              <w:spacing w:after="0"/>
            </w:pPr>
            <w:r>
              <w:rPr>
                <w:rFonts w:ascii="Times New Roman" w:hAnsi="Times New Roman" w:cs="Times New Roman"/>
                <w:b w:val="0"/>
                <w:i w:val="0"/>
                <w:caps w:val="0"/>
                <w:sz w:val="16"/>
              </w:rPr>
              <w:t>47.2%</w:t>
            </w:r>
          </w:p>
        </w:tc>
        <w:tc>
          <w:tcPr>
            <w:tcW w:type="dxa" w:w="3480"/>
          </w:tcPr>
          <w:p>
            <w:pPr>
              <w:spacing w:after="0"/>
            </w:pPr>
            <w:r>
              <w:rPr>
                <w:rFonts w:ascii="Times New Roman" w:hAnsi="Times New Roman" w:cs="Times New Roman"/>
                <w:b w:val="0"/>
                <w:i w:val="0"/>
                <w:caps w:val="0"/>
                <w:sz w:val="16"/>
              </w:rPr>
              <w:t>−0.4 y (Monte Carlo noise)</w:t>
            </w:r>
          </w:p>
        </w:tc>
      </w:tr>
      <w:tr>
        <w:tc>
          <w:tcPr>
            <w:tcW w:type="dxa" w:w="3480"/>
          </w:tcPr>
          <w:p>
            <w:pPr>
              <w:spacing w:after="0"/>
            </w:pPr>
            <w:r>
              <w:rPr>
                <w:rFonts w:ascii="Times New Roman" w:hAnsi="Times New Roman" w:cs="Times New Roman"/>
                <w:b/>
                <w:i w:val="0"/>
                <w:caps w:val="0"/>
                <w:sz w:val="16"/>
              </w:rPr>
              <w:t>29% (measured, putaminal neurons)</w:t>
            </w:r>
          </w:p>
        </w:tc>
        <w:tc>
          <w:tcPr>
            <w:tcW w:type="dxa" w:w="3480"/>
          </w:tcPr>
          <w:p>
            <w:pPr>
              <w:spacing w:after="0"/>
            </w:pPr>
            <w:r>
              <w:rPr>
                <w:rFonts w:ascii="Times New Roman" w:hAnsi="Times New Roman" w:cs="Times New Roman"/>
                <w:b/>
                <w:i w:val="0"/>
                <w:caps w:val="0"/>
                <w:sz w:val="16"/>
              </w:rPr>
              <w:t>33.6%</w:t>
            </w:r>
          </w:p>
        </w:tc>
        <w:tc>
          <w:tcPr>
            <w:tcW w:type="dxa" w:w="3480"/>
          </w:tcPr>
          <w:p>
            <w:pPr>
              <w:spacing w:after="0"/>
            </w:pPr>
            <w:r>
              <w:rPr>
                <w:rFonts w:ascii="Times New Roman" w:hAnsi="Times New Roman" w:cs="Times New Roman"/>
                <w:b/>
                <w:i w:val="0"/>
                <w:caps w:val="0"/>
                <w:sz w:val="16"/>
              </w:rPr>
              <w:t>8.2 y</w:t>
            </w:r>
          </w:p>
        </w:tc>
      </w:tr>
      <w:tr>
        <w:tc>
          <w:tcPr>
            <w:tcW w:type="dxa" w:w="3480"/>
          </w:tcPr>
          <w:p>
            <w:pPr>
              <w:spacing w:after="0"/>
            </w:pPr>
            <w:r>
              <w:rPr>
                <w:rFonts w:ascii="Times New Roman" w:hAnsi="Times New Roman" w:cs="Times New Roman"/>
                <w:b w:val="0"/>
                <w:i w:val="0"/>
                <w:caps w:val="0"/>
                <w:sz w:val="16"/>
              </w:rPr>
              <w:t>43% (caudate, sequencing)</w:t>
            </w:r>
          </w:p>
        </w:tc>
        <w:tc>
          <w:tcPr>
            <w:tcW w:type="dxa" w:w="3480"/>
          </w:tcPr>
          <w:p>
            <w:pPr>
              <w:spacing w:after="0"/>
            </w:pPr>
            <w:r>
              <w:rPr>
                <w:rFonts w:ascii="Times New Roman" w:hAnsi="Times New Roman" w:cs="Times New Roman"/>
                <w:b w:val="0"/>
                <w:i w:val="0"/>
                <w:caps w:val="0"/>
                <w:sz w:val="16"/>
              </w:rPr>
              <w:t>26.2%</w:t>
            </w:r>
          </w:p>
        </w:tc>
        <w:tc>
          <w:tcPr>
            <w:tcW w:type="dxa" w:w="3480"/>
          </w:tcPr>
          <w:p>
            <w:pPr>
              <w:spacing w:after="0"/>
            </w:pPr>
            <w:r>
              <w:rPr>
                <w:rFonts w:ascii="Times New Roman" w:hAnsi="Times New Roman" w:cs="Times New Roman"/>
                <w:b w:val="0"/>
                <w:i w:val="0"/>
                <w:caps w:val="0"/>
                <w:sz w:val="16"/>
              </w:rPr>
              <w:t>15.7 y</w:t>
            </w:r>
          </w:p>
        </w:tc>
      </w:tr>
      <w:tr>
        <w:tc>
          <w:tcPr>
            <w:tcW w:type="dxa" w:w="3480"/>
          </w:tcPr>
          <w:p>
            <w:pPr>
              <w:spacing w:after="0"/>
            </w:pPr>
            <w:r>
              <w:rPr>
                <w:rFonts w:ascii="Times New Roman" w:hAnsi="Times New Roman" w:cs="Times New Roman"/>
                <w:b w:val="0"/>
                <w:i w:val="0"/>
                <w:caps w:val="0"/>
                <w:sz w:val="16"/>
              </w:rPr>
              <w:t>55% (caudate, PCR)</w:t>
            </w:r>
          </w:p>
        </w:tc>
        <w:tc>
          <w:tcPr>
            <w:tcW w:type="dxa" w:w="3480"/>
          </w:tcPr>
          <w:p>
            <w:pPr>
              <w:spacing w:after="0"/>
            </w:pPr>
            <w:r>
              <w:rPr>
                <w:rFonts w:ascii="Times New Roman" w:hAnsi="Times New Roman" w:cs="Times New Roman"/>
                <w:b w:val="0"/>
                <w:i w:val="0"/>
                <w:caps w:val="0"/>
                <w:sz w:val="16"/>
              </w:rPr>
              <w:t>21.1%</w:t>
            </w:r>
          </w:p>
        </w:tc>
        <w:tc>
          <w:tcPr>
            <w:tcW w:type="dxa" w:w="3480"/>
          </w:tcPr>
          <w:p>
            <w:pPr>
              <w:spacing w:after="0"/>
            </w:pPr>
            <w:r>
              <w:rPr>
                <w:rFonts w:ascii="Times New Roman" w:hAnsi="Times New Roman" w:cs="Times New Roman"/>
                <w:b w:val="0"/>
                <w:i w:val="0"/>
                <w:caps w:val="0"/>
                <w:sz w:val="16"/>
              </w:rPr>
              <w:t>25.0 y</w:t>
            </w:r>
          </w:p>
        </w:tc>
      </w:tr>
      <w:tr>
        <w:tc>
          <w:tcPr>
            <w:tcW w:type="dxa" w:w="3480"/>
          </w:tcPr>
          <w:p>
            <w:pPr>
              <w:spacing w:after="0"/>
            </w:pPr>
            <w:r>
              <w:rPr>
                <w:rFonts w:ascii="Times New Roman" w:hAnsi="Times New Roman" w:cs="Times New Roman"/>
                <w:b w:val="0"/>
                <w:i w:val="0"/>
                <w:caps w:val="0"/>
                <w:sz w:val="16"/>
              </w:rPr>
              <w:t>75% (aspirational)</w:t>
            </w:r>
          </w:p>
        </w:tc>
        <w:tc>
          <w:tcPr>
            <w:tcW w:type="dxa" w:w="3480"/>
          </w:tcPr>
          <w:p>
            <w:pPr>
              <w:spacing w:after="0"/>
            </w:pPr>
            <w:r>
              <w:rPr>
                <w:rFonts w:ascii="Times New Roman" w:hAnsi="Times New Roman" w:cs="Times New Roman"/>
                <w:b w:val="0"/>
                <w:i w:val="0"/>
                <w:caps w:val="0"/>
                <w:sz w:val="16"/>
              </w:rPr>
              <w:t>12.6%</w:t>
            </w:r>
          </w:p>
        </w:tc>
        <w:tc>
          <w:tcPr>
            <w:tcW w:type="dxa" w:w="3480"/>
          </w:tcPr>
          <w:p>
            <w:pPr>
              <w:spacing w:after="0"/>
            </w:pPr>
            <w:r>
              <w:rPr>
                <w:rFonts w:ascii="Times New Roman" w:hAnsi="Times New Roman" w:cs="Times New Roman"/>
                <w:b w:val="0"/>
                <w:i w:val="0"/>
                <w:caps w:val="0"/>
                <w:sz w:val="16"/>
              </w:rPr>
              <w:t>over 57.5 y (censored)</w:t>
            </w:r>
          </w:p>
        </w:tc>
      </w:tr>
      <w:tr>
        <w:tc>
          <w:tcPr>
            <w:tcW w:type="dxa" w:w="3480"/>
          </w:tcPr>
          <w:p>
            <w:pPr>
              <w:spacing w:after="0"/>
            </w:pPr>
            <w:r>
              <w:rPr>
                <w:rFonts w:ascii="Times New Roman" w:hAnsi="Times New Roman" w:cs="Times New Roman"/>
                <w:b w:val="0"/>
                <w:i w:val="0"/>
                <w:caps w:val="0"/>
                <w:sz w:val="16"/>
              </w:rPr>
              <w:t>95%</w:t>
            </w:r>
          </w:p>
        </w:tc>
        <w:tc>
          <w:tcPr>
            <w:tcW w:type="dxa" w:w="3480"/>
          </w:tcPr>
          <w:p>
            <w:pPr>
              <w:spacing w:after="0"/>
            </w:pPr>
            <w:r>
              <w:rPr>
                <w:rFonts w:ascii="Times New Roman" w:hAnsi="Times New Roman" w:cs="Times New Roman"/>
                <w:b w:val="0"/>
                <w:i w:val="0"/>
                <w:caps w:val="0"/>
                <w:sz w:val="16"/>
              </w:rPr>
              <w:t>6.6%</w:t>
            </w:r>
          </w:p>
        </w:tc>
        <w:tc>
          <w:tcPr>
            <w:tcW w:type="dxa" w:w="3480"/>
          </w:tcPr>
          <w:p>
            <w:pPr>
              <w:spacing w:after="0"/>
            </w:pPr>
            <w:r>
              <w:rPr>
                <w:rFonts w:ascii="Times New Roman" w:hAnsi="Times New Roman" w:cs="Times New Roman"/>
                <w:b w:val="0"/>
                <w:i w:val="0"/>
                <w:caps w:val="0"/>
                <w:sz w:val="16"/>
              </w:rPr>
              <w:t>over 57.5 y (censored)</w:t>
            </w:r>
          </w:p>
        </w:tc>
      </w:tr>
    </w:tbl>
    <w:p>
      <w:pPr>
        <w:spacing w:after="120" w:before="0" w:line="240" w:lineRule="auto"/>
        <w:ind w:firstLine="0"/>
        <w:jc w:val="both"/>
      </w:pPr>
    </w:p>
    <w:p>
      <w:pPr>
        <w:spacing w:after="60" w:before="0" w:line="240" w:lineRule="auto"/>
        <w:ind w:firstLine="288"/>
        <w:jc w:val="both"/>
      </w:pPr>
      <w:r>
        <w:rPr>
          <w:rFonts w:ascii="Times New Roman" w:hAnsi="Times New Roman" w:cs="Times New Roman"/>
          <w:b w:val="0"/>
          <w:i w:val="0"/>
          <w:caps w:val="0"/>
          <w:sz w:val="20"/>
        </w:rPr>
        <w:t>The zero-knockdown arm is there deliberately. It should show no effect, and it shows −0.4 years, which calibrates the Monte Carlo noise on these endpoints at roughly one year. The two censored rows are not predictions of a 57-year delay. They mean the simulated cohort never reaches 25% loss within a 110-year lifespan, and the number is a lower bound forced by where the simulation stops.</w:t>
      </w:r>
    </w:p>
    <w:p>
      <w:pPr>
        <w:spacing w:after="60" w:before="0" w:line="240" w:lineRule="auto"/>
        <w:ind w:firstLine="288"/>
        <w:jc w:val="both"/>
      </w:pPr>
      <w:r>
        <w:rPr>
          <w:rFonts w:ascii="Times New Roman" w:hAnsi="Times New Roman" w:cs="Times New Roman"/>
          <w:b w:val="0"/>
          <w:i w:val="0"/>
          <w:caps w:val="0"/>
          <w:sz w:val="20"/>
        </w:rPr>
        <w:t>Three features of this table matter clinically.</w:t>
      </w:r>
    </w:p>
    <w:p>
      <w:pPr>
        <w:spacing w:after="60" w:before="0" w:line="240" w:lineRule="auto"/>
        <w:ind w:firstLine="288"/>
        <w:jc w:val="both"/>
      </w:pPr>
      <w:r>
        <w:rPr>
          <w:rFonts w:ascii="Times New Roman" w:hAnsi="Times New Roman" w:cs="Times New Roman"/>
          <w:b/>
          <w:i w:val="0"/>
          <w:caps w:val="0"/>
          <w:sz w:val="20"/>
        </w:rPr>
        <w:t>Timing dominates everything.</w:t>
      </w:r>
      <w:r>
        <w:rPr>
          <w:rFonts w:ascii="Times New Roman" w:hAnsi="Times New Roman" w:cs="Times New Roman"/>
          <w:b w:val="0"/>
          <w:i w:val="0"/>
          <w:caps w:val="0"/>
          <w:sz w:val="20"/>
        </w:rPr>
        <w:t xml:space="preserve"> The same 29% knockdown delays 25% loss by 12.6 years if started at age 20, 8.2 years at 30, 3.8 years at 40 and 0.0 years at 50 (Fig. 12A). Loss at 70 still falls from 47.3% to 40.0% in the age-50 arm, so the drug is doing something, but the clinically meaningful endpoint has already gone past. This is Section III-D in therapeutic clothing: the drug acts only on the pre-threshold clock, and by age 50 a substantial share of neurons have already committed and cannot be recalled.</w:t>
      </w:r>
    </w:p>
    <w:p>
      <w:pPr>
        <w:spacing w:after="60" w:before="0" w:line="240" w:lineRule="auto"/>
        <w:ind w:firstLine="288"/>
        <w:jc w:val="both"/>
      </w:pPr>
      <w:r>
        <w:rPr>
          <w:rFonts w:ascii="Times New Roman" w:hAnsi="Times New Roman" w:cs="Times New Roman"/>
          <w:b/>
          <w:i w:val="0"/>
          <w:caps w:val="0"/>
          <w:sz w:val="20"/>
        </w:rPr>
        <w:t>A longer inherited allele compresses the window.</w:t>
      </w:r>
      <w:r>
        <w:rPr>
          <w:rFonts w:ascii="Times New Roman" w:hAnsi="Times New Roman" w:cs="Times New Roman"/>
          <w:b w:val="0"/>
          <w:i w:val="0"/>
          <w:caps w:val="0"/>
          <w:sz w:val="20"/>
        </w:rPr>
        <w:t xml:space="preserve"> The same intervention from age 30 delays 25% loss by 10.8 years at 40 repeats, 8.6 at 42, 4.8 at 45 and 2.9 at 48 (</w:t>
      </w:r>
      <w:r>
        <w:rPr>
          <w:rFonts w:ascii="Consolas" w:hAnsi="Consolas" w:cs="Consolas"/>
          <w:b w:val="0"/>
          <w:i w:val="0"/>
          <w:caps w:val="0"/>
          <w:sz w:val="20"/>
        </w:rPr>
        <w:t>results/trial_scenarios.csv</w:t>
      </w:r>
      <w:r>
        <w:rPr>
          <w:rFonts w:ascii="Times New Roman" w:hAnsi="Times New Roman" w:cs="Times New Roman"/>
          <w:b w:val="0"/>
          <w:i w:val="0"/>
          <w:caps w:val="0"/>
          <w:sz w:val="20"/>
        </w:rPr>
        <w:t>; the independently seeded grid run above gives 8.2 rather than 8.6 at 42 repeats, which is a fair indication of the Monte Carlo spread). This is an awkward result for trial design. The carriers most likely to be enrolled, because they convert soonest and give an answer fastest, are the carriers for whom partial MSH3 lowering helps least.</w:t>
      </w:r>
    </w:p>
    <w:p>
      <w:pPr>
        <w:spacing w:after="60" w:before="0" w:line="240" w:lineRule="auto"/>
        <w:ind w:firstLine="288"/>
        <w:jc w:val="both"/>
      </w:pPr>
      <w:r>
        <w:rPr>
          <w:rFonts w:ascii="Times New Roman" w:hAnsi="Times New Roman" w:cs="Times New Roman"/>
          <w:b/>
          <w:i w:val="0"/>
          <w:caps w:val="0"/>
          <w:sz w:val="20"/>
        </w:rPr>
        <w:t>Returns rise steeply with knockdown.</w:t>
      </w:r>
      <w:r>
        <w:rPr>
          <w:rFonts w:ascii="Times New Roman" w:hAnsi="Times New Roman" w:cs="Times New Roman"/>
          <w:b w:val="0"/>
          <w:i w:val="0"/>
          <w:caps w:val="0"/>
          <w:sz w:val="20"/>
        </w:rPr>
        <w:t xml:space="preserve"> Going from 29% to 55% roughly triples the delay. Going to 75% pushes the cohort past the end of the simulated lifespan. The cause is compounding: the clock is slowed every year for decades, so the benefit multiplies rather than adds. The therapeutic value of closing the last part of the delivery gap is much larger than the size of the gap suggests, and that is an argument for continuing to engineer delivery rather than settling for what intrathecal dosing currently reaches.</w:t>
      </w:r>
    </w:p>
    <w:p>
      <w:pPr>
        <w:sectPr>
          <w:type w:val="continuous"/>
          <w:pgSz w:w="12240" w:h="15840"/>
          <w:pgMar w:top="1080" w:right="900" w:bottom="1440" w:left="900" w:header="720" w:footer="720" w:gutter="0"/>
          <w:cols w:space="360" w:num="2" w:equalWidth="1"/>
          <w:docGrid w:linePitch="360"/>
        </w:sectPr>
      </w:pPr>
    </w:p>
    <w:p>
      <w:pPr>
        <w:spacing w:after="40" w:before="0" w:line="240" w:lineRule="auto"/>
        <w:ind w:firstLine="0"/>
        <w:jc w:val="center"/>
      </w:pPr>
      <w:r>
        <w:drawing>
          <wp:inline xmlns:a="http://schemas.openxmlformats.org/drawingml/2006/main" xmlns:pic="http://schemas.openxmlformats.org/drawingml/2006/picture">
            <wp:extent cx="6492240" cy="2443266"/>
            <wp:docPr id="11" name="Picture 11"/>
            <wp:cNvGraphicFramePr>
              <a:graphicFrameLocks noChangeAspect="1"/>
            </wp:cNvGraphicFramePr>
            <a:graphic>
              <a:graphicData uri="http://schemas.openxmlformats.org/drawingml/2006/picture">
                <pic:pic>
                  <pic:nvPicPr>
                    <pic:cNvPr id="0" name="fig8_trial.png"/>
                    <pic:cNvPicPr/>
                  </pic:nvPicPr>
                  <pic:blipFill>
                    <a:blip r:embed="rId19"/>
                    <a:stretch>
                      <a:fillRect/>
                    </a:stretch>
                  </pic:blipFill>
                  <pic:spPr>
                    <a:xfrm>
                      <a:off x="0" y="0"/>
                      <a:ext cx="6492240" cy="2443266"/>
                    </a:xfrm>
                    <a:prstGeom prst="rect"/>
                  </pic:spPr>
                </pic:pic>
              </a:graphicData>
            </a:graphic>
          </wp:inline>
        </w:drawing>
      </w:r>
    </w:p>
    <w:p>
      <w:pPr>
        <w:spacing w:after="160" w:before="0" w:line="240" w:lineRule="auto"/>
        <w:ind w:firstLine="0"/>
        <w:jc w:val="both"/>
      </w:pPr>
      <w:r>
        <w:rPr>
          <w:rFonts w:ascii="Times New Roman" w:hAnsi="Times New Roman" w:cs="Times New Roman"/>
          <w:b w:val="0"/>
          <w:i w:val="0"/>
          <w:caps w:val="0"/>
          <w:sz w:val="16"/>
        </w:rPr>
        <w:t xml:space="preserve">Fig. 11.  </w:t>
      </w:r>
      <w:r>
        <w:rPr>
          <w:rFonts w:ascii="Times New Roman" w:hAnsi="Times New Roman" w:cs="Times New Roman"/>
          <w:b/>
          <w:i w:val="0"/>
          <w:caps w:val="0"/>
          <w:sz w:val="16"/>
        </w:rPr>
        <w:t>In silico trial.</w:t>
      </w:r>
      <w:r>
        <w:rPr>
          <w:rFonts w:ascii="Times New Roman" w:hAnsi="Times New Roman" w:cs="Times New Roman"/>
          <w:b w:val="0"/>
          <w:i w:val="0"/>
          <w:caps w:val="0"/>
          <w:sz w:val="16"/>
        </w:rPr>
        <w:t xml:space="preserve"> (A) Neuron survival for a 42-repeat carrier treated from age 30. (B) Delay to 25% loss against knockdown and start age; the shaded band is the measured intrathecal range and triangles mark censored lower bounds. (C) Dependence on inherited CAG length.</w:t>
      </w:r>
    </w:p>
    <w:p>
      <w:pPr>
        <w:sectPr>
          <w:type w:val="continuous"/>
          <w:pgSz w:w="12240" w:h="15840"/>
          <w:pgMar w:top="1080" w:right="900" w:bottom="1440" w:left="900" w:header="720" w:footer="720" w:gutter="0"/>
          <w:cols w:space="360" w:num="1" w:equalWidth="1"/>
          <w:docGrid w:linePitch="360"/>
        </w:sectPr>
      </w:pPr>
    </w:p>
    <w:p>
      <w:pPr>
        <w:sectPr>
          <w:type w:val="continuous"/>
          <w:pgSz w:w="12240" w:h="15840"/>
          <w:pgMar w:top="1080" w:right="900" w:bottom="1440" w:left="900" w:header="720" w:footer="720" w:gutter="0"/>
          <w:cols w:space="360" w:num="2" w:equalWidth="1"/>
          <w:docGrid w:linePitch="360"/>
        </w:sectPr>
      </w:pPr>
    </w:p>
    <w:p>
      <w:pPr>
        <w:spacing w:after="40" w:before="0" w:line="240" w:lineRule="auto"/>
        <w:ind w:firstLine="0"/>
        <w:jc w:val="center"/>
      </w:pPr>
      <w:r>
        <w:drawing>
          <wp:inline xmlns:a="http://schemas.openxmlformats.org/drawingml/2006/main" xmlns:pic="http://schemas.openxmlformats.org/drawingml/2006/picture">
            <wp:extent cx="6492240" cy="3205030"/>
            <wp:docPr id="12" name="Picture 12"/>
            <wp:cNvGraphicFramePr>
              <a:graphicFrameLocks noChangeAspect="1"/>
            </wp:cNvGraphicFramePr>
            <a:graphic>
              <a:graphicData uri="http://schemas.openxmlformats.org/drawingml/2006/picture">
                <pic:pic>
                  <pic:nvPicPr>
                    <pic:cNvPr id="0" name="fig9_start_age.png"/>
                    <pic:cNvPicPr/>
                  </pic:nvPicPr>
                  <pic:blipFill>
                    <a:blip r:embed="rId20"/>
                    <a:stretch>
                      <a:fillRect/>
                    </a:stretch>
                  </pic:blipFill>
                  <pic:spPr>
                    <a:xfrm>
                      <a:off x="0" y="0"/>
                      <a:ext cx="6492240" cy="3205030"/>
                    </a:xfrm>
                    <a:prstGeom prst="rect"/>
                  </pic:spPr>
                </pic:pic>
              </a:graphicData>
            </a:graphic>
          </wp:inline>
        </w:drawing>
      </w:r>
    </w:p>
    <w:p>
      <w:pPr>
        <w:spacing w:after="160" w:before="0" w:line="240" w:lineRule="auto"/>
        <w:ind w:firstLine="0"/>
        <w:jc w:val="both"/>
      </w:pPr>
      <w:r>
        <w:rPr>
          <w:rFonts w:ascii="Times New Roman" w:hAnsi="Times New Roman" w:cs="Times New Roman"/>
          <w:b w:val="0"/>
          <w:i w:val="0"/>
          <w:caps w:val="0"/>
          <w:sz w:val="16"/>
        </w:rPr>
        <w:t xml:space="preserve">Fig. 12.  </w:t>
      </w:r>
      <w:r>
        <w:rPr>
          <w:rFonts w:ascii="Times New Roman" w:hAnsi="Times New Roman" w:cs="Times New Roman"/>
          <w:b/>
          <w:i w:val="0"/>
          <w:caps w:val="0"/>
          <w:sz w:val="16"/>
        </w:rPr>
        <w:t>Timing, and the outstanding constraint.</w:t>
      </w:r>
      <w:r>
        <w:rPr>
          <w:rFonts w:ascii="Times New Roman" w:hAnsi="Times New Roman" w:cs="Times New Roman"/>
          <w:b w:val="0"/>
          <w:i w:val="0"/>
          <w:caps w:val="0"/>
          <w:sz w:val="16"/>
        </w:rPr>
        <w:t xml:space="preserve"> (A) Benefit against age at treatment start. (B) Neuron loss against CAP score for both bracketing models, with the reported end-stage range shaded.</w:t>
      </w:r>
    </w:p>
    <w:p>
      <w:pPr>
        <w:sectPr>
          <w:type w:val="continuous"/>
          <w:pgSz w:w="12240" w:h="15840"/>
          <w:pgMar w:top="1080" w:right="900" w:bottom="1440" w:left="900" w:header="720" w:footer="720" w:gutter="0"/>
          <w:cols w:space="360" w:num="1" w:equalWidth="1"/>
          <w:docGrid w:linePitch="360"/>
        </w:sectPr>
      </w:pPr>
    </w:p>
    <w:p>
      <w:pPr>
        <w:spacing w:after="40" w:before="120" w:line="240" w:lineRule="auto"/>
        <w:ind w:firstLine="0"/>
        <w:jc w:val="left"/>
      </w:pPr>
      <w:r>
        <w:rPr>
          <w:rFonts w:ascii="Times New Roman" w:hAnsi="Times New Roman" w:cs="Times New Roman"/>
          <w:b w:val="0"/>
          <w:i/>
          <w:caps w:val="0"/>
          <w:sz w:val="20"/>
        </w:rPr>
        <w:t>K.  From an idealised step to a real dosing schedule</w:t>
      </w:r>
    </w:p>
    <w:p>
      <w:pPr>
        <w:spacing w:after="60" w:before="0" w:line="240" w:lineRule="auto"/>
        <w:ind w:firstLine="288"/>
        <w:jc w:val="both"/>
      </w:pPr>
      <w:r>
        <w:rPr>
          <w:rFonts w:ascii="Times New Roman" w:hAnsi="Times New Roman" w:cs="Times New Roman"/>
          <w:b w:val="0"/>
          <w:i w:val="0"/>
          <w:caps w:val="0"/>
          <w:sz w:val="20"/>
        </w:rPr>
        <w:t>The trial above assumes treatment sets striatal MSH3 to a new level instantly and holds it there for life. No real regimen does that. An intrathecal oligonucleotide is given as repeated boluses that decay between doses, so achieved knockdown oscillates between a peak and a trough.</w:t>
      </w:r>
    </w:p>
    <w:p>
      <w:pPr>
        <w:spacing w:after="60" w:before="0" w:line="240" w:lineRule="auto"/>
        <w:ind w:firstLine="288"/>
        <w:jc w:val="both"/>
      </w:pPr>
      <w:r>
        <w:rPr>
          <w:rFonts w:ascii="Times New Roman" w:hAnsi="Times New Roman" w:cs="Times New Roman"/>
          <w:b w:val="0"/>
          <w:i w:val="0"/>
          <w:caps w:val="0"/>
          <w:sz w:val="20"/>
        </w:rPr>
        <w:t>Because the rate law is first-order in MSH3 (Section III-B), this correction is exact rather than approximate, with the conditionality set out in Section II-J: the data constrain the order to the neighbourhood of one rather than to one precisely, and at an order of 1.2 the shortcut would understate the cost of a peaky schedule. If the order is exactly one, the cumulative effect over decades depends only on the time-averaged MSH3 level and not on the shape of the waveform, so computing the time average over one steady-state dosing cycle and feeding it back as an effective residual gives the right lifetime answer. If the rate law had been cooperative, the peaks would have counted for more than the troughs and no such reduction would have been available. This is a case where a structural result from one part of the analysis buys exactness in another.</w:t>
      </w:r>
    </w:p>
    <w:p>
      <w:pPr>
        <w:spacing w:after="60" w:before="0" w:line="240" w:lineRule="auto"/>
        <w:ind w:firstLine="288"/>
        <w:jc w:val="both"/>
      </w:pPr>
      <w:r>
        <w:rPr>
          <w:rFonts w:ascii="Times New Roman" w:hAnsi="Times New Roman" w:cs="Times New Roman"/>
          <w:b w:val="0"/>
          <w:i w:val="0"/>
          <w:caps w:val="0"/>
          <w:sz w:val="20"/>
        </w:rPr>
        <w:t xml:space="preserve">Neither the central-nervous-system half-life of a stabilised oligonucleotide nor the eventual dosing interval is settled, so both were swept rather than assumed (Fig. 13B; </w:t>
      </w:r>
      <w:r>
        <w:rPr>
          <w:rFonts w:ascii="Consolas" w:hAnsi="Consolas" w:cs="Consolas"/>
          <w:b w:val="0"/>
          <w:i w:val="0"/>
          <w:caps w:val="0"/>
          <w:sz w:val="20"/>
        </w:rPr>
        <w:t>results/dosing_timeaverage.csv</w:t>
      </w:r>
      <w:r>
        <w:rPr>
          <w:rFonts w:ascii="Times New Roman" w:hAnsi="Times New Roman" w:cs="Times New Roman"/>
          <w:b w:val="0"/>
          <w:i w:val="0"/>
          <w:caps w:val="0"/>
          <w:sz w:val="20"/>
        </w:rPr>
        <w:t>). With a per-dose exposure chosen to give 75% peak knockdown, the time-averaged knockdown ranges from 13.7% in the worst case tested (one-month half-life, annual dosing) to 96.2% in the best (twelve-month half-life, three-monthly dosing). The structure of that grid is simple and useful: what matters is the ratio of half-life to interval, and once the half-life exceeds the interval, accumulation carries the trough up and the average approaches the peak.</w:t>
      </w:r>
    </w:p>
    <w:p>
      <w:pPr>
        <w:spacing w:after="60" w:before="0" w:line="240" w:lineRule="auto"/>
        <w:ind w:firstLine="288"/>
        <w:jc w:val="both"/>
      </w:pPr>
      <w:r>
        <w:rPr>
          <w:rFonts w:ascii="Times New Roman" w:hAnsi="Times New Roman" w:cs="Times New Roman"/>
          <w:b w:val="0"/>
          <w:i w:val="0"/>
          <w:caps w:val="0"/>
          <w:sz w:val="20"/>
        </w:rPr>
        <w:t>Running representative schedules back through the lifetime model, for a 42-repeat carrier treated from age 30 against 48.3% untreated loss at age 70 (</w:t>
      </w:r>
      <w:r>
        <w:rPr>
          <w:rFonts w:ascii="Consolas" w:hAnsi="Consolas" w:cs="Consolas"/>
          <w:b w:val="0"/>
          <w:i w:val="0"/>
          <w:caps w:val="0"/>
          <w:sz w:val="20"/>
        </w:rPr>
        <w:t>results/dosing_benefit.csv</w:t>
      </w:r>
      <w:r>
        <w:rPr>
          <w:rFonts w:ascii="Times New Roman" w:hAnsi="Times New Roman" w:cs="Times New Roman"/>
          <w:b w:val="0"/>
          <w:i w:val="0"/>
          <w:caps w:val="0"/>
          <w:sz w:val="20"/>
        </w:rPr>
        <w:t>; this script seeds its populations independently of the grid in Section III-J, which gives 47.3% for the same untreated carrier, so the one-point difference is Monte Carlo spread rather than a change of model):</w:t>
      </w:r>
    </w:p>
    <w:p>
      <w:pPr>
        <w:sectPr>
          <w:type w:val="continuous"/>
          <w:pgSz w:w="12240" w:h="15840"/>
          <w:pgMar w:top="1080" w:right="900" w:bottom="1440" w:left="900" w:header="720" w:footer="720" w:gutter="0"/>
          <w:cols w:space="360" w:num="2" w:equalWidth="1"/>
          <w:docGrid w:linePitch="360"/>
        </w:sectPr>
      </w:pPr>
    </w:p>
    <w:p>
      <w:pPr>
        <w:spacing w:after="20" w:before="120" w:line="240" w:lineRule="auto"/>
        <w:ind w:firstLine="0"/>
        <w:jc w:val="center"/>
      </w:pPr>
      <w:r>
        <w:rPr>
          <w:rFonts w:ascii="Times New Roman" w:hAnsi="Times New Roman" w:cs="Times New Roman"/>
          <w:b w:val="0"/>
          <w:i w:val="0"/>
          <w:caps w:val="0"/>
          <w:sz w:val="16"/>
        </w:rPr>
        <w:t>TABLE VIII</w:t>
      </w:r>
    </w:p>
    <w:p>
      <w:pPr>
        <w:spacing w:after="60" w:before="0" w:line="240" w:lineRule="auto"/>
        <w:ind w:firstLine="0"/>
        <w:jc w:val="center"/>
      </w:pPr>
      <w:r>
        <w:rPr>
          <w:rFonts w:ascii="Times New Roman" w:hAnsi="Times New Roman" w:cs="Times New Roman"/>
          <w:b w:val="0"/>
          <w:i w:val="0"/>
          <w:caps/>
          <w:sz w:val="16"/>
        </w:rPr>
        <w:t>Lifetime effect of representative dosing regimens, against the idealised step change, for a 42-repeat carrier treated from age 30.</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610"/>
          </w:tcPr>
          <w:p>
            <w:pPr>
              <w:spacing w:after="0"/>
            </w:pPr>
            <w:r/>
            <w:r>
              <w:rPr>
                <w:rFonts w:ascii="Times New Roman" w:hAnsi="Times New Roman" w:cs="Times New Roman"/>
                <w:b/>
                <w:i w:val="0"/>
                <w:caps w:val="0"/>
                <w:sz w:val="16"/>
              </w:rPr>
              <w:t>Regimen</w:t>
            </w:r>
          </w:p>
        </w:tc>
        <w:tc>
          <w:tcPr>
            <w:tcW w:type="dxa" w:w="2610"/>
          </w:tcPr>
          <w:p>
            <w:pPr>
              <w:spacing w:after="0"/>
            </w:pPr>
            <w:r/>
            <w:r>
              <w:rPr>
                <w:rFonts w:ascii="Times New Roman" w:hAnsi="Times New Roman" w:cs="Times New Roman"/>
                <w:b/>
                <w:i w:val="0"/>
                <w:caps w:val="0"/>
                <w:sz w:val="16"/>
              </w:rPr>
              <w:t>Effective knockdown</w:t>
            </w:r>
          </w:p>
        </w:tc>
        <w:tc>
          <w:tcPr>
            <w:tcW w:type="dxa" w:w="2610"/>
          </w:tcPr>
          <w:p>
            <w:pPr>
              <w:spacing w:after="0"/>
            </w:pPr>
            <w:r/>
            <w:r>
              <w:rPr>
                <w:rFonts w:ascii="Times New Roman" w:hAnsi="Times New Roman" w:cs="Times New Roman"/>
                <w:b/>
                <w:i w:val="0"/>
                <w:caps w:val="0"/>
                <w:sz w:val="16"/>
              </w:rPr>
              <w:t>Loss at 70</w:t>
            </w:r>
          </w:p>
        </w:tc>
        <w:tc>
          <w:tcPr>
            <w:tcW w:type="dxa" w:w="2610"/>
          </w:tcPr>
          <w:p>
            <w:pPr>
              <w:spacing w:after="0"/>
            </w:pPr>
            <w:r/>
            <w:r>
              <w:rPr>
                <w:rFonts w:ascii="Times New Roman" w:hAnsi="Times New Roman" w:cs="Times New Roman"/>
                <w:b/>
                <w:i w:val="0"/>
                <w:caps w:val="0"/>
                <w:sz w:val="16"/>
              </w:rPr>
              <w:t>Benefit</w:t>
            </w:r>
          </w:p>
        </w:tc>
      </w:tr>
      <w:tr>
        <w:tc>
          <w:tcPr>
            <w:tcW w:type="dxa" w:w="2610"/>
          </w:tcPr>
          <w:p>
            <w:pPr>
              <w:spacing w:after="0"/>
            </w:pPr>
            <w:r>
              <w:rPr>
                <w:rFonts w:ascii="Times New Roman" w:hAnsi="Times New Roman" w:cs="Times New Roman"/>
                <w:b w:val="0"/>
                <w:i w:val="0"/>
                <w:caps w:val="0"/>
                <w:sz w:val="16"/>
              </w:rPr>
              <w:t>Idealised step, 75% lowering</w:t>
            </w:r>
          </w:p>
        </w:tc>
        <w:tc>
          <w:tcPr>
            <w:tcW w:type="dxa" w:w="2610"/>
          </w:tcPr>
          <w:p>
            <w:pPr>
              <w:spacing w:after="0"/>
            </w:pPr>
            <w:r>
              <w:rPr>
                <w:rFonts w:ascii="Times New Roman" w:hAnsi="Times New Roman" w:cs="Times New Roman"/>
                <w:b w:val="0"/>
                <w:i w:val="0"/>
                <w:caps w:val="0"/>
                <w:sz w:val="16"/>
              </w:rPr>
              <w:t>75.0%</w:t>
            </w:r>
          </w:p>
        </w:tc>
        <w:tc>
          <w:tcPr>
            <w:tcW w:type="dxa" w:w="2610"/>
          </w:tcPr>
          <w:p>
            <w:pPr>
              <w:spacing w:after="0"/>
            </w:pPr>
            <w:r>
              <w:rPr>
                <w:rFonts w:ascii="Times New Roman" w:hAnsi="Times New Roman" w:cs="Times New Roman"/>
                <w:b w:val="0"/>
                <w:i w:val="0"/>
                <w:caps w:val="0"/>
                <w:sz w:val="16"/>
              </w:rPr>
              <w:t>13.2%</w:t>
            </w:r>
          </w:p>
        </w:tc>
        <w:tc>
          <w:tcPr>
            <w:tcW w:type="dxa" w:w="2610"/>
          </w:tcPr>
          <w:p>
            <w:pPr>
              <w:spacing w:after="0"/>
            </w:pPr>
            <w:r>
              <w:rPr>
                <w:rFonts w:ascii="Times New Roman" w:hAnsi="Times New Roman" w:cs="Times New Roman"/>
                <w:b w:val="0"/>
                <w:i w:val="0"/>
                <w:caps w:val="0"/>
                <w:sz w:val="16"/>
              </w:rPr>
              <w:t>35.2 points</w:t>
            </w:r>
          </w:p>
        </w:tc>
      </w:tr>
      <w:tr>
        <w:tc>
          <w:tcPr>
            <w:tcW w:type="dxa" w:w="2610"/>
          </w:tcPr>
          <w:p>
            <w:pPr>
              <w:spacing w:after="0"/>
            </w:pPr>
            <w:r>
              <w:rPr>
                <w:rFonts w:ascii="Times New Roman" w:hAnsi="Times New Roman" w:cs="Times New Roman"/>
                <w:b w:val="0"/>
                <w:i w:val="0"/>
                <w:caps w:val="0"/>
                <w:sz w:val="16"/>
              </w:rPr>
              <w:t>Six-monthly, six-month half-life</w:t>
            </w:r>
          </w:p>
        </w:tc>
        <w:tc>
          <w:tcPr>
            <w:tcW w:type="dxa" w:w="2610"/>
          </w:tcPr>
          <w:p>
            <w:pPr>
              <w:spacing w:after="0"/>
            </w:pPr>
            <w:r>
              <w:rPr>
                <w:rFonts w:ascii="Times New Roman" w:hAnsi="Times New Roman" w:cs="Times New Roman"/>
                <w:b w:val="0"/>
                <w:i w:val="0"/>
                <w:caps w:val="0"/>
                <w:sz w:val="16"/>
              </w:rPr>
              <w:t>81.8%</w:t>
            </w:r>
          </w:p>
        </w:tc>
        <w:tc>
          <w:tcPr>
            <w:tcW w:type="dxa" w:w="2610"/>
          </w:tcPr>
          <w:p>
            <w:pPr>
              <w:spacing w:after="0"/>
            </w:pPr>
            <w:r>
              <w:rPr>
                <w:rFonts w:ascii="Times New Roman" w:hAnsi="Times New Roman" w:cs="Times New Roman"/>
                <w:b w:val="0"/>
                <w:i w:val="0"/>
                <w:caps w:val="0"/>
                <w:sz w:val="16"/>
              </w:rPr>
              <w:t>10.6%</w:t>
            </w:r>
          </w:p>
        </w:tc>
        <w:tc>
          <w:tcPr>
            <w:tcW w:type="dxa" w:w="2610"/>
          </w:tcPr>
          <w:p>
            <w:pPr>
              <w:spacing w:after="0"/>
            </w:pPr>
            <w:r>
              <w:rPr>
                <w:rFonts w:ascii="Times New Roman" w:hAnsi="Times New Roman" w:cs="Times New Roman"/>
                <w:b w:val="0"/>
                <w:i w:val="0"/>
                <w:caps w:val="0"/>
                <w:sz w:val="16"/>
              </w:rPr>
              <w:t>37.7 points</w:t>
            </w:r>
          </w:p>
        </w:tc>
      </w:tr>
      <w:tr>
        <w:tc>
          <w:tcPr>
            <w:tcW w:type="dxa" w:w="2610"/>
          </w:tcPr>
          <w:p>
            <w:pPr>
              <w:spacing w:after="0"/>
            </w:pPr>
            <w:r>
              <w:rPr>
                <w:rFonts w:ascii="Times New Roman" w:hAnsi="Times New Roman" w:cs="Times New Roman"/>
                <w:b w:val="0"/>
                <w:i w:val="0"/>
                <w:caps w:val="0"/>
                <w:sz w:val="16"/>
              </w:rPr>
              <w:t>Six-monthly, three-month half-life</w:t>
            </w:r>
          </w:p>
        </w:tc>
        <w:tc>
          <w:tcPr>
            <w:tcW w:type="dxa" w:w="2610"/>
          </w:tcPr>
          <w:p>
            <w:pPr>
              <w:spacing w:after="0"/>
            </w:pPr>
            <w:r>
              <w:rPr>
                <w:rFonts w:ascii="Times New Roman" w:hAnsi="Times New Roman" w:cs="Times New Roman"/>
                <w:b w:val="0"/>
                <w:i w:val="0"/>
                <w:caps w:val="0"/>
                <w:sz w:val="16"/>
              </w:rPr>
              <w:t>64.0%</w:t>
            </w:r>
          </w:p>
        </w:tc>
        <w:tc>
          <w:tcPr>
            <w:tcW w:type="dxa" w:w="2610"/>
          </w:tcPr>
          <w:p>
            <w:pPr>
              <w:spacing w:after="0"/>
            </w:pPr>
            <w:r>
              <w:rPr>
                <w:rFonts w:ascii="Times New Roman" w:hAnsi="Times New Roman" w:cs="Times New Roman"/>
                <w:b w:val="0"/>
                <w:i w:val="0"/>
                <w:caps w:val="0"/>
                <w:sz w:val="16"/>
              </w:rPr>
              <w:t>16.9%</w:t>
            </w:r>
          </w:p>
        </w:tc>
        <w:tc>
          <w:tcPr>
            <w:tcW w:type="dxa" w:w="2610"/>
          </w:tcPr>
          <w:p>
            <w:pPr>
              <w:spacing w:after="0"/>
            </w:pPr>
            <w:r>
              <w:rPr>
                <w:rFonts w:ascii="Times New Roman" w:hAnsi="Times New Roman" w:cs="Times New Roman"/>
                <w:b w:val="0"/>
                <w:i w:val="0"/>
                <w:caps w:val="0"/>
                <w:sz w:val="16"/>
              </w:rPr>
              <w:t>31.4 points</w:t>
            </w:r>
          </w:p>
        </w:tc>
      </w:tr>
      <w:tr>
        <w:tc>
          <w:tcPr>
            <w:tcW w:type="dxa" w:w="2610"/>
          </w:tcPr>
          <w:p>
            <w:pPr>
              <w:spacing w:after="0"/>
            </w:pPr>
            <w:r>
              <w:rPr>
                <w:rFonts w:ascii="Times New Roman" w:hAnsi="Times New Roman" w:cs="Times New Roman"/>
                <w:b w:val="0"/>
                <w:i w:val="0"/>
                <w:caps w:val="0"/>
                <w:sz w:val="16"/>
              </w:rPr>
              <w:t>Twelve-monthly, three-month half-life</w:t>
            </w:r>
          </w:p>
        </w:tc>
        <w:tc>
          <w:tcPr>
            <w:tcW w:type="dxa" w:w="2610"/>
          </w:tcPr>
          <w:p>
            <w:pPr>
              <w:spacing w:after="0"/>
            </w:pPr>
            <w:r>
              <w:rPr>
                <w:rFonts w:ascii="Times New Roman" w:hAnsi="Times New Roman" w:cs="Times New Roman"/>
                <w:b w:val="0"/>
                <w:i w:val="0"/>
                <w:caps w:val="0"/>
                <w:sz w:val="16"/>
              </w:rPr>
              <w:t>39.8%</w:t>
            </w:r>
          </w:p>
        </w:tc>
        <w:tc>
          <w:tcPr>
            <w:tcW w:type="dxa" w:w="2610"/>
          </w:tcPr>
          <w:p>
            <w:pPr>
              <w:spacing w:after="0"/>
            </w:pPr>
            <w:r>
              <w:rPr>
                <w:rFonts w:ascii="Times New Roman" w:hAnsi="Times New Roman" w:cs="Times New Roman"/>
                <w:b w:val="0"/>
                <w:i w:val="0"/>
                <w:caps w:val="0"/>
                <w:sz w:val="16"/>
              </w:rPr>
              <w:t>28.2%</w:t>
            </w:r>
          </w:p>
        </w:tc>
        <w:tc>
          <w:tcPr>
            <w:tcW w:type="dxa" w:w="2610"/>
          </w:tcPr>
          <w:p>
            <w:pPr>
              <w:spacing w:after="0"/>
            </w:pPr>
            <w:r>
              <w:rPr>
                <w:rFonts w:ascii="Times New Roman" w:hAnsi="Times New Roman" w:cs="Times New Roman"/>
                <w:b w:val="0"/>
                <w:i w:val="0"/>
                <w:caps w:val="0"/>
                <w:sz w:val="16"/>
              </w:rPr>
              <w:t>20.1 points</w:t>
            </w:r>
          </w:p>
        </w:tc>
      </w:tr>
      <w:tr>
        <w:tc>
          <w:tcPr>
            <w:tcW w:type="dxa" w:w="2610"/>
          </w:tcPr>
          <w:p>
            <w:pPr>
              <w:spacing w:after="0"/>
            </w:pPr>
            <w:r>
              <w:rPr>
                <w:rFonts w:ascii="Times New Roman" w:hAnsi="Times New Roman" w:cs="Times New Roman"/>
                <w:b w:val="0"/>
                <w:i w:val="0"/>
                <w:caps w:val="0"/>
                <w:sz w:val="16"/>
              </w:rPr>
              <w:t>Four-monthly, nine-month half-life</w:t>
            </w:r>
          </w:p>
        </w:tc>
        <w:tc>
          <w:tcPr>
            <w:tcW w:type="dxa" w:w="2610"/>
          </w:tcPr>
          <w:p>
            <w:pPr>
              <w:spacing w:after="0"/>
            </w:pPr>
            <w:r>
              <w:rPr>
                <w:rFonts w:ascii="Times New Roman" w:hAnsi="Times New Roman" w:cs="Times New Roman"/>
                <w:b w:val="0"/>
                <w:i w:val="0"/>
                <w:caps w:val="0"/>
                <w:sz w:val="16"/>
              </w:rPr>
              <w:t>92.6%</w:t>
            </w:r>
          </w:p>
        </w:tc>
        <w:tc>
          <w:tcPr>
            <w:tcW w:type="dxa" w:w="2610"/>
          </w:tcPr>
          <w:p>
            <w:pPr>
              <w:spacing w:after="0"/>
            </w:pPr>
            <w:r>
              <w:rPr>
                <w:rFonts w:ascii="Times New Roman" w:hAnsi="Times New Roman" w:cs="Times New Roman"/>
                <w:b w:val="0"/>
                <w:i w:val="0"/>
                <w:caps w:val="0"/>
                <w:sz w:val="16"/>
              </w:rPr>
              <w:t>7.9%</w:t>
            </w:r>
          </w:p>
        </w:tc>
        <w:tc>
          <w:tcPr>
            <w:tcW w:type="dxa" w:w="2610"/>
          </w:tcPr>
          <w:p>
            <w:pPr>
              <w:spacing w:after="0"/>
            </w:pPr>
            <w:r>
              <w:rPr>
                <w:rFonts w:ascii="Times New Roman" w:hAnsi="Times New Roman" w:cs="Times New Roman"/>
                <w:b w:val="0"/>
                <w:i w:val="0"/>
                <w:caps w:val="0"/>
                <w:sz w:val="16"/>
              </w:rPr>
              <w:t>40.4 points</w:t>
            </w:r>
          </w:p>
        </w:tc>
      </w:tr>
    </w:tbl>
    <w:p>
      <w:pPr>
        <w:spacing w:after="120" w:before="0" w:line="240" w:lineRule="auto"/>
        <w:ind w:firstLine="0"/>
        <w:jc w:val="both"/>
      </w:pPr>
    </w:p>
    <w:p>
      <w:pPr>
        <w:sectPr>
          <w:type w:val="continuous"/>
          <w:pgSz w:w="12240" w:h="15840"/>
          <w:pgMar w:top="1080" w:right="900" w:bottom="1440" w:left="900" w:header="720" w:footer="720" w:gutter="0"/>
          <w:cols w:space="360" w:num="1" w:equalWidth="1"/>
          <w:docGrid w:linePitch="360"/>
        </w:sectPr>
      </w:pPr>
    </w:p>
    <w:p>
      <w:pPr>
        <w:spacing w:after="60" w:before="0" w:line="240" w:lineRule="auto"/>
        <w:ind w:firstLine="288"/>
        <w:jc w:val="both"/>
      </w:pPr>
      <w:r>
        <w:rPr>
          <w:rFonts w:ascii="Times New Roman" w:hAnsi="Times New Roman" w:cs="Times New Roman"/>
          <w:b w:val="0"/>
          <w:i w:val="0"/>
          <w:caps w:val="0"/>
          <w:sz w:val="20"/>
        </w:rPr>
        <w:t xml:space="preserve">The first row is the idealisation and the rest are what a schedule would actually deliver. Two of them beat the idealisation, which looks odd until you notice why: accumulation across doses lifts the steady-state peak above the single-dose peak, so a long half-life with frequent dosing ends up averaging better than a flat 75%. The row that should worry a trial designer is the third from bottom. Annual dosing with a three-month half-life loses 15 of the 35 available percentage points, not because the drug is weaker but because the patient spends most of the year near baseline. </w:t>
      </w:r>
      <w:r>
        <w:rPr>
          <w:rFonts w:ascii="Times New Roman" w:hAnsi="Times New Roman" w:cs="Times New Roman"/>
          <w:b/>
          <w:i w:val="0"/>
          <w:caps w:val="0"/>
          <w:sz w:val="20"/>
        </w:rPr>
        <w:t>The dosing interval is a therapeutic variable of the same order as the dose itself</w:t>
      </w:r>
      <w:r>
        <w:rPr>
          <w:rFonts w:ascii="Times New Roman" w:hAnsi="Times New Roman" w:cs="Times New Roman"/>
          <w:b w:val="0"/>
          <w:i w:val="0"/>
          <w:caps w:val="0"/>
          <w:sz w:val="20"/>
        </w:rPr>
        <w:t>, and it is one that can be optimised without any new chemistry.</w:t>
      </w:r>
    </w:p>
    <w:p>
      <w:pPr>
        <w:sectPr>
          <w:type w:val="continuous"/>
          <w:pgSz w:w="12240" w:h="15840"/>
          <w:pgMar w:top="1080" w:right="900" w:bottom="1440" w:left="900" w:header="720" w:footer="720" w:gutter="0"/>
          <w:cols w:space="360" w:num="2" w:equalWidth="1"/>
          <w:docGrid w:linePitch="360"/>
        </w:sectPr>
      </w:pPr>
    </w:p>
    <w:p>
      <w:pPr>
        <w:spacing w:after="40" w:before="0" w:line="240" w:lineRule="auto"/>
        <w:ind w:firstLine="0"/>
        <w:jc w:val="center"/>
      </w:pPr>
      <w:r>
        <w:drawing>
          <wp:inline xmlns:a="http://schemas.openxmlformats.org/drawingml/2006/main" xmlns:pic="http://schemas.openxmlformats.org/drawingml/2006/picture">
            <wp:extent cx="6492240" cy="2415502"/>
            <wp:docPr id="13" name="Picture 13"/>
            <wp:cNvGraphicFramePr>
              <a:graphicFrameLocks noChangeAspect="1"/>
            </wp:cNvGraphicFramePr>
            <a:graphic>
              <a:graphicData uri="http://schemas.openxmlformats.org/drawingml/2006/picture">
                <pic:pic>
                  <pic:nvPicPr>
                    <pic:cNvPr id="0" name="fig14_dosing.png"/>
                    <pic:cNvPicPr/>
                  </pic:nvPicPr>
                  <pic:blipFill>
                    <a:blip r:embed="rId21"/>
                    <a:stretch>
                      <a:fillRect/>
                    </a:stretch>
                  </pic:blipFill>
                  <pic:spPr>
                    <a:xfrm>
                      <a:off x="0" y="0"/>
                      <a:ext cx="6492240" cy="2415502"/>
                    </a:xfrm>
                    <a:prstGeom prst="rect"/>
                  </pic:spPr>
                </pic:pic>
              </a:graphicData>
            </a:graphic>
          </wp:inline>
        </w:drawing>
      </w:r>
    </w:p>
    <w:p>
      <w:pPr>
        <w:spacing w:after="160" w:before="0" w:line="240" w:lineRule="auto"/>
        <w:ind w:firstLine="0"/>
        <w:jc w:val="both"/>
      </w:pPr>
      <w:r>
        <w:rPr>
          <w:rFonts w:ascii="Times New Roman" w:hAnsi="Times New Roman" w:cs="Times New Roman"/>
          <w:b w:val="0"/>
          <w:i w:val="0"/>
          <w:caps w:val="0"/>
          <w:sz w:val="16"/>
        </w:rPr>
        <w:t xml:space="preserve">Fig. 13.  </w:t>
      </w:r>
      <w:r>
        <w:rPr>
          <w:rFonts w:ascii="Times New Roman" w:hAnsi="Times New Roman" w:cs="Times New Roman"/>
          <w:b/>
          <w:i w:val="0"/>
          <w:caps w:val="0"/>
          <w:sz w:val="16"/>
        </w:rPr>
        <w:t>What an intermittent schedule actually delivers.</w:t>
      </w:r>
      <w:r>
        <w:rPr>
          <w:rFonts w:ascii="Times New Roman" w:hAnsi="Times New Roman" w:cs="Times New Roman"/>
          <w:b w:val="0"/>
          <w:i w:val="0"/>
          <w:caps w:val="0"/>
          <w:sz w:val="16"/>
        </w:rPr>
        <w:t xml:space="preserve"> (A) Achieved knockdown through one steady-state cycle of six-monthly dosing, for three tissue half-lives. (B) Time-averaged knockdown across half-life and interval, at 75% peak knockdown per dose. (C) Lifetime benefit for representative schedules against the idealised step change.</w:t>
      </w:r>
    </w:p>
    <w:p>
      <w:pPr>
        <w:sectPr>
          <w:type w:val="continuous"/>
          <w:pgSz w:w="12240" w:h="15840"/>
          <w:pgMar w:top="1080" w:right="900" w:bottom="1440" w:left="900" w:header="720" w:footer="720" w:gutter="0"/>
          <w:cols w:space="360" w:num="1" w:equalWidth="1"/>
          <w:docGrid w:linePitch="360"/>
        </w:sectPr>
      </w:pPr>
    </w:p>
    <w:p>
      <w:pPr>
        <w:spacing w:after="40" w:before="120" w:line="240" w:lineRule="auto"/>
        <w:ind w:firstLine="0"/>
        <w:jc w:val="left"/>
      </w:pPr>
      <w:r>
        <w:rPr>
          <w:rFonts w:ascii="Times New Roman" w:hAnsi="Times New Roman" w:cs="Times New Roman"/>
          <w:b w:val="0"/>
          <w:i/>
          <w:caps w:val="0"/>
          <w:sz w:val="20"/>
        </w:rPr>
        <w:t>L.  Could a trial of plausible size and length see the effect?</w:t>
      </w:r>
    </w:p>
    <w:p>
      <w:pPr>
        <w:spacing w:after="60" w:before="0" w:line="240" w:lineRule="auto"/>
        <w:ind w:firstLine="288"/>
        <w:jc w:val="both"/>
      </w:pPr>
      <w:r>
        <w:rPr>
          <w:rFonts w:ascii="Times New Roman" w:hAnsi="Times New Roman" w:cs="Times New Roman"/>
          <w:b w:val="0"/>
          <w:i w:val="0"/>
          <w:caps w:val="0"/>
          <w:sz w:val="20"/>
        </w:rPr>
        <w:t xml:space="preserve">A predicted benefit is only useful if it is detectable. Converting the lifetime model into a conventional sample-size calculation, with the endpoint being change in projection-neuron survival over the trial period (the quantity striatal volume on MRI stands in for), gives the following for a cohort enrolled at age 40 with an imaging measurement standard deviation of 2 percentage points (Fig. 14; </w:t>
      </w:r>
      <w:r>
        <w:rPr>
          <w:rFonts w:ascii="Consolas" w:hAnsi="Consolas" w:cs="Consolas"/>
          <w:b w:val="0"/>
          <w:i w:val="0"/>
          <w:caps w:val="0"/>
          <w:sz w:val="20"/>
        </w:rPr>
        <w:t>results/trial_power.csv</w:t>
      </w:r>
      <w:r>
        <w:rPr>
          <w:rFonts w:ascii="Times New Roman" w:hAnsi="Times New Roman" w:cs="Times New Roman"/>
          <w:b w:val="0"/>
          <w:i w:val="0"/>
          <w:caps w:val="0"/>
          <w:sz w:val="20"/>
        </w:rPr>
        <w:t>):</w:t>
      </w:r>
    </w:p>
    <w:p>
      <w:pPr>
        <w:sectPr>
          <w:type w:val="continuous"/>
          <w:pgSz w:w="12240" w:h="15840"/>
          <w:pgMar w:top="1080" w:right="900" w:bottom="1440" w:left="900" w:header="720" w:footer="720" w:gutter="0"/>
          <w:cols w:space="360" w:num="2" w:equalWidth="1"/>
          <w:docGrid w:linePitch="360"/>
        </w:sectPr>
      </w:pPr>
    </w:p>
    <w:p>
      <w:pPr>
        <w:spacing w:after="20" w:before="120" w:line="240" w:lineRule="auto"/>
        <w:ind w:firstLine="0"/>
        <w:jc w:val="center"/>
      </w:pPr>
      <w:r>
        <w:rPr>
          <w:rFonts w:ascii="Times New Roman" w:hAnsi="Times New Roman" w:cs="Times New Roman"/>
          <w:b w:val="0"/>
          <w:i w:val="0"/>
          <w:caps w:val="0"/>
          <w:sz w:val="16"/>
        </w:rPr>
        <w:t>TABLE IX</w:t>
      </w:r>
    </w:p>
    <w:p>
      <w:pPr>
        <w:spacing w:after="60" w:before="0" w:line="240" w:lineRule="auto"/>
        <w:ind w:firstLine="0"/>
        <w:jc w:val="center"/>
      </w:pPr>
      <w:r>
        <w:rPr>
          <w:rFonts w:ascii="Times New Roman" w:hAnsi="Times New Roman" w:cs="Times New Roman"/>
          <w:b w:val="0"/>
          <w:i w:val="0"/>
          <w:caps/>
          <w:sz w:val="16"/>
        </w:rPr>
        <w:t>Participants per arm for 80% power at alpha = 0.05, enrolling at age 40 with 2-point imaging measurement noise.</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610"/>
          </w:tcPr>
          <w:p>
            <w:pPr>
              <w:spacing w:after="0"/>
            </w:pPr>
            <w:r/>
            <w:r>
              <w:rPr>
                <w:rFonts w:ascii="Times New Roman" w:hAnsi="Times New Roman" w:cs="Times New Roman"/>
                <w:b/>
                <w:i w:val="0"/>
                <w:caps w:val="0"/>
                <w:sz w:val="16"/>
              </w:rPr>
              <w:t>Arm</w:t>
            </w:r>
          </w:p>
        </w:tc>
        <w:tc>
          <w:tcPr>
            <w:tcW w:type="dxa" w:w="2610"/>
          </w:tcPr>
          <w:p>
            <w:pPr>
              <w:spacing w:after="0"/>
            </w:pPr>
            <w:r/>
            <w:r>
              <w:rPr>
                <w:rFonts w:ascii="Times New Roman" w:hAnsi="Times New Roman" w:cs="Times New Roman"/>
                <w:b/>
                <w:i w:val="0"/>
                <w:caps w:val="0"/>
                <w:sz w:val="16"/>
              </w:rPr>
              <w:t>2-year trial</w:t>
            </w:r>
          </w:p>
        </w:tc>
        <w:tc>
          <w:tcPr>
            <w:tcW w:type="dxa" w:w="2610"/>
          </w:tcPr>
          <w:p>
            <w:pPr>
              <w:spacing w:after="0"/>
            </w:pPr>
            <w:r/>
            <w:r>
              <w:rPr>
                <w:rFonts w:ascii="Times New Roman" w:hAnsi="Times New Roman" w:cs="Times New Roman"/>
                <w:b/>
                <w:i w:val="0"/>
                <w:caps w:val="0"/>
                <w:sz w:val="16"/>
              </w:rPr>
              <w:t>3-year trial</w:t>
            </w:r>
          </w:p>
        </w:tc>
        <w:tc>
          <w:tcPr>
            <w:tcW w:type="dxa" w:w="2610"/>
          </w:tcPr>
          <w:p>
            <w:pPr>
              <w:spacing w:after="0"/>
            </w:pPr>
            <w:r/>
            <w:r>
              <w:rPr>
                <w:rFonts w:ascii="Times New Roman" w:hAnsi="Times New Roman" w:cs="Times New Roman"/>
                <w:b/>
                <w:i w:val="0"/>
                <w:caps w:val="0"/>
                <w:sz w:val="16"/>
              </w:rPr>
              <w:t>5-year trial</w:t>
            </w:r>
          </w:p>
        </w:tc>
      </w:tr>
      <w:tr>
        <w:tc>
          <w:tcPr>
            <w:tcW w:type="dxa" w:w="2610"/>
          </w:tcPr>
          <w:p>
            <w:pPr>
              <w:spacing w:after="0"/>
            </w:pPr>
            <w:r>
              <w:rPr>
                <w:rFonts w:ascii="Times New Roman" w:hAnsi="Times New Roman" w:cs="Times New Roman"/>
                <w:b w:val="0"/>
                <w:i w:val="0"/>
                <w:caps w:val="0"/>
                <w:sz w:val="16"/>
              </w:rPr>
              <w:t>29% knockdown (measured achievable)</w:t>
            </w:r>
          </w:p>
        </w:tc>
        <w:tc>
          <w:tcPr>
            <w:tcW w:type="dxa" w:w="2610"/>
          </w:tcPr>
          <w:p>
            <w:pPr>
              <w:spacing w:after="0"/>
            </w:pPr>
            <w:r>
              <w:rPr>
                <w:rFonts w:ascii="Times New Roman" w:hAnsi="Times New Roman" w:cs="Times New Roman"/>
                <w:b w:val="0"/>
                <w:i w:val="0"/>
                <w:caps w:val="0"/>
                <w:sz w:val="16"/>
              </w:rPr>
              <w:t>417 per arm</w:t>
            </w:r>
          </w:p>
        </w:tc>
        <w:tc>
          <w:tcPr>
            <w:tcW w:type="dxa" w:w="2610"/>
          </w:tcPr>
          <w:p>
            <w:pPr>
              <w:spacing w:after="0"/>
            </w:pPr>
            <w:r>
              <w:rPr>
                <w:rFonts w:ascii="Times New Roman" w:hAnsi="Times New Roman" w:cs="Times New Roman"/>
                <w:b w:val="0"/>
                <w:i w:val="0"/>
                <w:caps w:val="0"/>
                <w:sz w:val="16"/>
              </w:rPr>
              <w:t>133 per arm</w:t>
            </w:r>
          </w:p>
        </w:tc>
        <w:tc>
          <w:tcPr>
            <w:tcW w:type="dxa" w:w="2610"/>
          </w:tcPr>
          <w:p>
            <w:pPr>
              <w:spacing w:after="0"/>
            </w:pPr>
            <w:r>
              <w:rPr>
                <w:rFonts w:ascii="Times New Roman" w:hAnsi="Times New Roman" w:cs="Times New Roman"/>
                <w:b w:val="0"/>
                <w:i w:val="0"/>
                <w:caps w:val="0"/>
                <w:sz w:val="16"/>
              </w:rPr>
              <w:t>47 per arm</w:t>
            </w:r>
          </w:p>
        </w:tc>
      </w:tr>
      <w:tr>
        <w:tc>
          <w:tcPr>
            <w:tcW w:type="dxa" w:w="2610"/>
          </w:tcPr>
          <w:p>
            <w:pPr>
              <w:spacing w:after="0"/>
            </w:pPr>
            <w:r>
              <w:rPr>
                <w:rFonts w:ascii="Times New Roman" w:hAnsi="Times New Roman" w:cs="Times New Roman"/>
                <w:b w:val="0"/>
                <w:i w:val="0"/>
                <w:caps w:val="0"/>
                <w:sz w:val="16"/>
              </w:rPr>
              <w:t>55% knockdown (best caudate figure)</w:t>
            </w:r>
          </w:p>
        </w:tc>
        <w:tc>
          <w:tcPr>
            <w:tcW w:type="dxa" w:w="2610"/>
          </w:tcPr>
          <w:p>
            <w:pPr>
              <w:spacing w:after="0"/>
            </w:pPr>
            <w:r>
              <w:rPr>
                <w:rFonts w:ascii="Times New Roman" w:hAnsi="Times New Roman" w:cs="Times New Roman"/>
                <w:b w:val="0"/>
                <w:i w:val="0"/>
                <w:caps w:val="0"/>
                <w:sz w:val="16"/>
              </w:rPr>
              <w:t>150 per arm</w:t>
            </w:r>
          </w:p>
        </w:tc>
        <w:tc>
          <w:tcPr>
            <w:tcW w:type="dxa" w:w="2610"/>
          </w:tcPr>
          <w:p>
            <w:pPr>
              <w:spacing w:after="0"/>
            </w:pPr>
            <w:r>
              <w:rPr>
                <w:rFonts w:ascii="Times New Roman" w:hAnsi="Times New Roman" w:cs="Times New Roman"/>
                <w:b w:val="0"/>
                <w:i w:val="0"/>
                <w:caps w:val="0"/>
                <w:sz w:val="16"/>
              </w:rPr>
              <w:t>47 per arm</w:t>
            </w:r>
          </w:p>
        </w:tc>
        <w:tc>
          <w:tcPr>
            <w:tcW w:type="dxa" w:w="2610"/>
          </w:tcPr>
          <w:p>
            <w:pPr>
              <w:spacing w:after="0"/>
            </w:pPr>
            <w:r>
              <w:rPr>
                <w:rFonts w:ascii="Times New Roman" w:hAnsi="Times New Roman" w:cs="Times New Roman"/>
                <w:b w:val="0"/>
                <w:i w:val="0"/>
                <w:caps w:val="0"/>
                <w:sz w:val="16"/>
              </w:rPr>
              <w:t>14 per arm</w:t>
            </w:r>
          </w:p>
        </w:tc>
      </w:tr>
      <w:tr>
        <w:tc>
          <w:tcPr>
            <w:tcW w:type="dxa" w:w="2610"/>
          </w:tcPr>
          <w:p>
            <w:pPr>
              <w:spacing w:after="0"/>
            </w:pPr>
            <w:r>
              <w:rPr>
                <w:rFonts w:ascii="Times New Roman" w:hAnsi="Times New Roman" w:cs="Times New Roman"/>
                <w:b w:val="0"/>
                <w:i w:val="0"/>
                <w:caps w:val="0"/>
                <w:sz w:val="16"/>
              </w:rPr>
              <w:t>75% knockdown (aspirational)</w:t>
            </w:r>
          </w:p>
        </w:tc>
        <w:tc>
          <w:tcPr>
            <w:tcW w:type="dxa" w:w="2610"/>
          </w:tcPr>
          <w:p>
            <w:pPr>
              <w:spacing w:after="0"/>
            </w:pPr>
            <w:r>
              <w:rPr>
                <w:rFonts w:ascii="Times New Roman" w:hAnsi="Times New Roman" w:cs="Times New Roman"/>
                <w:b w:val="0"/>
                <w:i w:val="0"/>
                <w:caps w:val="0"/>
                <w:sz w:val="16"/>
              </w:rPr>
              <w:t>86 per arm</w:t>
            </w:r>
          </w:p>
        </w:tc>
        <w:tc>
          <w:tcPr>
            <w:tcW w:type="dxa" w:w="2610"/>
          </w:tcPr>
          <w:p>
            <w:pPr>
              <w:spacing w:after="0"/>
            </w:pPr>
            <w:r>
              <w:rPr>
                <w:rFonts w:ascii="Times New Roman" w:hAnsi="Times New Roman" w:cs="Times New Roman"/>
                <w:b w:val="0"/>
                <w:i w:val="0"/>
                <w:caps w:val="0"/>
                <w:sz w:val="16"/>
              </w:rPr>
              <w:t>28 per arm</w:t>
            </w:r>
          </w:p>
        </w:tc>
        <w:tc>
          <w:tcPr>
            <w:tcW w:type="dxa" w:w="2610"/>
          </w:tcPr>
          <w:p>
            <w:pPr>
              <w:spacing w:after="0"/>
            </w:pPr>
            <w:r>
              <w:rPr>
                <w:rFonts w:ascii="Times New Roman" w:hAnsi="Times New Roman" w:cs="Times New Roman"/>
                <w:b w:val="0"/>
                <w:i w:val="0"/>
                <w:caps w:val="0"/>
                <w:sz w:val="16"/>
              </w:rPr>
              <w:t>9 per arm</w:t>
            </w:r>
          </w:p>
        </w:tc>
      </w:tr>
    </w:tbl>
    <w:p>
      <w:pPr>
        <w:spacing w:after="120" w:before="0" w:line="240" w:lineRule="auto"/>
        <w:ind w:firstLine="0"/>
        <w:jc w:val="both"/>
      </w:pPr>
    </w:p>
    <w:p>
      <w:pPr>
        <w:sectPr>
          <w:type w:val="continuous"/>
          <w:pgSz w:w="12240" w:h="15840"/>
          <w:pgMar w:top="1080" w:right="900" w:bottom="1440" w:left="900" w:header="720" w:footer="720" w:gutter="0"/>
          <w:cols w:space="360" w:num="1" w:equalWidth="1"/>
          <w:docGrid w:linePitch="360"/>
        </w:sectPr>
      </w:pPr>
    </w:p>
    <w:p>
      <w:pPr>
        <w:spacing w:after="60" w:before="0" w:line="240" w:lineRule="auto"/>
        <w:ind w:firstLine="288"/>
        <w:jc w:val="both"/>
      </w:pPr>
      <w:r>
        <w:rPr>
          <w:rFonts w:ascii="Times New Roman" w:hAnsi="Times New Roman" w:cs="Times New Roman"/>
          <w:b w:val="0"/>
          <w:i w:val="0"/>
          <w:caps w:val="0"/>
          <w:sz w:val="20"/>
        </w:rPr>
        <w:t>The headline is that this is a feasible trial. At the knockdown that has actually been measured, a three-year study with 133 participants per arm has 80% power, and that is well within the range of trials that have been run in this disease. The effect size is small in absolute terms, 1.02 percentage points of striatum over three years, but the between-subject variability from the spread of inherited CAG lengths is also small, 0.86 points, so the signal-to-noise ratio is workable.</w:t>
      </w:r>
    </w:p>
    <w:p>
      <w:pPr>
        <w:spacing w:after="60" w:before="0" w:line="240" w:lineRule="auto"/>
        <w:ind w:firstLine="288"/>
        <w:jc w:val="both"/>
      </w:pPr>
      <w:r>
        <w:rPr>
          <w:rFonts w:ascii="Times New Roman" w:hAnsi="Times New Roman" w:cs="Times New Roman"/>
          <w:b w:val="0"/>
          <w:i w:val="0"/>
          <w:caps w:val="0"/>
          <w:sz w:val="20"/>
        </w:rPr>
        <w:t xml:space="preserve">What dominates the sample size is not biology but imaging precision. Holding everything else fixed and sweeping the measurement standard deviation from 0 to 4 points moves the required sample size from 12 to 498 per arm, a forty-fold range (Fig. 14C). The biological effect is the same in every one of those cases. </w:t>
      </w:r>
      <w:r>
        <w:rPr>
          <w:rFonts w:ascii="Times New Roman" w:hAnsi="Times New Roman" w:cs="Times New Roman"/>
          <w:b/>
          <w:i w:val="0"/>
          <w:caps w:val="0"/>
          <w:sz w:val="20"/>
        </w:rPr>
        <w:t>Measurement error is the binding constraint on trial size, not the strength of the drug effect</w:t>
      </w:r>
      <w:r>
        <w:rPr>
          <w:rFonts w:ascii="Times New Roman" w:hAnsi="Times New Roman" w:cs="Times New Roman"/>
          <w:b w:val="0"/>
          <w:i w:val="0"/>
          <w:caps w:val="0"/>
          <w:sz w:val="20"/>
        </w:rPr>
        <w:t>, and improving the reproducibility of the imaging endpoint is worth as much as improving target engagement.</w:t>
      </w:r>
    </w:p>
    <w:p>
      <w:pPr>
        <w:spacing w:after="60" w:before="0" w:line="240" w:lineRule="auto"/>
        <w:ind w:firstLine="288"/>
        <w:jc w:val="both"/>
      </w:pPr>
      <w:r>
        <w:rPr>
          <w:rFonts w:ascii="Times New Roman" w:hAnsi="Times New Roman" w:cs="Times New Roman"/>
          <w:b w:val="0"/>
          <w:i w:val="0"/>
          <w:caps w:val="0"/>
          <w:sz w:val="20"/>
        </w:rPr>
        <w:t>Trial duration is the next strongest lever, and it works better than it should. Going from two years to five years cuts the required sample size by roughly nine-fold, far more than the three-fold that a proportional effect would give, because the effect grows faster than linearly with time while the measurement noise does not grow at all. A longer trial is cheaper per unit of statistical power.</w:t>
      </w:r>
    </w:p>
    <w:p>
      <w:pPr>
        <w:spacing w:after="60" w:before="0" w:line="240" w:lineRule="auto"/>
        <w:ind w:firstLine="288"/>
        <w:jc w:val="both"/>
      </w:pPr>
      <w:r>
        <w:rPr>
          <w:rFonts w:ascii="Times New Roman" w:hAnsi="Times New Roman" w:cs="Times New Roman"/>
          <w:b w:val="0"/>
          <w:i w:val="0"/>
          <w:caps w:val="0"/>
          <w:sz w:val="20"/>
        </w:rPr>
        <w:t>The enrolment-age result is less clean and worth flagging as a caution. Enrolling at 50 rather than 40 makes the shorter trials harder, not easier: the required sample size rises from 417 to 523 at two years and from 133 to 165 at three, because the treatment effect itself is smaller in the older cohort (0.89 against 1.02 percentage points at three years). At five years the ordering reverses and 45 participants per arm suffice against 47, and the reason is variance rather than effect size. The between-subject spread contributed by the inherited CAG distribution falls from 1.33 to 0.72 points over a five-year window when enrolment is at 50, because by that age the faster-expanding carriers have already lost the neurons that would have separated them from the slower ones, so the cohort is more homogeneous in what remains to be lost. That is a real statistical effect and it is also a trap. A five-year trial enrolling at 50 is marginally easier to power and, per Section III-J, treats people for whom the clinically meaningful endpoint has mostly already passed. Optimising enrolment age for statistical convenience would select against therapeutic benefit, which is precisely the kind of mistake a model like this is useful for catching before it is made.</w:t>
      </w:r>
    </w:p>
    <w:p>
      <w:pPr>
        <w:spacing w:after="60" w:before="0" w:line="240" w:lineRule="auto"/>
        <w:ind w:firstLine="288"/>
        <w:jc w:val="both"/>
      </w:pPr>
      <w:r>
        <w:rPr>
          <w:rFonts w:ascii="Times New Roman" w:hAnsi="Times New Roman" w:cs="Times New Roman"/>
          <w:b w:val="0"/>
          <w:i w:val="0"/>
          <w:caps w:val="0"/>
          <w:sz w:val="20"/>
        </w:rPr>
        <w:t>One source of between-subject variation is missing from all of these numbers and it is worth quantifying rather than only confessing. The spread above comes from the enrolled CAG distribution and from imaging noise; real participants also differ in the modifier genotypes of Section III-G, which this simulation does not sample. That variance adds in quadrature to the standard deviation in the sample-size formula, so its cost can be read off without re-simulating anything (</w:t>
      </w:r>
      <w:r>
        <w:rPr>
          <w:rFonts w:ascii="Consolas" w:hAnsi="Consolas" w:cs="Consolas"/>
          <w:b w:val="0"/>
          <w:i w:val="0"/>
          <w:caps w:val="0"/>
          <w:sz w:val="20"/>
        </w:rPr>
        <w:t>results/modifier_variance_power.csv</w:t>
      </w:r>
      <w:r>
        <w:rPr>
          <w:rFonts w:ascii="Times New Roman" w:hAnsi="Times New Roman" w:cs="Times New Roman"/>
          <w:b w:val="0"/>
          <w:i w:val="0"/>
          <w:caps w:val="0"/>
          <w:sz w:val="20"/>
        </w:rPr>
        <w:t>): an extra between-subject standard deviation of one percentage point over the three-year window raises the achievable-dose requirement from 133 to 148 per arm, and two points raises it to 193. The sample sizes quoted here are therefore floors in a second sense, on top of the dropout point made in the limitations.</w:t>
      </w:r>
    </w:p>
    <w:p>
      <w:pPr>
        <w:sectPr>
          <w:type w:val="continuous"/>
          <w:pgSz w:w="12240" w:h="15840"/>
          <w:pgMar w:top="1080" w:right="900" w:bottom="1440" w:left="900" w:header="720" w:footer="720" w:gutter="0"/>
          <w:cols w:space="360" w:num="2" w:equalWidth="1"/>
          <w:docGrid w:linePitch="360"/>
        </w:sectPr>
      </w:pPr>
    </w:p>
    <w:p>
      <w:pPr>
        <w:spacing w:after="40" w:before="0" w:line="240" w:lineRule="auto"/>
        <w:ind w:firstLine="0"/>
        <w:jc w:val="center"/>
      </w:pPr>
      <w:r>
        <w:drawing>
          <wp:inline xmlns:a="http://schemas.openxmlformats.org/drawingml/2006/main" xmlns:pic="http://schemas.openxmlformats.org/drawingml/2006/picture">
            <wp:extent cx="6492240" cy="2297815"/>
            <wp:docPr id="14" name="Picture 14"/>
            <wp:cNvGraphicFramePr>
              <a:graphicFrameLocks noChangeAspect="1"/>
            </wp:cNvGraphicFramePr>
            <a:graphic>
              <a:graphicData uri="http://schemas.openxmlformats.org/drawingml/2006/picture">
                <pic:pic>
                  <pic:nvPicPr>
                    <pic:cNvPr id="0" name="fig15_power.png"/>
                    <pic:cNvPicPr/>
                  </pic:nvPicPr>
                  <pic:blipFill>
                    <a:blip r:embed="rId22"/>
                    <a:stretch>
                      <a:fillRect/>
                    </a:stretch>
                  </pic:blipFill>
                  <pic:spPr>
                    <a:xfrm>
                      <a:off x="0" y="0"/>
                      <a:ext cx="6492240" cy="2297815"/>
                    </a:xfrm>
                    <a:prstGeom prst="rect"/>
                  </pic:spPr>
                </pic:pic>
              </a:graphicData>
            </a:graphic>
          </wp:inline>
        </w:drawing>
      </w:r>
    </w:p>
    <w:p>
      <w:pPr>
        <w:spacing w:after="160" w:before="0" w:line="240" w:lineRule="auto"/>
        <w:ind w:firstLine="0"/>
        <w:jc w:val="both"/>
      </w:pPr>
      <w:r>
        <w:rPr>
          <w:rFonts w:ascii="Times New Roman" w:hAnsi="Times New Roman" w:cs="Times New Roman"/>
          <w:b w:val="0"/>
          <w:i w:val="0"/>
          <w:caps w:val="0"/>
          <w:sz w:val="16"/>
        </w:rPr>
        <w:t xml:space="preserve">Fig. 14.  </w:t>
      </w:r>
      <w:r>
        <w:rPr>
          <w:rFonts w:ascii="Times New Roman" w:hAnsi="Times New Roman" w:cs="Times New Roman"/>
          <w:b/>
          <w:i w:val="0"/>
          <w:caps w:val="0"/>
          <w:sz w:val="16"/>
        </w:rPr>
        <w:t>Trial feasibility.</w:t>
      </w:r>
      <w:r>
        <w:rPr>
          <w:rFonts w:ascii="Times New Roman" w:hAnsi="Times New Roman" w:cs="Times New Roman"/>
          <w:b w:val="0"/>
          <w:i w:val="0"/>
          <w:caps w:val="0"/>
          <w:sz w:val="16"/>
        </w:rPr>
        <w:t xml:space="preserve"> (A) Effect size against trial duration for three knockdown levels, treated from age 40. (B) Required sample size per arm for 80% power. (C) Sample size against imaging measurement error for a three-year trial at the achievable dose, for three enrolment ages.</w:t>
      </w:r>
    </w:p>
    <w:p>
      <w:pPr>
        <w:sectPr>
          <w:type w:val="continuous"/>
          <w:pgSz w:w="12240" w:h="15840"/>
          <w:pgMar w:top="1080" w:right="900" w:bottom="1440" w:left="900" w:header="720" w:footer="720" w:gutter="0"/>
          <w:cols w:space="360" w:num="1" w:equalWidth="1"/>
          <w:docGrid w:linePitch="360"/>
        </w:sectPr>
      </w:pPr>
    </w:p>
    <w:p>
      <w:pPr>
        <w:spacing w:after="40" w:before="120" w:line="240" w:lineRule="auto"/>
        <w:ind w:firstLine="0"/>
        <w:jc w:val="left"/>
      </w:pPr>
      <w:r>
        <w:rPr>
          <w:rFonts w:ascii="Times New Roman" w:hAnsi="Times New Roman" w:cs="Times New Roman"/>
          <w:b w:val="0"/>
          <w:i/>
          <w:caps w:val="0"/>
          <w:sz w:val="20"/>
        </w:rPr>
        <w:t>M.  The conclusion survives full uncertainty propagation</w:t>
      </w:r>
    </w:p>
    <w:p>
      <w:pPr>
        <w:spacing w:after="60" w:before="0" w:line="240" w:lineRule="auto"/>
        <w:ind w:firstLine="288"/>
        <w:jc w:val="both"/>
      </w:pPr>
      <w:r>
        <w:rPr>
          <w:rFonts w:ascii="Times New Roman" w:hAnsi="Times New Roman" w:cs="Times New Roman"/>
          <w:b w:val="0"/>
          <w:i w:val="0"/>
          <w:caps w:val="0"/>
          <w:sz w:val="20"/>
        </w:rPr>
        <w:t xml:space="preserve">Across 160 Latin hypercube samples, with the rate law recalibrated inside every single sample so that calibration uncertainty is propagated rather than frozen at the central fit (Fig. 15; </w:t>
      </w:r>
      <w:r>
        <w:rPr>
          <w:rFonts w:ascii="Consolas" w:hAnsi="Consolas" w:cs="Consolas"/>
          <w:b w:val="0"/>
          <w:i w:val="0"/>
          <w:caps w:val="0"/>
          <w:sz w:val="20"/>
        </w:rPr>
        <w:t>results/sensitivity_prcc.csv</w:t>
      </w:r>
      <w:r>
        <w:rPr>
          <w:rFonts w:ascii="Times New Roman" w:hAnsi="Times New Roman" w:cs="Times New Roman"/>
          <w:b w:val="0"/>
          <w:i w:val="0"/>
          <w:caps w:val="0"/>
          <w:sz w:val="20"/>
        </w:rPr>
        <w:t>), the benefit of the measured achievable knockdown of 29% starting at age 30 is 11.5 percentage points of striatum preserved at age 70, with a 95% interval of 7.4 to 17.5. Untreated loss at 70 ranges from 20.6% to 54.9% and treated loss from 11.4% to 41.3% across the sampled space, but the benefit never vanishes in any sample. That is the most important single sentence in this section: the absolute numbers move a lot and the sign of the conclusion does not move at all.</w:t>
      </w:r>
    </w:p>
    <w:p>
      <w:pPr>
        <w:spacing w:after="60" w:before="0" w:line="240" w:lineRule="auto"/>
        <w:ind w:firstLine="288"/>
        <w:jc w:val="both"/>
      </w:pPr>
      <w:r>
        <w:rPr>
          <w:rFonts w:ascii="Times New Roman" w:hAnsi="Times New Roman" w:cs="Times New Roman"/>
          <w:b w:val="0"/>
          <w:i w:val="0"/>
          <w:caps w:val="0"/>
          <w:sz w:val="20"/>
        </w:rPr>
        <w:t>The strongest drivers are the pharmacodynamic order, with a partial rank correlation of +0.70, the contraction rate at −0.66, the expansion step size at −0.66 and the basal transit time at −0.54. It is reassuring that the top driver is the pharmacodynamic order, because that is the quantity most directly constrained by independent data (Section III-B) rather than the one most freely assumed.</w:t>
      </w:r>
    </w:p>
    <w:p>
      <w:pPr>
        <w:spacing w:after="60" w:before="0" w:line="240" w:lineRule="auto"/>
        <w:ind w:firstLine="288"/>
        <w:jc w:val="both"/>
      </w:pPr>
      <w:r>
        <w:rPr>
          <w:rFonts w:ascii="Times New Roman" w:hAnsi="Times New Roman" w:cs="Times New Roman"/>
          <w:b w:val="0"/>
          <w:i w:val="0"/>
          <w:caps w:val="0"/>
          <w:sz w:val="20"/>
        </w:rPr>
        <w:t>It is less reassuring that three of the six strongest drivers are assumed rather than measured, and the point should be made in the prose and not left to the colours in Fig. 15B. The contraction rate at −0.66, the switch width at −0.45 and the contraction step size at −0.42 are all values this work chose, they occupy the second, fifth and sixth places in the ranking, and all three sit well above every elimination constant. Their presence near the top is the main reason the 95% interval on the benefit is as wide as 7.4 to 17.5 points. The reassuring version of this observation is that all three act in the same direction and that the benefit stays positive across the whole sampled range; the honest version is that the central estimate of 11.5 points would move if better measurements of somatic contraction became available, and contraction in human projection neurons is measured hardly at all.</w:t>
      </w:r>
    </w:p>
    <w:p>
      <w:pPr>
        <w:spacing w:after="60" w:before="0" w:line="240" w:lineRule="auto"/>
        <w:ind w:firstLine="288"/>
        <w:jc w:val="both"/>
      </w:pPr>
      <w:r>
        <w:rPr>
          <w:rFonts w:ascii="Times New Roman" w:hAnsi="Times New Roman" w:cs="Times New Roman"/>
          <w:b w:val="0"/>
          <w:i w:val="0"/>
          <w:caps w:val="0"/>
          <w:sz w:val="20"/>
        </w:rPr>
        <w:t>The reassurance that can be given is narrower and applies to the elimination submodel specifically. The three constants that set how a neuron dies once it passes the threshold have partial rank correlations of −0.15, +0.14 and −0.11, all below the weakest of the drivers above, which is the quantitative form of the argument in Section III-D: what happens after the threshold has almost no leverage on when the striatum is lost. The numerical ceiling on tract length, swept here from 600 to 1,400 repeats, comes out at +0.09 and is likewise immaterial to the benefit, which confirms that the narrow terminal tail in Section III-C is a presentational limit rather than something the therapeutic conclusion depends on. The MutSβ footprint has a correlation of essentially zero, for a structural reason worth stating: it enters the rate law multiplicatively through site multiplicity, and calibration absorbs any change in it into the pre-factor A, so it cannot affect the outcome. A parameter taken from a preprint turns out to be immaterial, which is a better position to be in than relying on it.</w:t>
      </w:r>
    </w:p>
    <w:p>
      <w:pPr>
        <w:sectPr>
          <w:type w:val="continuous"/>
          <w:pgSz w:w="12240" w:h="15840"/>
          <w:pgMar w:top="1080" w:right="900" w:bottom="1440" w:left="900" w:header="720" w:footer="720" w:gutter="0"/>
          <w:cols w:space="360" w:num="2" w:equalWidth="1"/>
          <w:docGrid w:linePitch="360"/>
        </w:sectPr>
      </w:pPr>
    </w:p>
    <w:p>
      <w:pPr>
        <w:spacing w:after="40" w:before="0" w:line="240" w:lineRule="auto"/>
        <w:ind w:firstLine="0"/>
        <w:jc w:val="center"/>
      </w:pPr>
      <w:r>
        <w:drawing>
          <wp:inline xmlns:a="http://schemas.openxmlformats.org/drawingml/2006/main" xmlns:pic="http://schemas.openxmlformats.org/drawingml/2006/picture">
            <wp:extent cx="6492240" cy="2637035"/>
            <wp:docPr id="15" name="Picture 15"/>
            <wp:cNvGraphicFramePr>
              <a:graphicFrameLocks noChangeAspect="1"/>
            </wp:cNvGraphicFramePr>
            <a:graphic>
              <a:graphicData uri="http://schemas.openxmlformats.org/drawingml/2006/picture">
                <pic:pic>
                  <pic:nvPicPr>
                    <pic:cNvPr id="0" name="fig10_sensitivity.png"/>
                    <pic:cNvPicPr/>
                  </pic:nvPicPr>
                  <pic:blipFill>
                    <a:blip r:embed="rId23"/>
                    <a:stretch>
                      <a:fillRect/>
                    </a:stretch>
                  </pic:blipFill>
                  <pic:spPr>
                    <a:xfrm>
                      <a:off x="0" y="0"/>
                      <a:ext cx="6492240" cy="2637035"/>
                    </a:xfrm>
                    <a:prstGeom prst="rect"/>
                  </pic:spPr>
                </pic:pic>
              </a:graphicData>
            </a:graphic>
          </wp:inline>
        </w:drawing>
      </w:r>
    </w:p>
    <w:p>
      <w:pPr>
        <w:spacing w:after="160" w:before="0" w:line="240" w:lineRule="auto"/>
        <w:ind w:firstLine="0"/>
        <w:jc w:val="both"/>
      </w:pPr>
      <w:r>
        <w:rPr>
          <w:rFonts w:ascii="Times New Roman" w:hAnsi="Times New Roman" w:cs="Times New Roman"/>
          <w:b w:val="0"/>
          <w:i w:val="0"/>
          <w:caps w:val="0"/>
          <w:sz w:val="16"/>
        </w:rPr>
        <w:t xml:space="preserve">Fig. 15.  </w:t>
      </w:r>
      <w:r>
        <w:rPr>
          <w:rFonts w:ascii="Times New Roman" w:hAnsi="Times New Roman" w:cs="Times New Roman"/>
          <w:b/>
          <w:i w:val="0"/>
          <w:caps w:val="0"/>
          <w:sz w:val="16"/>
        </w:rPr>
        <w:t>Global sensitivity.</w:t>
      </w:r>
      <w:r>
        <w:rPr>
          <w:rFonts w:ascii="Times New Roman" w:hAnsi="Times New Roman" w:cs="Times New Roman"/>
          <w:b w:val="0"/>
          <w:i w:val="0"/>
          <w:caps w:val="0"/>
          <w:sz w:val="16"/>
        </w:rPr>
        <w:t xml:space="preserve"> (A) Distribution of the predicted benefit across 160 recalibrated samples. (B) Partial rank correlation of each input against benefit; blue inputs are published anchors, red are assumed constants. (C) Response to the strongest driver.</w:t>
      </w:r>
    </w:p>
    <w:p>
      <w:pPr>
        <w:sectPr>
          <w:type w:val="continuous"/>
          <w:pgSz w:w="12240" w:h="15840"/>
          <w:pgMar w:top="1080" w:right="900" w:bottom="1440" w:left="900" w:header="720" w:footer="720" w:gutter="0"/>
          <w:cols w:space="360" w:num="1" w:equalWidth="1"/>
          <w:docGrid w:linePitch="360"/>
        </w:sectPr>
      </w:pPr>
    </w:p>
    <w:p>
      <w:pPr>
        <w:spacing w:after="60" w:before="160" w:line="240" w:lineRule="auto"/>
        <w:ind w:firstLine="0"/>
        <w:jc w:val="center"/>
      </w:pPr>
      <w:r>
        <w:rPr>
          <w:rFonts w:ascii="Times New Roman" w:hAnsi="Times New Roman" w:cs="Times New Roman"/>
          <w:b w:val="0"/>
          <w:i w:val="0"/>
          <w:caps/>
          <w:sz w:val="20"/>
        </w:rPr>
        <w:t>IV.  Discussion</w:t>
      </w:r>
    </w:p>
    <w:p>
      <w:pPr>
        <w:spacing w:after="40" w:before="120" w:line="240" w:lineRule="auto"/>
        <w:ind w:firstLine="0"/>
        <w:jc w:val="left"/>
      </w:pPr>
      <w:r>
        <w:rPr>
          <w:rFonts w:ascii="Times New Roman" w:hAnsi="Times New Roman" w:cs="Times New Roman"/>
          <w:b w:val="0"/>
          <w:i/>
          <w:caps w:val="0"/>
          <w:sz w:val="20"/>
        </w:rPr>
        <w:t>A.  What the model says</w:t>
      </w:r>
    </w:p>
    <w:p>
      <w:pPr>
        <w:spacing w:after="60" w:before="0" w:line="240" w:lineRule="auto"/>
        <w:ind w:firstLine="288"/>
        <w:jc w:val="both"/>
      </w:pPr>
      <w:r>
        <w:rPr>
          <w:rFonts w:ascii="Times New Roman" w:hAnsi="Times New Roman" w:cs="Times New Roman"/>
          <w:b w:val="0"/>
          <w:i w:val="0"/>
          <w:caps w:val="0"/>
          <w:sz w:val="20"/>
        </w:rPr>
        <w:t>Somatic CAG expansion in this model behaves as a switch rather than a ramp, and the switch sits at roughly eighty repeats, close to the length at which a tract can first host clustered slip-outs that mismatch repair is known to resolve badly. The position of that switch is one of the best-determined quantities in the fit once its width is fixed, and somewhere between about 75 and 99 repeats when the two are read jointly, while the thermodynamic parameter that a more conventional model would have leaned on is not determined at all.</w:t>
      </w:r>
    </w:p>
    <w:p>
      <w:pPr>
        <w:spacing w:after="60" w:before="0" w:line="240" w:lineRule="auto"/>
        <w:ind w:firstLine="288"/>
        <w:jc w:val="both"/>
      </w:pPr>
      <w:r>
        <w:rPr>
          <w:rFonts w:ascii="Times New Roman" w:hAnsi="Times New Roman" w:cs="Times New Roman"/>
          <w:b w:val="0"/>
          <w:i w:val="0"/>
          <w:caps w:val="0"/>
          <w:sz w:val="20"/>
        </w:rPr>
        <w:t>MSH3 lowering acts on the process with an order the data place at or near one, so suppression tracks target engagement close to proportionally. There is no cooperative threshold to clear and no cooperative bonus to collect. Because a neuron that crosses 150 repeats dies within about twenty months, and because reaching 150 takes 97.5% of its life, essentially all therapeutic leverage lies in the pre-threshold decades and essentially none afterwards. That single structural fact explains why accelerating terminal death cannot reconcile the model with end-stage autopsy data, and it explains why treatment started at 50 does so much less than treatment started at 30.</w:t>
      </w:r>
    </w:p>
    <w:p>
      <w:pPr>
        <w:spacing w:after="60" w:before="0" w:line="240" w:lineRule="auto"/>
        <w:ind w:firstLine="288"/>
        <w:jc w:val="both"/>
      </w:pPr>
      <w:r>
        <w:rPr>
          <w:rFonts w:ascii="Times New Roman" w:hAnsi="Times New Roman" w:cs="Times New Roman"/>
          <w:b w:val="0"/>
          <w:i w:val="0"/>
          <w:caps w:val="0"/>
          <w:sz w:val="20"/>
        </w:rPr>
        <w:t>The arithmetic that follows is uncomfortable. The striatal MSH3 lowering that cerebrospinal-fluid-delivered oligonucleotides currently achieve in primates, 25 to 55% from a regimen heavier than clinical dosing and likely worse in a brain four times larger, yields a third to a half of the available suppression and preserves about eleven percentage points of striatum by age 70. That is a genuine disease-modifying effect, and Section III-L says a trial of ordinary size would see it. But it is a small fraction of what the target can deliver, since 75% knockdown pushes the same cohort past the end of a simulated lifespan.</w:t>
      </w:r>
    </w:p>
    <w:p>
      <w:pPr>
        <w:spacing w:after="40" w:before="120" w:line="240" w:lineRule="auto"/>
        <w:ind w:firstLine="0"/>
        <w:jc w:val="left"/>
      </w:pPr>
      <w:r>
        <w:rPr>
          <w:rFonts w:ascii="Times New Roman" w:hAnsi="Times New Roman" w:cs="Times New Roman"/>
          <w:b w:val="0"/>
          <w:i/>
          <w:caps w:val="0"/>
          <w:sz w:val="20"/>
        </w:rPr>
        <w:t>B.  An engineering specification, written in numbers</w:t>
      </w:r>
    </w:p>
    <w:p>
      <w:pPr>
        <w:spacing w:after="60" w:before="0" w:line="240" w:lineRule="auto"/>
        <w:ind w:firstLine="288"/>
        <w:jc w:val="both"/>
      </w:pPr>
      <w:r>
        <w:rPr>
          <w:rFonts w:ascii="Times New Roman" w:hAnsi="Times New Roman" w:cs="Times New Roman"/>
          <w:b w:val="0"/>
          <w:i w:val="0"/>
          <w:caps w:val="0"/>
          <w:sz w:val="20"/>
        </w:rPr>
        <w:t>The point of building a model like this is that it turns a biological ambition into figures a formulation or device team can work against.</w:t>
      </w:r>
    </w:p>
    <w:p>
      <w:pPr>
        <w:spacing w:after="40" w:before="0" w:line="240" w:lineRule="auto"/>
        <w:ind w:left="288" w:hanging="173"/>
        <w:jc w:val="both"/>
      </w:pPr>
      <w:r>
        <w:rPr>
          <w:rFonts w:ascii="Times New Roman" w:hAnsi="Times New Roman" w:cs="Times New Roman"/>
          <w:b w:val="0"/>
          <w:i w:val="0"/>
          <w:caps w:val="0"/>
          <w:sz w:val="20"/>
        </w:rPr>
        <w:t xml:space="preserve">1) </w:t>
      </w:r>
      <w:r>
        <w:rPr>
          <w:rFonts w:ascii="Times New Roman" w:hAnsi="Times New Roman" w:cs="Times New Roman"/>
          <w:b/>
          <w:i w:val="0"/>
          <w:caps w:val="0"/>
          <w:sz w:val="20"/>
        </w:rPr>
        <w:t>Target engagement of at least 70% reduction in MSH3 protein in putaminal projection neurons.</w:t>
      </w:r>
      <w:r>
        <w:rPr>
          <w:rFonts w:ascii="Times New Roman" w:hAnsi="Times New Roman" w:cs="Times New Roman"/>
          <w:b w:val="0"/>
          <w:i w:val="0"/>
          <w:caps w:val="0"/>
          <w:sz w:val="20"/>
        </w:rPr>
        <w:t xml:space="preserve"> Not in cerebrospinal fluid, not in cortex, and not in bulk striatal tissue. Bulk measurement underestimates what is needed, because projection neurons are the cells that expand and they are a minority of the tissue.</w:t>
      </w:r>
    </w:p>
    <w:p>
      <w:pPr>
        <w:spacing w:after="40" w:before="0" w:line="240" w:lineRule="auto"/>
        <w:ind w:left="288" w:hanging="173"/>
        <w:jc w:val="both"/>
      </w:pPr>
      <w:r>
        <w:rPr>
          <w:rFonts w:ascii="Times New Roman" w:hAnsi="Times New Roman" w:cs="Times New Roman"/>
          <w:b w:val="0"/>
          <w:i w:val="0"/>
          <w:caps w:val="0"/>
          <w:sz w:val="20"/>
        </w:rPr>
        <w:t xml:space="preserve">2) </w:t>
      </w:r>
      <w:r>
        <w:rPr>
          <w:rFonts w:ascii="Times New Roman" w:hAnsi="Times New Roman" w:cs="Times New Roman"/>
          <w:b/>
          <w:i w:val="0"/>
          <w:caps w:val="0"/>
          <w:sz w:val="20"/>
        </w:rPr>
        <w:t>Begin before age 30</w:t>
      </w:r>
      <w:r>
        <w:rPr>
          <w:rFonts w:ascii="Times New Roman" w:hAnsi="Times New Roman" w:cs="Times New Roman"/>
          <w:b w:val="0"/>
          <w:i w:val="0"/>
          <w:caps w:val="0"/>
          <w:sz w:val="20"/>
        </w:rPr>
        <w:t>, and earlier for carriers above 45 repeats. The delay to 25% loss falls steeply with each decade of delay, from 12.6 years when treatment begins at 20 to 8.2 at 30, 3.8 at 40 and nothing at 50. Striatum preserved at age 70 erodes more gently over the same range, 17.9 to 13.7 to 9.7 to 7.3 percentage points, so late treatment is not useless, it simply stops moving the endpoint that matters clinically.</w:t>
      </w:r>
    </w:p>
    <w:p>
      <w:pPr>
        <w:spacing w:after="40" w:before="0" w:line="240" w:lineRule="auto"/>
        <w:ind w:left="288" w:hanging="173"/>
        <w:jc w:val="both"/>
      </w:pPr>
      <w:r>
        <w:rPr>
          <w:rFonts w:ascii="Times New Roman" w:hAnsi="Times New Roman" w:cs="Times New Roman"/>
          <w:b w:val="0"/>
          <w:i w:val="0"/>
          <w:caps w:val="0"/>
          <w:sz w:val="20"/>
        </w:rPr>
        <w:t xml:space="preserve">3) </w:t>
      </w:r>
      <w:r>
        <w:rPr>
          <w:rFonts w:ascii="Times New Roman" w:hAnsi="Times New Roman" w:cs="Times New Roman"/>
          <w:b/>
          <w:i w:val="0"/>
          <w:caps w:val="0"/>
          <w:sz w:val="20"/>
        </w:rPr>
        <w:t>Required tissue exposure of about 25 nmol per gram</w:t>
      </w:r>
      <w:r>
        <w:rPr>
          <w:rFonts w:ascii="Times New Roman" w:hAnsi="Times New Roman" w:cs="Times New Roman"/>
          <w:b w:val="0"/>
          <w:i w:val="0"/>
          <w:caps w:val="0"/>
          <w:sz w:val="20"/>
        </w:rPr>
        <w:t>, which is about 7 mg inside a 20 g human striatum at an assumed molecular weight of 14 kDa, and 3.5 to 14 mg across the 7 to 28 kDa range swept.</w:t>
      </w:r>
    </w:p>
    <w:p>
      <w:pPr>
        <w:spacing w:after="40" w:before="0" w:line="240" w:lineRule="auto"/>
        <w:ind w:left="288" w:hanging="173"/>
        <w:jc w:val="both"/>
      </w:pPr>
      <w:r>
        <w:rPr>
          <w:rFonts w:ascii="Times New Roman" w:hAnsi="Times New Roman" w:cs="Times New Roman"/>
          <w:b w:val="0"/>
          <w:i w:val="0"/>
          <w:caps w:val="0"/>
          <w:sz w:val="20"/>
        </w:rPr>
        <w:t xml:space="preserve">4) </w:t>
      </w:r>
      <w:r>
        <w:rPr>
          <w:rFonts w:ascii="Times New Roman" w:hAnsi="Times New Roman" w:cs="Times New Roman"/>
          <w:b/>
          <w:i w:val="0"/>
          <w:caps w:val="0"/>
          <w:sz w:val="20"/>
        </w:rPr>
        <w:t>Dose at an interval no longer than the tissue half-life.</w:t>
      </w:r>
      <w:r>
        <w:rPr>
          <w:rFonts w:ascii="Times New Roman" w:hAnsi="Times New Roman" w:cs="Times New Roman"/>
          <w:b w:val="0"/>
          <w:i w:val="0"/>
          <w:caps w:val="0"/>
          <w:sz w:val="20"/>
        </w:rPr>
        <w:t xml:space="preserve"> Annual dosing with a three-month half-life throws away 15 of the 35 available percentage points of benefit. This costs nothing to fix and is the cheapest improvement available anywhere in this analysis.</w:t>
      </w:r>
    </w:p>
    <w:p>
      <w:pPr>
        <w:spacing w:after="40" w:before="0" w:line="240" w:lineRule="auto"/>
        <w:ind w:left="288" w:hanging="173"/>
        <w:jc w:val="both"/>
      </w:pPr>
      <w:r>
        <w:rPr>
          <w:rFonts w:ascii="Times New Roman" w:hAnsi="Times New Roman" w:cs="Times New Roman"/>
          <w:b w:val="0"/>
          <w:i w:val="0"/>
          <w:caps w:val="0"/>
          <w:sz w:val="20"/>
        </w:rPr>
        <w:t xml:space="preserve">5) </w:t>
      </w:r>
      <w:r>
        <w:rPr>
          <w:rFonts w:ascii="Times New Roman" w:hAnsi="Times New Roman" w:cs="Times New Roman"/>
          <w:b/>
          <w:i w:val="0"/>
          <w:caps w:val="0"/>
          <w:sz w:val="20"/>
        </w:rPr>
        <w:t>A systemic transcytosis route needs an 18 to 36-fold improvement</w:t>
      </w:r>
      <w:r>
        <w:rPr>
          <w:rFonts w:ascii="Times New Roman" w:hAnsi="Times New Roman" w:cs="Times New Roman"/>
          <w:b w:val="0"/>
          <w:i w:val="0"/>
          <w:caps w:val="0"/>
          <w:sz w:val="20"/>
        </w:rPr>
        <w:t xml:space="preserve"> in parenchymal delivery over the best measured transferrin-receptor design. Affinity and valency optimisation, to monovalent binding at </w:t>
      </w:r>
      <w:r>
        <w:rPr>
          <w:rFonts w:ascii="Times New Roman" w:hAnsi="Times New Roman" w:cs="Times New Roman"/>
          <w:b w:val="0"/>
          <w:i/>
          <w:caps w:val="0"/>
          <w:sz w:val="20"/>
        </w:rPr>
        <w:t>K</w:t>
      </w:r>
      <w:r>
        <w:rPr>
          <w:rFonts w:ascii="Times New Roman" w:hAnsi="Times New Roman" w:cs="Times New Roman"/>
          <w:b w:val="0"/>
          <w:i/>
          <w:caps w:val="0"/>
          <w:sz w:val="20"/>
          <w:vertAlign w:val="subscript"/>
        </w:rPr>
        <w:t>D</w:t>
      </w:r>
      <w:r>
        <w:rPr>
          <w:rFonts w:ascii="Times New Roman" w:hAnsi="Times New Roman" w:cs="Times New Roman"/>
          <w:b w:val="0"/>
          <w:i w:val="0"/>
          <w:caps w:val="0"/>
          <w:sz w:val="20"/>
        </w:rPr>
        <w:t xml:space="preserve"> near 135 nM, supplies about two-fold of that. Endosomal escape is the dominant remaining term and the most promising place to engineer.</w:t>
      </w:r>
    </w:p>
    <w:p>
      <w:pPr>
        <w:spacing w:after="40" w:before="0" w:line="240" w:lineRule="auto"/>
        <w:ind w:left="288" w:hanging="173"/>
        <w:jc w:val="both"/>
      </w:pPr>
      <w:r>
        <w:rPr>
          <w:rFonts w:ascii="Times New Roman" w:hAnsi="Times New Roman" w:cs="Times New Roman"/>
          <w:b w:val="0"/>
          <w:i w:val="0"/>
          <w:caps w:val="0"/>
          <w:sz w:val="20"/>
        </w:rPr>
        <w:t xml:space="preserve">6) </w:t>
      </w:r>
      <w:r>
        <w:rPr>
          <w:rFonts w:ascii="Times New Roman" w:hAnsi="Times New Roman" w:cs="Times New Roman"/>
          <w:b/>
          <w:i w:val="0"/>
          <w:caps w:val="0"/>
          <w:sz w:val="20"/>
        </w:rPr>
        <w:t>The trial endpoint must be striatal MSH3 protein</w:t>
      </w:r>
      <w:r>
        <w:rPr>
          <w:rFonts w:ascii="Times New Roman" w:hAnsi="Times New Roman" w:cs="Times New Roman"/>
          <w:b w:val="0"/>
          <w:i w:val="0"/>
          <w:caps w:val="0"/>
          <w:sz w:val="20"/>
        </w:rPr>
        <w:t>, or a validated surrogate such as a somatic expansion index in a reachable compartment. Cerebrospinal fluid drug concentration is not sufficient, because the entire difficulty is the step from cerebrospinal fluid to putamen, and a concentration measured upstream of the hard step says nothing about whether the hard step happened.</w:t>
      </w:r>
    </w:p>
    <w:p>
      <w:pPr>
        <w:spacing w:after="40" w:before="0" w:line="240" w:lineRule="auto"/>
        <w:ind w:left="288" w:hanging="173"/>
        <w:jc w:val="both"/>
      </w:pPr>
      <w:r>
        <w:rPr>
          <w:rFonts w:ascii="Times New Roman" w:hAnsi="Times New Roman" w:cs="Times New Roman"/>
          <w:b w:val="0"/>
          <w:i w:val="0"/>
          <w:caps w:val="0"/>
          <w:sz w:val="20"/>
        </w:rPr>
        <w:t xml:space="preserve">7) </w:t>
      </w:r>
      <w:r>
        <w:rPr>
          <w:rFonts w:ascii="Times New Roman" w:hAnsi="Times New Roman" w:cs="Times New Roman"/>
          <w:b/>
          <w:i w:val="0"/>
          <w:caps w:val="0"/>
          <w:sz w:val="20"/>
        </w:rPr>
        <w:t>Invest in imaging reproducibility alongside target engagement.</w:t>
      </w:r>
      <w:r>
        <w:rPr>
          <w:rFonts w:ascii="Times New Roman" w:hAnsi="Times New Roman" w:cs="Times New Roman"/>
          <w:b w:val="0"/>
          <w:i w:val="0"/>
          <w:caps w:val="0"/>
          <w:sz w:val="20"/>
        </w:rPr>
        <w:t xml:space="preserve"> A reduction in endpoint measurement error from 4 to 2 percentage points cuts the required sample size nearly four-fold, which is a larger effect than doubling target engagement.</w:t>
      </w:r>
    </w:p>
    <w:p>
      <w:pPr>
        <w:spacing w:after="40" w:before="120" w:line="240" w:lineRule="auto"/>
        <w:ind w:firstLine="0"/>
        <w:jc w:val="left"/>
      </w:pPr>
      <w:r>
        <w:rPr>
          <w:rFonts w:ascii="Times New Roman" w:hAnsi="Times New Roman" w:cs="Times New Roman"/>
          <w:b w:val="0"/>
          <w:i/>
          <w:caps w:val="0"/>
          <w:sz w:val="20"/>
        </w:rPr>
        <w:t>C.  Predictions that could falsify this</w:t>
      </w:r>
    </w:p>
    <w:p>
      <w:pPr>
        <w:spacing w:after="40" w:before="0" w:line="240" w:lineRule="auto"/>
        <w:ind w:left="288" w:hanging="173"/>
        <w:jc w:val="both"/>
      </w:pPr>
      <w:r>
        <w:rPr>
          <w:rFonts w:ascii="Times New Roman" w:hAnsi="Times New Roman" w:cs="Times New Roman"/>
          <w:b w:val="0"/>
          <w:i w:val="0"/>
          <w:caps w:val="0"/>
          <w:sz w:val="20"/>
        </w:rPr>
        <w:t xml:space="preserve">•  </w:t>
      </w:r>
      <w:r>
        <w:rPr>
          <w:rFonts w:ascii="Times New Roman" w:hAnsi="Times New Roman" w:cs="Times New Roman"/>
          <w:b w:val="0"/>
          <w:i w:val="0"/>
          <w:caps w:val="0"/>
          <w:sz w:val="20"/>
        </w:rPr>
        <w:t>Clinical motor onset should correspond to 18 to 31% projection-neuron loss, rising with inherited CAG length. Much more than that and the dwell-time-faithful model is wrong. Two caveats travel with this number and neither is small. The onset ages it is read against come from a regression that needs a parental age at onset, assumed here to be 45 years, and moving that assumption across 35 to 55 years moves the range from 15 to 24% at the low end to 22 to 38% at the high end (Section III-E). And under the alternative calibration of Section III-E the same prediction becomes 36 to 52%, so a post-mortem series reporting half the striatum gone at diagnosis would not falsify the model, it would select between two parameterisations of it. What would falsify the model is loss substantially above that, or no relationship between loss and CAP score at all.</w:t>
      </w:r>
    </w:p>
    <w:p>
      <w:pPr>
        <w:spacing w:after="40" w:before="0" w:line="240" w:lineRule="auto"/>
        <w:ind w:left="288" w:hanging="173"/>
        <w:jc w:val="both"/>
      </w:pPr>
      <w:r>
        <w:rPr>
          <w:rFonts w:ascii="Times New Roman" w:hAnsi="Times New Roman" w:cs="Times New Roman"/>
          <w:b w:val="0"/>
          <w:i w:val="0"/>
          <w:caps w:val="0"/>
          <w:sz w:val="20"/>
        </w:rPr>
        <w:t xml:space="preserve">•  </w:t>
      </w:r>
      <w:r>
        <w:rPr>
          <w:rFonts w:ascii="Times New Roman" w:hAnsi="Times New Roman" w:cs="Times New Roman"/>
          <w:b w:val="0"/>
          <w:i w:val="0"/>
          <w:caps w:val="0"/>
          <w:sz w:val="20"/>
        </w:rPr>
        <w:t>The relationship between CAP score and neuron loss should follow the trajectory in Fig. 12B. A well-powered post-mortem series spread across the CAP range would discriminate the two bracketing models immediately, and would resolve the one genuine inconsistency in this work.</w:t>
      </w:r>
    </w:p>
    <w:p>
      <w:pPr>
        <w:spacing w:after="40" w:before="0" w:line="240" w:lineRule="auto"/>
        <w:ind w:left="288" w:hanging="173"/>
        <w:jc w:val="both"/>
      </w:pPr>
      <w:r>
        <w:rPr>
          <w:rFonts w:ascii="Times New Roman" w:hAnsi="Times New Roman" w:cs="Times New Roman"/>
          <w:b w:val="0"/>
          <w:i w:val="0"/>
          <w:caps w:val="0"/>
          <w:sz w:val="20"/>
        </w:rPr>
        <w:t xml:space="preserve">•  </w:t>
      </w:r>
      <w:r>
        <w:rPr>
          <w:rFonts w:ascii="Times New Roman" w:hAnsi="Times New Roman" w:cs="Times New Roman"/>
          <w:b w:val="0"/>
          <w:i w:val="0"/>
          <w:caps w:val="0"/>
          <w:sz w:val="20"/>
        </w:rPr>
        <w:t>Because the rate law is first-order in MSH3, partial MSH3 lowering should suppress somatic expansion in direct proportion in human striatal neurons, with no cooperative threshold. This is directly testable in patient-derived striatal cultures, where antisense-mediated MSH3 suppression has already been shown to reduce expansion [11]; what has not been done is a dose titration fine enough to distinguish first-order from cooperative behaviour.</w:t>
      </w:r>
    </w:p>
    <w:p>
      <w:pPr>
        <w:spacing w:after="40" w:before="0" w:line="240" w:lineRule="auto"/>
        <w:ind w:left="288" w:hanging="173"/>
        <w:jc w:val="both"/>
      </w:pPr>
      <w:r>
        <w:rPr>
          <w:rFonts w:ascii="Times New Roman" w:hAnsi="Times New Roman" w:cs="Times New Roman"/>
          <w:b w:val="0"/>
          <w:i w:val="0"/>
          <w:caps w:val="0"/>
          <w:sz w:val="20"/>
        </w:rPr>
        <w:t xml:space="preserve">•  </w:t>
      </w:r>
      <w:r>
        <w:rPr>
          <w:rFonts w:ascii="Times New Roman" w:hAnsi="Times New Roman" w:cs="Times New Roman"/>
          <w:b w:val="0"/>
          <w:i w:val="0"/>
          <w:caps w:val="0"/>
          <w:sz w:val="20"/>
        </w:rPr>
        <w:t>Expansion rate should rise sharply rather than smoothly as tracts pass eighty repeats, and the position of that rise should shift with anything that alters slip-out spacing. CAA interruption is the obvious test case, and Section III-G gives the predicted size of the shift in years.</w:t>
      </w:r>
    </w:p>
    <w:p>
      <w:pPr>
        <w:spacing w:after="40" w:before="0" w:line="240" w:lineRule="auto"/>
        <w:ind w:left="288" w:hanging="173"/>
        <w:jc w:val="both"/>
      </w:pPr>
      <w:r>
        <w:rPr>
          <w:rFonts w:ascii="Times New Roman" w:hAnsi="Times New Roman" w:cs="Times New Roman"/>
          <w:b w:val="0"/>
          <w:i w:val="0"/>
          <w:caps w:val="0"/>
          <w:sz w:val="20"/>
        </w:rPr>
        <w:t xml:space="preserve">•  </w:t>
      </w:r>
      <w:r>
        <w:rPr>
          <w:rFonts w:ascii="Times New Roman" w:hAnsi="Times New Roman" w:cs="Times New Roman"/>
          <w:b w:val="0"/>
          <w:i w:val="0"/>
          <w:caps w:val="0"/>
          <w:sz w:val="20"/>
        </w:rPr>
        <w:t>Indirect-pathway depletion should be about six percentage points at half neuron loss, should scale with total loss rather than with age or genotype, and should not exceed about ten points at any stage. A reported depletion much larger than that cannot be explained by a 15% rate difference.</w:t>
      </w:r>
    </w:p>
    <w:p>
      <w:pPr>
        <w:spacing w:after="40" w:before="120" w:line="240" w:lineRule="auto"/>
        <w:ind w:firstLine="0"/>
        <w:jc w:val="left"/>
      </w:pPr>
      <w:r>
        <w:rPr>
          <w:rFonts w:ascii="Times New Roman" w:hAnsi="Times New Roman" w:cs="Times New Roman"/>
          <w:b w:val="0"/>
          <w:i/>
          <w:caps w:val="0"/>
          <w:sz w:val="20"/>
        </w:rPr>
        <w:t>D.  Where this sits in the field</w:t>
      </w:r>
    </w:p>
    <w:p>
      <w:pPr>
        <w:spacing w:after="60" w:before="0" w:line="240" w:lineRule="auto"/>
        <w:ind w:firstLine="288"/>
        <w:jc w:val="both"/>
      </w:pPr>
      <w:r>
        <w:rPr>
          <w:rFonts w:ascii="Times New Roman" w:hAnsi="Times New Roman" w:cs="Times New Roman"/>
          <w:b w:val="0"/>
          <w:i w:val="0"/>
          <w:caps w:val="0"/>
          <w:sz w:val="20"/>
        </w:rPr>
        <w:t>The demonstration that FAN1 opposes MutLγ directly [5] fits into this framework without strain, as a modifier of the escape probability R, which is precisely the parameter the model identifies as carrying the length dependence. That gives a mechanistic account of why FAN1 variants are among the strongest onset modifiers known, and Section III-G quantifies it: FAN1 is the single strongest lever in the model and also the least tractable pharmacologically.</w:t>
      </w:r>
    </w:p>
    <w:p>
      <w:pPr>
        <w:spacing w:after="60" w:before="0" w:line="240" w:lineRule="auto"/>
        <w:ind w:firstLine="288"/>
        <w:jc w:val="both"/>
      </w:pPr>
      <w:r>
        <w:rPr>
          <w:rFonts w:ascii="Times New Roman" w:hAnsi="Times New Roman" w:cs="Times New Roman"/>
          <w:b w:val="0"/>
          <w:i w:val="0"/>
          <w:caps w:val="0"/>
          <w:sz w:val="20"/>
        </w:rPr>
        <w:t>The model also implies that huntingtin-lowering and MSH3-lowering are not competitors but complements that act on different parts of the same timeline. MSH3 lowering extends the pre-threshold phase, during which a neuron is alive and not yet carrying a harmful tract. Huntingtin lowering can only address toxicity once a cell has crossed the threshold. On this reading a combination should be more than additive, since one arm delays arrival at the threshold and the other reduces the consequence of arriving, and nothing in this model makes them interfere.</w:t>
      </w:r>
    </w:p>
    <w:p>
      <w:pPr>
        <w:spacing w:after="60" w:before="0" w:line="240" w:lineRule="auto"/>
        <w:ind w:firstLine="288"/>
        <w:jc w:val="both"/>
      </w:pPr>
      <w:r>
        <w:rPr>
          <w:rFonts w:ascii="Times New Roman" w:hAnsi="Times New Roman" w:cs="Times New Roman"/>
          <w:b w:val="0"/>
          <w:i w:val="0"/>
          <w:caps w:val="0"/>
          <w:sz w:val="20"/>
        </w:rPr>
        <w:t>Finally, there is a methodological point worth making. Every quantitative claim in this paper came from four published numbers fitted to a four-parameter law, and everything else, including five held-out validations, three modifier predictions, a subtype prediction and a trial power calculation, followed without further fitting. That the fit worked is no surprise, since four parameters against four targets should fit. What is worth noticing is how much the fitted structure went on to get right about data it was never shown, and that where it got things wrong, in the fraction of neurons that never expand, in the upper tail of terminal lengths and in end-stage loss, the failures pointed at specific assumptions rather than at the structure as a whole.</w:t>
      </w:r>
    </w:p>
    <w:p>
      <w:pPr>
        <w:spacing w:after="60" w:before="160" w:line="240" w:lineRule="auto"/>
        <w:ind w:firstLine="0"/>
        <w:jc w:val="center"/>
      </w:pPr>
      <w:r>
        <w:rPr>
          <w:rFonts w:ascii="Times New Roman" w:hAnsi="Times New Roman" w:cs="Times New Roman"/>
          <w:b w:val="0"/>
          <w:i w:val="0"/>
          <w:caps/>
          <w:sz w:val="20"/>
        </w:rPr>
        <w:t>V.  Limitations</w:t>
      </w:r>
    </w:p>
    <w:p>
      <w:pPr>
        <w:spacing w:after="40" w:before="0" w:line="240" w:lineRule="auto"/>
        <w:ind w:left="288" w:hanging="173"/>
        <w:jc w:val="both"/>
      </w:pPr>
      <w:r>
        <w:rPr>
          <w:rFonts w:ascii="Times New Roman" w:hAnsi="Times New Roman" w:cs="Times New Roman"/>
          <w:b w:val="0"/>
          <w:i w:val="0"/>
          <w:caps w:val="0"/>
          <w:sz w:val="20"/>
        </w:rPr>
        <w:t xml:space="preserve">1) </w:t>
      </w:r>
      <w:r>
        <w:rPr>
          <w:rFonts w:ascii="Times New Roman" w:hAnsi="Times New Roman" w:cs="Times New Roman"/>
          <w:b/>
          <w:i w:val="0"/>
          <w:caps w:val="0"/>
          <w:sz w:val="20"/>
        </w:rPr>
        <w:t>No primary data.</w:t>
      </w:r>
      <w:r>
        <w:rPr>
          <w:rFonts w:ascii="Times New Roman" w:hAnsi="Times New Roman" w:cs="Times New Roman"/>
          <w:b w:val="0"/>
          <w:i w:val="0"/>
          <w:caps w:val="0"/>
          <w:sz w:val="20"/>
        </w:rPr>
        <w:t xml:space="preserve"> Every calibration target is a published summary statistic, and several of them are themselves model-derived. The transit times in [1] come from a simulation rather than from longitudinal measurement of single cells, so this model inherits the assumptions of that one.</w:t>
      </w:r>
    </w:p>
    <w:p>
      <w:pPr>
        <w:spacing w:after="40" w:before="0" w:line="240" w:lineRule="auto"/>
        <w:ind w:left="288" w:hanging="173"/>
        <w:jc w:val="both"/>
      </w:pPr>
      <w:r>
        <w:rPr>
          <w:rFonts w:ascii="Times New Roman" w:hAnsi="Times New Roman" w:cs="Times New Roman"/>
          <w:b w:val="0"/>
          <w:i w:val="0"/>
          <w:caps w:val="0"/>
          <w:sz w:val="20"/>
        </w:rPr>
        <w:t xml:space="preserve">2) </w:t>
      </w:r>
      <w:r>
        <w:rPr>
          <w:rFonts w:ascii="Times New Roman" w:hAnsi="Times New Roman" w:cs="Times New Roman"/>
          <w:b/>
          <w:i w:val="0"/>
          <w:caps w:val="0"/>
          <w:sz w:val="20"/>
        </w:rPr>
        <w:t>The functional form of the rate law is assumed.</w:t>
      </w:r>
      <w:r>
        <w:rPr>
          <w:rFonts w:ascii="Times New Roman" w:hAnsi="Times New Roman" w:cs="Times New Roman"/>
          <w:b w:val="0"/>
          <w:i w:val="0"/>
          <w:caps w:val="0"/>
          <w:sz w:val="20"/>
        </w:rPr>
        <w:t xml:space="preserve"> Each factor in λ(L) is sourced, but writing them as a product is not: it assumes the steps are independent and sequential. The fit cannot test that assumption, because a different combination rule with its own four free parameters would very likely also reproduce four anchors. What the data constrain is the shape of the length dependence, not the algebra that produces it.</w:t>
      </w:r>
    </w:p>
    <w:p>
      <w:pPr>
        <w:spacing w:after="40" w:before="0" w:line="240" w:lineRule="auto"/>
        <w:ind w:left="288" w:hanging="173"/>
        <w:jc w:val="both"/>
      </w:pPr>
      <w:r>
        <w:rPr>
          <w:rFonts w:ascii="Times New Roman" w:hAnsi="Times New Roman" w:cs="Times New Roman"/>
          <w:b w:val="0"/>
          <w:i w:val="0"/>
          <w:caps w:val="0"/>
          <w:sz w:val="20"/>
        </w:rPr>
        <w:t xml:space="preserve">3) </w:t>
      </w:r>
      <w:r>
        <w:rPr>
          <w:rFonts w:ascii="Times New Roman" w:hAnsi="Times New Roman" w:cs="Times New Roman"/>
          <w:b/>
          <w:i w:val="0"/>
          <w:caps w:val="0"/>
          <w:sz w:val="20"/>
        </w:rPr>
        <w:t>A key biochemical source is a preprint.</w:t>
      </w:r>
      <w:r>
        <w:rPr>
          <w:rFonts w:ascii="Times New Roman" w:hAnsi="Times New Roman" w:cs="Times New Roman"/>
          <w:b w:val="0"/>
          <w:i w:val="0"/>
          <w:caps w:val="0"/>
          <w:sz w:val="20"/>
        </w:rPr>
        <w:t xml:space="preserve"> The MutSβ footprint and stoichiometry [3] come from a bioRxiv preprint that has not been peer reviewed. The sensitivity analysis shows the footprint is immaterial, for the structural reason given in Section III-M, but the qualitative tandem-binding picture is not independently confirmed here.</w:t>
      </w:r>
    </w:p>
    <w:p>
      <w:pPr>
        <w:spacing w:after="40" w:before="0" w:line="240" w:lineRule="auto"/>
        <w:ind w:left="288" w:hanging="173"/>
        <w:jc w:val="both"/>
      </w:pPr>
      <w:r>
        <w:rPr>
          <w:rFonts w:ascii="Times New Roman" w:hAnsi="Times New Roman" w:cs="Times New Roman"/>
          <w:b w:val="0"/>
          <w:i w:val="0"/>
          <w:caps w:val="0"/>
          <w:sz w:val="20"/>
        </w:rPr>
        <w:t xml:space="preserve">4) </w:t>
      </w:r>
      <w:r>
        <w:rPr>
          <w:rFonts w:ascii="Times New Roman" w:hAnsi="Times New Roman" w:cs="Times New Roman"/>
          <w:b/>
          <w:i w:val="0"/>
          <w:caps w:val="0"/>
          <w:sz w:val="20"/>
        </w:rPr>
        <w:t>The discrepancy with end-stage autopsy data is only partly resolved</w:t>
      </w:r>
      <w:r>
        <w:rPr>
          <w:rFonts w:ascii="Times New Roman" w:hAnsi="Times New Roman" w:cs="Times New Roman"/>
          <w:b w:val="0"/>
          <w:i w:val="0"/>
          <w:caps w:val="0"/>
          <w:sz w:val="20"/>
        </w:rPr>
        <w:t>, and not explained away. Section III-E shows that refitting against the right transit-time estimator closes more than half of it, which leaves a smaller gap than the raw comparison in Section III-D suggests but does not close it. The remainder is attributed to "CAP above 600" describing a late-stage autopsy population rather than a threshold, which is reasonable and is the least convenient reading for the author's own argument, but is not demonstrated.</w:t>
      </w:r>
    </w:p>
    <w:p>
      <w:pPr>
        <w:spacing w:after="40" w:before="0" w:line="240" w:lineRule="auto"/>
        <w:ind w:left="288" w:hanging="173"/>
        <w:jc w:val="both"/>
      </w:pPr>
      <w:r>
        <w:rPr>
          <w:rFonts w:ascii="Times New Roman" w:hAnsi="Times New Roman" w:cs="Times New Roman"/>
          <w:b w:val="0"/>
          <w:i w:val="0"/>
          <w:caps w:val="0"/>
          <w:sz w:val="20"/>
        </w:rPr>
        <w:t xml:space="preserve">5) </w:t>
      </w:r>
      <w:r>
        <w:rPr>
          <w:rFonts w:ascii="Times New Roman" w:hAnsi="Times New Roman" w:cs="Times New Roman"/>
          <w:b/>
          <w:i w:val="0"/>
          <w:caps w:val="0"/>
          <w:sz w:val="20"/>
        </w:rPr>
        <w:t>The exposure-response curve has zero degrees of freedom and is used outside its calibrated range.</w:t>
      </w:r>
      <w:r>
        <w:rPr>
          <w:rFonts w:ascii="Times New Roman" w:hAnsi="Times New Roman" w:cs="Times New Roman"/>
          <w:b w:val="0"/>
          <w:i w:val="0"/>
          <w:caps w:val="0"/>
          <w:sz w:val="20"/>
        </w:rPr>
        <w:t xml:space="preserve"> Two parameters fitted to two mouse doses interpolate exactly, so the curve cannot be wrong on its own data and its Hill coefficient of 1.22 is a consequence of the fit rather than a measurement of cooperativity. The two points span 7.5 to 25 nmol g⁻¹ and the curve is applied from 4.1 to 388 nmol g⁻¹. Every number in the delivery and dosing analysis passes through it, so those numbers carry the shape of a two-point curve extrapolated fifteen-fold at the top end. Fig. 9A marks the calibrated interval.</w:t>
      </w:r>
    </w:p>
    <w:p>
      <w:pPr>
        <w:spacing w:after="40" w:before="0" w:line="240" w:lineRule="auto"/>
        <w:ind w:left="288" w:hanging="173"/>
        <w:jc w:val="both"/>
      </w:pPr>
      <w:r>
        <w:rPr>
          <w:rFonts w:ascii="Times New Roman" w:hAnsi="Times New Roman" w:cs="Times New Roman"/>
          <w:b w:val="0"/>
          <w:i w:val="0"/>
          <w:caps w:val="0"/>
          <w:sz w:val="20"/>
        </w:rPr>
        <w:t xml:space="preserve">6) </w:t>
      </w:r>
      <w:r>
        <w:rPr>
          <w:rFonts w:ascii="Times New Roman" w:hAnsi="Times New Roman" w:cs="Times New Roman"/>
          <w:b/>
          <w:i w:val="0"/>
          <w:caps w:val="0"/>
          <w:sz w:val="20"/>
        </w:rPr>
        <w:t>The primate engagement figures are not MSH3 and are not protein.</w:t>
      </w:r>
      <w:r>
        <w:rPr>
          <w:rFonts w:ascii="Times New Roman" w:hAnsi="Times New Roman" w:cs="Times New Roman"/>
          <w:b w:val="0"/>
          <w:i w:val="0"/>
          <w:caps w:val="0"/>
          <w:sz w:val="20"/>
        </w:rPr>
        <w:t xml:space="preserve"> They are residual </w:t>
      </w:r>
      <w:r>
        <w:rPr>
          <w:rFonts w:ascii="Times New Roman" w:hAnsi="Times New Roman" w:cs="Times New Roman"/>
          <w:b w:val="0"/>
          <w:i/>
          <w:caps w:val="0"/>
          <w:sz w:val="20"/>
        </w:rPr>
        <w:t>Malat1</w:t>
      </w:r>
      <w:r>
        <w:rPr>
          <w:rFonts w:ascii="Times New Roman" w:hAnsi="Times New Roman" w:cs="Times New Roman"/>
          <w:b w:val="0"/>
          <w:i w:val="0"/>
          <w:caps w:val="0"/>
          <w:sz w:val="20"/>
        </w:rPr>
        <w:t xml:space="preserve"> RNA from a reporter study of intrathecal oligonucleotide distribution [7], used as a property of the route and the cell type. Target equivalence and the substitution of residual RNA for residual protein are both assumed, and the second cannot be checked in the source because the target has no protein product.</w:t>
      </w:r>
    </w:p>
    <w:p>
      <w:pPr>
        <w:spacing w:after="40" w:before="0" w:line="240" w:lineRule="auto"/>
        <w:ind w:left="288" w:hanging="173"/>
        <w:jc w:val="both"/>
      </w:pPr>
      <w:r>
        <w:rPr>
          <w:rFonts w:ascii="Times New Roman" w:hAnsi="Times New Roman" w:cs="Times New Roman"/>
          <w:b w:val="0"/>
          <w:i w:val="0"/>
          <w:caps w:val="0"/>
          <w:sz w:val="20"/>
        </w:rPr>
        <w:t xml:space="preserve">7) </w:t>
      </w:r>
      <w:r>
        <w:rPr>
          <w:rFonts w:ascii="Times New Roman" w:hAnsi="Times New Roman" w:cs="Times New Roman"/>
          <w:b/>
          <w:i w:val="0"/>
          <w:caps w:val="0"/>
          <w:sz w:val="20"/>
        </w:rPr>
        <w:t>The sharpness of the length switch is an input, not a result.</w:t>
      </w:r>
      <w:r>
        <w:rPr>
          <w:rFonts w:ascii="Times New Roman" w:hAnsi="Times New Roman" w:cs="Times New Roman"/>
          <w:b w:val="0"/>
          <w:i w:val="0"/>
          <w:caps w:val="0"/>
          <w:sz w:val="20"/>
        </w:rPr>
        <w:t xml:space="preserve"> The width </w:t>
      </w:r>
      <w:r>
        <w:rPr>
          <w:rFonts w:ascii="Times New Roman" w:hAnsi="Times New Roman" w:cs="Times New Roman"/>
          <w:b w:val="0"/>
          <w:i/>
          <w:caps w:val="0"/>
          <w:sz w:val="20"/>
        </w:rPr>
        <w:t>w</w:t>
      </w:r>
      <w:r>
        <w:rPr>
          <w:rFonts w:ascii="Times New Roman" w:hAnsi="Times New Roman" w:cs="Times New Roman"/>
          <w:b w:val="0"/>
          <w:i/>
          <w:caps w:val="0"/>
          <w:sz w:val="20"/>
          <w:vertAlign w:val="subscript"/>
        </w:rPr>
        <w:t>sw</w:t>
      </w:r>
      <w:r>
        <w:rPr>
          <w:rFonts w:ascii="Times New Roman" w:hAnsi="Times New Roman" w:cs="Times New Roman"/>
          <w:b w:val="0"/>
          <w:i w:val="0"/>
          <w:caps w:val="0"/>
          <w:sz w:val="20"/>
        </w:rPr>
        <w:t xml:space="preserve"> was fixed at 6 repeats before fitting. Section III-A profiles it and finds the anchors prefer a width under about eight repeats, but the switch position moves with the assumed width across roughly 75 to 99 repeats, so the specific figure of 80.2 is conditional. The qualitative claim that the dependence is switch-like survives; the precise midpoint does not stand alone.</w:t>
      </w:r>
    </w:p>
    <w:p>
      <w:pPr>
        <w:spacing w:after="40" w:before="0" w:line="240" w:lineRule="auto"/>
        <w:ind w:left="288" w:hanging="173"/>
        <w:jc w:val="both"/>
      </w:pPr>
      <w:r>
        <w:rPr>
          <w:rFonts w:ascii="Times New Roman" w:hAnsi="Times New Roman" w:cs="Times New Roman"/>
          <w:b w:val="0"/>
          <w:i w:val="0"/>
          <w:caps w:val="0"/>
          <w:sz w:val="20"/>
        </w:rPr>
        <w:t xml:space="preserve">8) </w:t>
      </w:r>
      <w:r>
        <w:rPr>
          <w:rFonts w:ascii="Times New Roman" w:hAnsi="Times New Roman" w:cs="Times New Roman"/>
          <w:b/>
          <w:i w:val="0"/>
          <w:caps w:val="0"/>
          <w:sz w:val="20"/>
        </w:rPr>
        <w:t>Calibration fits a mean-field integral, and the stochastic process it stands for is 21 to 50% slower.</w:t>
      </w:r>
      <w:r>
        <w:rPr>
          <w:rFonts w:ascii="Times New Roman" w:hAnsi="Times New Roman" w:cs="Times New Roman"/>
          <w:b w:val="0"/>
          <w:i w:val="0"/>
          <w:caps w:val="0"/>
          <w:sz w:val="20"/>
        </w:rPr>
        <w:t xml:space="preserve"> Section III-E refits against stochastic first-passage times and reports the consequences: the switch position and the therapeutic benefit barely move, end-stage loss rises substantially, and loss at predicted onset rises from 18 to 31% to 36 to 52%. Which estimator the published anchors represent is not recoverable from the source, so both parameterisations are carried. Readers who prefer the stochastic one should read every age in this paper as several years earlier and every end-stage loss figure as considerably higher.</w:t>
      </w:r>
    </w:p>
    <w:p>
      <w:pPr>
        <w:spacing w:after="40" w:before="0" w:line="240" w:lineRule="auto"/>
        <w:ind w:left="288" w:hanging="173"/>
        <w:jc w:val="both"/>
      </w:pPr>
      <w:r>
        <w:rPr>
          <w:rFonts w:ascii="Times New Roman" w:hAnsi="Times New Roman" w:cs="Times New Roman"/>
          <w:b w:val="0"/>
          <w:i w:val="0"/>
          <w:caps w:val="0"/>
          <w:sz w:val="20"/>
        </w:rPr>
        <w:t xml:space="preserve">9) </w:t>
      </w:r>
      <w:r>
        <w:rPr>
          <w:rFonts w:ascii="Times New Roman" w:hAnsi="Times New Roman" w:cs="Times New Roman"/>
          <w:b/>
          <w:i w:val="0"/>
          <w:caps w:val="0"/>
          <w:sz w:val="20"/>
        </w:rPr>
        <w:t>A small protected fraction of neurons is not reproduced.</w:t>
      </w:r>
      <w:r>
        <w:rPr>
          <w:rFonts w:ascii="Times New Roman" w:hAnsi="Times New Roman" w:cs="Times New Roman"/>
          <w:b w:val="0"/>
          <w:i w:val="0"/>
          <w:caps w:val="0"/>
          <w:sz w:val="20"/>
        </w:rPr>
        <w:t xml:space="preserve"> The model expands essentially every neuron beyond its inherited length where 95 to 98% is reported, so whatever keeps a few percent of tracts static over decades is absent from it. Nothing downstream turns on those neurons, but it is a failed comparison and Section III-C counts it as one.</w:t>
      </w:r>
    </w:p>
    <w:p>
      <w:pPr>
        <w:spacing w:after="40" w:before="0" w:line="240" w:lineRule="auto"/>
        <w:ind w:left="288" w:hanging="173"/>
        <w:jc w:val="both"/>
      </w:pPr>
      <w:r>
        <w:rPr>
          <w:rFonts w:ascii="Times New Roman" w:hAnsi="Times New Roman" w:cs="Times New Roman"/>
          <w:b w:val="0"/>
          <w:i w:val="0"/>
          <w:caps w:val="0"/>
          <w:sz w:val="20"/>
        </w:rPr>
        <w:t xml:space="preserve">10) </w:t>
      </w:r>
      <w:r>
        <w:rPr>
          <w:rFonts w:ascii="Times New Roman" w:hAnsi="Times New Roman" w:cs="Times New Roman"/>
          <w:b/>
          <w:i w:val="0"/>
          <w:caps w:val="0"/>
          <w:sz w:val="20"/>
        </w:rPr>
        <w:t>Species scaling is crude.</w:t>
      </w:r>
      <w:r>
        <w:rPr>
          <w:rFonts w:ascii="Times New Roman" w:hAnsi="Times New Roman" w:cs="Times New Roman"/>
          <w:b w:val="0"/>
          <w:i w:val="0"/>
          <w:caps w:val="0"/>
          <w:sz w:val="20"/>
        </w:rPr>
        <w:t xml:space="preserve"> The macaque-to-human penetration correction uses cube-root geometric scaling and an assumed putaminal depth. The direction is robust, the magnitude is not, and a real answer would need a diffusion model on actual human anatomy.</w:t>
      </w:r>
    </w:p>
    <w:p>
      <w:pPr>
        <w:spacing w:after="40" w:before="0" w:line="240" w:lineRule="auto"/>
        <w:ind w:left="288" w:hanging="173"/>
        <w:jc w:val="both"/>
      </w:pPr>
      <w:r>
        <w:rPr>
          <w:rFonts w:ascii="Times New Roman" w:hAnsi="Times New Roman" w:cs="Times New Roman"/>
          <w:b w:val="0"/>
          <w:i w:val="0"/>
          <w:caps w:val="0"/>
          <w:sz w:val="20"/>
        </w:rPr>
        <w:t xml:space="preserve">11) </w:t>
      </w:r>
      <w:r>
        <w:rPr>
          <w:rFonts w:ascii="Times New Roman" w:hAnsi="Times New Roman" w:cs="Times New Roman"/>
          <w:b/>
          <w:i w:val="0"/>
          <w:caps w:val="0"/>
          <w:sz w:val="20"/>
        </w:rPr>
        <w:t>The pharmacodynamic link crosses species and timescales.</w:t>
      </w:r>
      <w:r>
        <w:rPr>
          <w:rFonts w:ascii="Times New Roman" w:hAnsi="Times New Roman" w:cs="Times New Roman"/>
          <w:b w:val="0"/>
          <w:i w:val="0"/>
          <w:caps w:val="0"/>
          <w:sz w:val="20"/>
        </w:rPr>
        <w:t xml:space="preserve"> Proportionality between MSH3 protein and expansion suppression was measured in mouse striatum over three months and is assumed here to hold in human projection neurons over decades.</w:t>
      </w:r>
    </w:p>
    <w:p>
      <w:pPr>
        <w:spacing w:after="40" w:before="0" w:line="240" w:lineRule="auto"/>
        <w:ind w:left="288" w:hanging="173"/>
        <w:jc w:val="both"/>
      </w:pPr>
      <w:r>
        <w:rPr>
          <w:rFonts w:ascii="Times New Roman" w:hAnsi="Times New Roman" w:cs="Times New Roman"/>
          <w:b w:val="0"/>
          <w:i w:val="0"/>
          <w:caps w:val="0"/>
          <w:sz w:val="20"/>
        </w:rPr>
        <w:t xml:space="preserve">12) </w:t>
      </w:r>
      <w:r>
        <w:rPr>
          <w:rFonts w:ascii="Times New Roman" w:hAnsi="Times New Roman" w:cs="Times New Roman"/>
          <w:b/>
          <w:i w:val="0"/>
          <w:caps w:val="0"/>
          <w:sz w:val="20"/>
        </w:rPr>
        <w:t>Nanocarrier pharmacokinetics collapse into a single efficiency term.</w:t>
      </w:r>
      <w:r>
        <w:rPr>
          <w:rFonts w:ascii="Times New Roman" w:hAnsi="Times New Roman" w:cs="Times New Roman"/>
          <w:b w:val="0"/>
          <w:i w:val="0"/>
          <w:caps w:val="0"/>
          <w:sz w:val="20"/>
        </w:rPr>
        <w:t xml:space="preserve"> Plasma clearance, protein corona formation, opsonisation, hepatic first pass, receptor saturation at therapeutic doses and chronic-dosing tolerability are all absent. Every one of them would make the systemic route harder rather than easier, so the stated dose requirement should be read as a lower bound.</w:t>
      </w:r>
    </w:p>
    <w:p>
      <w:pPr>
        <w:spacing w:after="40" w:before="0" w:line="240" w:lineRule="auto"/>
        <w:ind w:left="288" w:hanging="173"/>
        <w:jc w:val="both"/>
      </w:pPr>
      <w:r>
        <w:rPr>
          <w:rFonts w:ascii="Times New Roman" w:hAnsi="Times New Roman" w:cs="Times New Roman"/>
          <w:b w:val="0"/>
          <w:i w:val="0"/>
          <w:caps w:val="0"/>
          <w:sz w:val="20"/>
        </w:rPr>
        <w:t xml:space="preserve">13) </w:t>
      </w:r>
      <w:r>
        <w:rPr>
          <w:rFonts w:ascii="Times New Roman" w:hAnsi="Times New Roman" w:cs="Times New Roman"/>
          <w:b/>
          <w:i w:val="0"/>
          <w:caps w:val="0"/>
          <w:sz w:val="20"/>
        </w:rPr>
        <w:t>Endosomal escape at 2% is assumed</w:t>
      </w:r>
      <w:r>
        <w:rPr>
          <w:rFonts w:ascii="Times New Roman" w:hAnsi="Times New Roman" w:cs="Times New Roman"/>
          <w:b w:val="0"/>
          <w:i w:val="0"/>
          <w:caps w:val="0"/>
          <w:sz w:val="20"/>
        </w:rPr>
        <w:t>, and it scales the systemic dose requirement linearly. It is the least constrained number in the delivery analysis, which is why it is swept rather than asserted in Fig. 10B.</w:t>
      </w:r>
    </w:p>
    <w:p>
      <w:pPr>
        <w:spacing w:after="40" w:before="0" w:line="240" w:lineRule="auto"/>
        <w:ind w:left="288" w:hanging="173"/>
        <w:jc w:val="both"/>
      </w:pPr>
      <w:r>
        <w:rPr>
          <w:rFonts w:ascii="Times New Roman" w:hAnsi="Times New Roman" w:cs="Times New Roman"/>
          <w:b w:val="0"/>
          <w:i w:val="0"/>
          <w:caps w:val="0"/>
          <w:sz w:val="20"/>
        </w:rPr>
        <w:t xml:space="preserve">14) </w:t>
      </w:r>
      <w:r>
        <w:rPr>
          <w:rFonts w:ascii="Times New Roman" w:hAnsi="Times New Roman" w:cs="Times New Roman"/>
          <w:b/>
          <w:i w:val="0"/>
          <w:caps w:val="0"/>
          <w:sz w:val="20"/>
        </w:rPr>
        <w:t>Neurons are independent</w:t>
      </w:r>
      <w:r>
        <w:rPr>
          <w:rFonts w:ascii="Times New Roman" w:hAnsi="Times New Roman" w:cs="Times New Roman"/>
          <w:b w:val="0"/>
          <w:i w:val="0"/>
          <w:caps w:val="0"/>
          <w:sz w:val="20"/>
        </w:rPr>
        <w:t xml:space="preserve"> except in the explicit coupling test of Section III-D, and non-neuronal contributions are omitted entirely. Astrocytic glutamate handling, microglial activation and loss of corticostriatal input are all part of the real disease and none of them are here.</w:t>
      </w:r>
    </w:p>
    <w:p>
      <w:pPr>
        <w:spacing w:after="40" w:before="0" w:line="240" w:lineRule="auto"/>
        <w:ind w:left="288" w:hanging="173"/>
        <w:jc w:val="both"/>
      </w:pPr>
      <w:r>
        <w:rPr>
          <w:rFonts w:ascii="Times New Roman" w:hAnsi="Times New Roman" w:cs="Times New Roman"/>
          <w:b w:val="0"/>
          <w:i w:val="0"/>
          <w:caps w:val="0"/>
          <w:sz w:val="20"/>
        </w:rPr>
        <w:t xml:space="preserve">15) </w:t>
      </w:r>
      <w:r>
        <w:rPr>
          <w:rFonts w:ascii="Times New Roman" w:hAnsi="Times New Roman" w:cs="Times New Roman"/>
          <w:b/>
          <w:i w:val="0"/>
          <w:caps w:val="0"/>
          <w:sz w:val="20"/>
        </w:rPr>
        <w:t>Treatment is a step change in the main trial analysis.</w:t>
      </w:r>
      <w:r>
        <w:rPr>
          <w:rFonts w:ascii="Times New Roman" w:hAnsi="Times New Roman" w:cs="Times New Roman"/>
          <w:b w:val="0"/>
          <w:i w:val="0"/>
          <w:caps w:val="0"/>
          <w:sz w:val="20"/>
        </w:rPr>
        <w:t xml:space="preserve"> Section III-K removes this for the first-order case, exactly rather than approximately, but the correction relies on first-order pharmacodynamics and would not transfer to a cooperative mechanism.</w:t>
      </w:r>
    </w:p>
    <w:p>
      <w:pPr>
        <w:spacing w:after="40" w:before="0" w:line="240" w:lineRule="auto"/>
        <w:ind w:left="288" w:hanging="173"/>
        <w:jc w:val="both"/>
      </w:pPr>
      <w:r>
        <w:rPr>
          <w:rFonts w:ascii="Times New Roman" w:hAnsi="Times New Roman" w:cs="Times New Roman"/>
          <w:b w:val="0"/>
          <w:i w:val="0"/>
          <w:caps w:val="0"/>
          <w:sz w:val="20"/>
        </w:rPr>
        <w:t xml:space="preserve">16) </w:t>
      </w:r>
      <w:r>
        <w:rPr>
          <w:rFonts w:ascii="Times New Roman" w:hAnsi="Times New Roman" w:cs="Times New Roman"/>
          <w:b/>
          <w:i w:val="0"/>
          <w:caps w:val="0"/>
          <w:sz w:val="20"/>
        </w:rPr>
        <w:t>Safety is not modelled at all.</w:t>
      </w:r>
      <w:r>
        <w:rPr>
          <w:rFonts w:ascii="Times New Roman" w:hAnsi="Times New Roman" w:cs="Times New Roman"/>
          <w:b w:val="0"/>
          <w:i w:val="0"/>
          <w:caps w:val="0"/>
          <w:sz w:val="20"/>
        </w:rPr>
        <w:t xml:space="preserve"> Lifelong suppression of a mismatch-repair protein beginning in the third decade raises mutational and oncological questions this work does not address. MSH6 protein rose to 142% of control at the highest dose in the mouse study [4], suggesting compensatory shifts within the repair machinery whose long-term consequences are unknown. A specification that says "start before 30 and continue for life" is a specification with an unquantified risk attached, and no amount of modelling of efficacy substitutes for measuring that risk.</w:t>
      </w:r>
    </w:p>
    <w:p>
      <w:pPr>
        <w:spacing w:after="40" w:before="0" w:line="240" w:lineRule="auto"/>
        <w:ind w:left="288" w:hanging="173"/>
        <w:jc w:val="both"/>
      </w:pPr>
      <w:r>
        <w:rPr>
          <w:rFonts w:ascii="Times New Roman" w:hAnsi="Times New Roman" w:cs="Times New Roman"/>
          <w:b w:val="0"/>
          <w:i w:val="0"/>
          <w:caps w:val="0"/>
          <w:sz w:val="20"/>
        </w:rPr>
        <w:t xml:space="preserve">17) </w:t>
      </w:r>
      <w:r>
        <w:rPr>
          <w:rFonts w:ascii="Times New Roman" w:hAnsi="Times New Roman" w:cs="Times New Roman"/>
          <w:b/>
          <w:i w:val="0"/>
          <w:caps w:val="0"/>
          <w:sz w:val="20"/>
        </w:rPr>
        <w:t>No sequence-level design was attempted.</w:t>
      </w:r>
      <w:r>
        <w:rPr>
          <w:rFonts w:ascii="Times New Roman" w:hAnsi="Times New Roman" w:cs="Times New Roman"/>
          <w:b w:val="0"/>
          <w:i w:val="0"/>
          <w:caps w:val="0"/>
          <w:sz w:val="20"/>
        </w:rPr>
        <w:t xml:space="preserve"> An oligonucleotide design module was planned and dropped, because the sequence databases needed to do it rigorously were unreachable from this environment and a sequence written from memory would have been unverifiable. Section VI records what was blocked.</w:t>
      </w:r>
    </w:p>
    <w:p>
      <w:pPr>
        <w:spacing w:after="40" w:before="0" w:line="240" w:lineRule="auto"/>
        <w:ind w:left="288" w:hanging="173"/>
        <w:jc w:val="both"/>
      </w:pPr>
      <w:r>
        <w:rPr>
          <w:rFonts w:ascii="Times New Roman" w:hAnsi="Times New Roman" w:cs="Times New Roman"/>
          <w:b w:val="0"/>
          <w:i w:val="0"/>
          <w:caps w:val="0"/>
          <w:sz w:val="20"/>
        </w:rPr>
        <w:t xml:space="preserve">18) </w:t>
      </w:r>
      <w:r>
        <w:rPr>
          <w:rFonts w:ascii="Times New Roman" w:hAnsi="Times New Roman" w:cs="Times New Roman"/>
          <w:b/>
          <w:i w:val="0"/>
          <w:caps w:val="0"/>
          <w:sz w:val="20"/>
        </w:rPr>
        <w:t>The trial power calculation assumes a normal endpoint and no dropout.</w:t>
      </w:r>
      <w:r>
        <w:rPr>
          <w:rFonts w:ascii="Times New Roman" w:hAnsi="Times New Roman" w:cs="Times New Roman"/>
          <w:b w:val="0"/>
          <w:i w:val="0"/>
          <w:caps w:val="0"/>
          <w:sz w:val="20"/>
        </w:rPr>
        <w:t xml:space="preserve"> Real trials lose participants, and a right-censored survival endpoint would need a different calculation. The sample sizes given should be read as a floor.</w:t>
      </w:r>
    </w:p>
    <w:p>
      <w:pPr>
        <w:spacing w:after="40" w:before="0" w:line="240" w:lineRule="auto"/>
        <w:ind w:left="288" w:hanging="173"/>
        <w:jc w:val="both"/>
      </w:pPr>
      <w:r>
        <w:rPr>
          <w:rFonts w:ascii="Times New Roman" w:hAnsi="Times New Roman" w:cs="Times New Roman"/>
          <w:b w:val="0"/>
          <w:i w:val="0"/>
          <w:caps w:val="0"/>
          <w:sz w:val="20"/>
        </w:rPr>
        <w:t xml:space="preserve">19) </w:t>
      </w:r>
      <w:r>
        <w:rPr>
          <w:rFonts w:ascii="Times New Roman" w:hAnsi="Times New Roman" w:cs="Times New Roman"/>
          <w:b/>
          <w:i w:val="0"/>
          <w:caps w:val="0"/>
          <w:sz w:val="20"/>
        </w:rPr>
        <w:t>The power calculation omits modifier-genotype variance.</w:t>
      </w:r>
      <w:r>
        <w:rPr>
          <w:rFonts w:ascii="Times New Roman" w:hAnsi="Times New Roman" w:cs="Times New Roman"/>
          <w:b w:val="0"/>
          <w:i w:val="0"/>
          <w:caps w:val="0"/>
          <w:sz w:val="20"/>
        </w:rPr>
        <w:t xml:space="preserve"> Its between-subject spread comes only from the inherited CAG distribution and from imaging noise. Real cohorts also differ in the mismatch-repair and tract-structure modifiers of Section III-G, which move age at 25% loss by more years than the enrolled CAG range does. That variance enters the sample-size formula directly, and </w:t>
      </w:r>
      <w:r>
        <w:rPr>
          <w:rFonts w:ascii="Consolas" w:hAnsi="Consolas" w:cs="Consolas"/>
          <w:b w:val="0"/>
          <w:i w:val="0"/>
          <w:caps w:val="0"/>
          <w:sz w:val="20"/>
        </w:rPr>
        <w:t>results/modifier_variance_power.csv</w:t>
      </w:r>
      <w:r>
        <w:rPr>
          <w:rFonts w:ascii="Times New Roman" w:hAnsi="Times New Roman" w:cs="Times New Roman"/>
          <w:b w:val="0"/>
          <w:i w:val="0"/>
          <w:caps w:val="0"/>
          <w:sz w:val="20"/>
        </w:rPr>
        <w:t xml:space="preserve"> shows its cost: an extra between-subject standard deviation of 1 point over a three-year trial raises the achievable-dose arm from 133 to 148 participants per arm, and 2 points raises it to 193. The headline numbers are therefore optimistic in a second, quantified way.</w:t>
      </w:r>
    </w:p>
    <w:p>
      <w:pPr>
        <w:spacing w:after="40" w:before="0" w:line="240" w:lineRule="auto"/>
        <w:ind w:left="288" w:hanging="173"/>
        <w:jc w:val="both"/>
      </w:pPr>
      <w:r>
        <w:rPr>
          <w:rFonts w:ascii="Times New Roman" w:hAnsi="Times New Roman" w:cs="Times New Roman"/>
          <w:b w:val="0"/>
          <w:i w:val="0"/>
          <w:caps w:val="0"/>
          <w:sz w:val="20"/>
        </w:rPr>
        <w:t xml:space="preserve">20) </w:t>
      </w:r>
      <w:r>
        <w:rPr>
          <w:rFonts w:ascii="Times New Roman" w:hAnsi="Times New Roman" w:cs="Times New Roman"/>
          <w:b/>
          <w:i w:val="0"/>
          <w:caps w:val="0"/>
          <w:sz w:val="20"/>
        </w:rPr>
        <w:t>The dosing model has no protein-turnover lag.</w:t>
      </w:r>
      <w:r>
        <w:rPr>
          <w:rFonts w:ascii="Times New Roman" w:hAnsi="Times New Roman" w:cs="Times New Roman"/>
          <w:b w:val="0"/>
          <w:i w:val="0"/>
          <w:caps w:val="0"/>
          <w:sz w:val="20"/>
        </w:rPr>
        <w:t xml:space="preserve"> Section III-K converts a drug concentration waveform straight into an MSH3 waveform, so MSH3 is assumed to track tissue drug exposure instantaneously. Real protein recovery lags the fall of an oligonucleotide by its own turnover time, which smooths the troughs of an intermittent schedule. The direction is known: this omission makes infrequent dosing look worse than it is, so the penalties quoted for annual dosing are upper bounds.</w:t>
      </w:r>
    </w:p>
    <w:p>
      <w:pPr>
        <w:spacing w:after="40" w:before="0" w:line="240" w:lineRule="auto"/>
        <w:ind w:left="288" w:hanging="173"/>
        <w:jc w:val="both"/>
      </w:pPr>
      <w:r>
        <w:rPr>
          <w:rFonts w:ascii="Times New Roman" w:hAnsi="Times New Roman" w:cs="Times New Roman"/>
          <w:b w:val="0"/>
          <w:i w:val="0"/>
          <w:caps w:val="0"/>
          <w:sz w:val="20"/>
        </w:rPr>
        <w:t xml:space="preserve">21) </w:t>
      </w:r>
      <w:r>
        <w:rPr>
          <w:rFonts w:ascii="Times New Roman" w:hAnsi="Times New Roman" w:cs="Times New Roman"/>
          <w:b/>
          <w:i w:val="0"/>
          <w:caps w:val="0"/>
          <w:sz w:val="20"/>
        </w:rPr>
        <w:t>The transcytosis affinity optimum is fitted on two points.</w:t>
      </w:r>
      <w:r>
        <w:rPr>
          <w:rFonts w:ascii="Times New Roman" w:hAnsi="Times New Roman" w:cs="Times New Roman"/>
          <w:b w:val="0"/>
          <w:i w:val="0"/>
          <w:caps w:val="0"/>
          <w:sz w:val="20"/>
        </w:rPr>
        <w:t xml:space="preserve"> The capture-times-release form in Section III-I has two free constants and the mouse study provides two usable monovalent affinities [8], so the fit has no degrees of freedom left and cannot be tested against the data that produced it. The existence of an interior optimum follows from the functional form, which is mechanistically motivated but not independently validated; its position near 135 nM should be read as an illustration of where such an optimum would sit, not as a measured value.</w:t>
      </w:r>
    </w:p>
    <w:p>
      <w:pPr>
        <w:spacing w:after="60" w:before="160" w:line="240" w:lineRule="auto"/>
        <w:ind w:firstLine="0"/>
        <w:jc w:val="center"/>
      </w:pPr>
      <w:r>
        <w:rPr>
          <w:rFonts w:ascii="Times New Roman" w:hAnsi="Times New Roman" w:cs="Times New Roman"/>
          <w:b w:val="0"/>
          <w:i w:val="0"/>
          <w:caps/>
          <w:sz w:val="20"/>
        </w:rPr>
        <w:t>VI.  Reproducibility</w:t>
      </w:r>
    </w:p>
    <w:p>
      <w:pPr>
        <w:spacing w:after="0" w:before="0" w:line="240" w:lineRule="auto"/>
        <w:ind w:firstLine="0"/>
        <w:jc w:val="left"/>
      </w:pPr>
      <w:r>
        <w:rPr>
          <w:rFonts w:ascii="Consolas" w:hAnsi="Consolas" w:cs="Consolas"/>
          <w:b w:val="0"/>
          <w:i w:val="0"/>
          <w:caps w:val="0"/>
          <w:sz w:val="14"/>
        </w:rPr>
        <w:t>code/hdmodel.py          core model: rate law, calibration, Gillespie and tau-leaping solvers</w:t>
      </w:r>
    </w:p>
    <w:p>
      <w:pPr>
        <w:spacing w:after="0" w:before="0" w:line="240" w:lineRule="auto"/>
        <w:ind w:firstLine="0"/>
        <w:jc w:val="left"/>
      </w:pPr>
      <w:r>
        <w:rPr>
          <w:rFonts w:ascii="Consolas" w:hAnsi="Consolas" w:cs="Consolas"/>
          <w:b w:val="0"/>
          <w:i w:val="0"/>
          <w:caps w:val="0"/>
          <w:sz w:val="14"/>
        </w:rPr>
        <w:t>code/01_calibrate.py     calibration, identifiability, MutSbeta stoichiometry   -&gt; Fig 1-2</w:t>
      </w:r>
    </w:p>
    <w:p>
      <w:pPr>
        <w:spacing w:after="0" w:before="0" w:line="240" w:lineRule="auto"/>
        <w:ind w:firstLine="0"/>
        <w:jc w:val="left"/>
      </w:pPr>
      <w:r>
        <w:rPr>
          <w:rFonts w:ascii="Consolas" w:hAnsi="Consolas" w:cs="Consolas"/>
          <w:b w:val="0"/>
          <w:i w:val="0"/>
          <w:caps w:val="0"/>
          <w:sz w:val="14"/>
        </w:rPr>
        <w:t>code/02_population.py    population simulation, held-out validation             -&gt; Fig 3</w:t>
      </w:r>
    </w:p>
    <w:p>
      <w:pPr>
        <w:spacing w:after="0" w:before="0" w:line="240" w:lineRule="auto"/>
        <w:ind w:firstLine="0"/>
        <w:jc w:val="left"/>
      </w:pPr>
      <w:r>
        <w:rPr>
          <w:rFonts w:ascii="Consolas" w:hAnsi="Consolas" w:cs="Consolas"/>
          <w:b w:val="0"/>
          <w:i w:val="0"/>
          <w:caps w:val="0"/>
          <w:sz w:val="14"/>
        </w:rPr>
        <w:t>code/03_coupling.py      solver verification, non-cell-autonomous test          -&gt; Fig 4</w:t>
      </w:r>
    </w:p>
    <w:p>
      <w:pPr>
        <w:spacing w:after="0" w:before="0" w:line="240" w:lineRule="auto"/>
        <w:ind w:firstLine="0"/>
        <w:jc w:val="left"/>
      </w:pPr>
      <w:r>
        <w:rPr>
          <w:rFonts w:ascii="Consolas" w:hAnsi="Consolas" w:cs="Consolas"/>
          <w:b w:val="0"/>
          <w:i w:val="0"/>
          <w:caps w:val="0"/>
          <w:sz w:val="14"/>
        </w:rPr>
        <w:t>code/04_reconcile.py     reconciliation map, bracketing models                  -&gt; Fig 5</w:t>
      </w:r>
    </w:p>
    <w:p>
      <w:pPr>
        <w:spacing w:after="0" w:before="0" w:line="240" w:lineRule="auto"/>
        <w:ind w:firstLine="0"/>
        <w:jc w:val="left"/>
      </w:pPr>
      <w:r>
        <w:rPr>
          <w:rFonts w:ascii="Consolas" w:hAnsi="Consolas" w:cs="Consolas"/>
          <w:b w:val="0"/>
          <w:i w:val="0"/>
          <w:caps w:val="0"/>
          <w:sz w:val="14"/>
        </w:rPr>
        <w:t>code/05_delivery.py      exposure-response, CSF route, nanocarrier design space -&gt; Fig 6-7</w:t>
      </w:r>
    </w:p>
    <w:p>
      <w:pPr>
        <w:spacing w:after="0" w:before="0" w:line="240" w:lineRule="auto"/>
        <w:ind w:firstLine="0"/>
        <w:jc w:val="left"/>
      </w:pPr>
      <w:r>
        <w:rPr>
          <w:rFonts w:ascii="Consolas" w:hAnsi="Consolas" w:cs="Consolas"/>
          <w:b w:val="0"/>
          <w:i w:val="0"/>
          <w:caps w:val="0"/>
          <w:sz w:val="14"/>
        </w:rPr>
        <w:t>code/06_trial.py         in silico trial                                        -&gt; Fig 8-9</w:t>
      </w:r>
    </w:p>
    <w:p>
      <w:pPr>
        <w:spacing w:after="0" w:before="0" w:line="240" w:lineRule="auto"/>
        <w:ind w:firstLine="0"/>
        <w:jc w:val="left"/>
      </w:pPr>
      <w:r>
        <w:rPr>
          <w:rFonts w:ascii="Consolas" w:hAnsi="Consolas" w:cs="Consolas"/>
          <w:b w:val="0"/>
          <w:i w:val="0"/>
          <w:caps w:val="0"/>
          <w:sz w:val="14"/>
        </w:rPr>
        <w:t>code/07_sensitivity.py   Latin hypercube with recalibration, PRCC               -&gt; Fig 10</w:t>
      </w:r>
    </w:p>
    <w:p>
      <w:pPr>
        <w:spacing w:after="0" w:before="0" w:line="240" w:lineRule="auto"/>
        <w:ind w:firstLine="0"/>
        <w:jc w:val="left"/>
      </w:pPr>
      <w:r>
        <w:rPr>
          <w:rFonts w:ascii="Consolas" w:hAnsi="Consolas" w:cs="Consolas"/>
          <w:b w:val="0"/>
          <w:i w:val="0"/>
          <w:caps w:val="0"/>
          <w:sz w:val="14"/>
        </w:rPr>
        <w:t>code/08_translation.py   dose translation to mg/kg</w:t>
      </w:r>
    </w:p>
    <w:p>
      <w:pPr>
        <w:spacing w:after="0" w:before="0" w:line="240" w:lineRule="auto"/>
        <w:ind w:firstLine="0"/>
        <w:jc w:val="left"/>
      </w:pPr>
      <w:r>
        <w:rPr>
          <w:rFonts w:ascii="Consolas" w:hAnsi="Consolas" w:cs="Consolas"/>
          <w:b w:val="0"/>
          <w:i w:val="0"/>
          <w:caps w:val="0"/>
          <w:sz w:val="14"/>
        </w:rPr>
        <w:t>code/10_profile.py       parameter profiles and feasible ranges                 -&gt; Fig 11</w:t>
      </w:r>
    </w:p>
    <w:p>
      <w:pPr>
        <w:spacing w:after="0" w:before="0" w:line="240" w:lineRule="auto"/>
        <w:ind w:firstLine="0"/>
        <w:jc w:val="left"/>
      </w:pPr>
      <w:r>
        <w:rPr>
          <w:rFonts w:ascii="Consolas" w:hAnsi="Consolas" w:cs="Consolas"/>
          <w:b w:val="0"/>
          <w:i w:val="0"/>
          <w:caps w:val="0"/>
          <w:sz w:val="14"/>
        </w:rPr>
        <w:t>code/11_subtypes.py      direct and indirect pathway prediction                 -&gt; Fig 12</w:t>
      </w:r>
    </w:p>
    <w:p>
      <w:pPr>
        <w:spacing w:after="0" w:before="0" w:line="240" w:lineRule="auto"/>
        <w:ind w:firstLine="0"/>
        <w:jc w:val="left"/>
      </w:pPr>
      <w:r>
        <w:rPr>
          <w:rFonts w:ascii="Consolas" w:hAnsi="Consolas" w:cs="Consolas"/>
          <w:b w:val="0"/>
          <w:i w:val="0"/>
          <w:caps w:val="0"/>
          <w:sz w:val="14"/>
        </w:rPr>
        <w:t>code/12_modifiers.py     genetic modifiers as parameter perturbations           -&gt; Fig 13</w:t>
      </w:r>
    </w:p>
    <w:p>
      <w:pPr>
        <w:spacing w:after="0" w:before="0" w:line="240" w:lineRule="auto"/>
        <w:ind w:firstLine="0"/>
        <w:jc w:val="left"/>
      </w:pPr>
      <w:r>
        <w:rPr>
          <w:rFonts w:ascii="Consolas" w:hAnsi="Consolas" w:cs="Consolas"/>
          <w:b w:val="0"/>
          <w:i w:val="0"/>
          <w:caps w:val="0"/>
          <w:sz w:val="14"/>
        </w:rPr>
        <w:t>code/13_dosing.py        intermittent dosing and time-averaged knockdown        -&gt; Fig 14</w:t>
      </w:r>
    </w:p>
    <w:p>
      <w:pPr>
        <w:spacing w:after="0" w:before="0" w:line="240" w:lineRule="auto"/>
        <w:ind w:firstLine="0"/>
        <w:jc w:val="left"/>
      </w:pPr>
      <w:r>
        <w:rPr>
          <w:rFonts w:ascii="Consolas" w:hAnsi="Consolas" w:cs="Consolas"/>
          <w:b w:val="0"/>
          <w:i w:val="0"/>
          <w:caps w:val="0"/>
          <w:sz w:val="14"/>
        </w:rPr>
        <w:t>code/14_trial_power.py   sample size and power for a real trial                 -&gt; Fig 15</w:t>
      </w:r>
    </w:p>
    <w:p>
      <w:pPr>
        <w:spacing w:after="0" w:before="0" w:line="240" w:lineRule="auto"/>
        <w:ind w:firstLine="0"/>
        <w:jc w:val="left"/>
      </w:pPr>
      <w:r>
        <w:rPr>
          <w:rFonts w:ascii="Consolas" w:hAnsi="Consolas" w:cs="Consolas"/>
          <w:b w:val="0"/>
          <w:i w:val="0"/>
          <w:caps w:val="0"/>
          <w:sz w:val="14"/>
        </w:rPr>
        <w:t>code/17_estimator.py     mean-field vs stochastic calibration (section 3.5)</w:t>
      </w:r>
    </w:p>
    <w:p>
      <w:pPr>
        <w:spacing w:after="0" w:before="0" w:line="240" w:lineRule="auto"/>
        <w:ind w:firstLine="0"/>
        <w:jc w:val="left"/>
      </w:pPr>
      <w:r>
        <w:rPr>
          <w:rFonts w:ascii="Consolas" w:hAnsi="Consolas" w:cs="Consolas"/>
          <w:b w:val="0"/>
          <w:i w:val="0"/>
          <w:caps w:val="0"/>
          <w:sz w:val="14"/>
        </w:rPr>
        <w:t>code/09_build_documents.py  builds the Word and PDF versions of this paper</w:t>
      </w:r>
    </w:p>
    <w:p>
      <w:pPr>
        <w:spacing w:after="0" w:before="0" w:line="240" w:lineRule="auto"/>
        <w:ind w:firstLine="0"/>
        <w:jc w:val="left"/>
      </w:pPr>
      <w:r>
        <w:rPr>
          <w:rFonts w:ascii="Consolas" w:hAnsi="Consolas" w:cs="Consolas"/>
          <w:b w:val="0"/>
          <w:i w:val="0"/>
          <w:caps w:val="0"/>
          <w:sz w:val="14"/>
        </w:rPr>
        <w:t>code/15_build_ieee.py       builds the IEEE-format LaTeX and PDF</w:t>
      </w:r>
    </w:p>
    <w:p>
      <w:pPr>
        <w:spacing w:after="0" w:before="0" w:line="240" w:lineRule="auto"/>
        <w:ind w:firstLine="0"/>
        <w:jc w:val="left"/>
      </w:pPr>
      <w:r>
        <w:rPr>
          <w:rFonts w:ascii="Consolas" w:hAnsi="Consolas" w:cs="Consolas"/>
          <w:b w:val="0"/>
          <w:i w:val="0"/>
          <w:caps w:val="0"/>
          <w:sz w:val="14"/>
        </w:rPr>
        <w:t>code/16_build_ieee_docx.py  builds the IEEE-format Word version</w:t>
      </w:r>
    </w:p>
    <w:p>
      <w:pPr>
        <w:spacing w:after="60" w:before="0" w:line="240" w:lineRule="auto"/>
        <w:ind w:firstLine="288"/>
        <w:jc w:val="both"/>
      </w:pPr>
      <w:r>
        <w:rPr>
          <w:rFonts w:ascii="Times New Roman" w:hAnsi="Times New Roman" w:cs="Times New Roman"/>
          <w:b w:val="0"/>
          <w:i w:val="0"/>
          <w:caps w:val="0"/>
          <w:sz w:val="20"/>
        </w:rPr>
        <w:t xml:space="preserve">Run in numerical order from </w:t>
      </w:r>
      <w:r>
        <w:rPr>
          <w:rFonts w:ascii="Consolas" w:hAnsi="Consolas" w:cs="Consolas"/>
          <w:b w:val="0"/>
          <w:i w:val="0"/>
          <w:caps w:val="0"/>
          <w:sz w:val="20"/>
        </w:rPr>
        <w:t>code/</w:t>
      </w:r>
      <w:r>
        <w:rPr>
          <w:rFonts w:ascii="Times New Roman" w:hAnsi="Times New Roman" w:cs="Times New Roman"/>
          <w:b w:val="0"/>
          <w:i w:val="0"/>
          <w:caps w:val="0"/>
          <w:sz w:val="20"/>
        </w:rPr>
        <w:t xml:space="preserve">. Total runtime is about forty minutes on a single core, most of it in the sensitivity analysis, which recalibrates the model 160 times. Every random seed is fixed, so the figures and tables reproduce exactly. Every number quoted in this paper is written to </w:t>
      </w:r>
      <w:r>
        <w:rPr>
          <w:rFonts w:ascii="Consolas" w:hAnsi="Consolas" w:cs="Consolas"/>
          <w:b w:val="0"/>
          <w:i w:val="0"/>
          <w:caps w:val="0"/>
          <w:sz w:val="20"/>
        </w:rPr>
        <w:t>results/</w:t>
      </w:r>
      <w:r>
        <w:rPr>
          <w:rFonts w:ascii="Times New Roman" w:hAnsi="Times New Roman" w:cs="Times New Roman"/>
          <w:b w:val="0"/>
          <w:i w:val="0"/>
          <w:caps w:val="0"/>
          <w:sz w:val="20"/>
        </w:rPr>
        <w:t xml:space="preserve"> as CSV or JSON by the script that produced it, and no number was transcribed by hand.</w:t>
      </w:r>
    </w:p>
    <w:p>
      <w:pPr>
        <w:spacing w:after="60" w:before="0" w:line="240" w:lineRule="auto"/>
        <w:ind w:firstLine="288"/>
        <w:jc w:val="both"/>
      </w:pPr>
      <w:r>
        <w:rPr>
          <w:rFonts w:ascii="Times New Roman" w:hAnsi="Times New Roman" w:cs="Times New Roman"/>
          <w:b w:val="0"/>
          <w:i w:val="0"/>
          <w:caps w:val="0"/>
          <w:sz w:val="20"/>
        </w:rPr>
        <w:t>Dependencies are Python 3.12 with NumPy, SciPy and Matplotlib. The document build additionally needs pandoc and LibreOffice.</w:t>
      </w:r>
    </w:p>
    <w:p>
      <w:pPr>
        <w:spacing w:after="60" w:before="0" w:line="240" w:lineRule="auto"/>
        <w:ind w:firstLine="288"/>
        <w:jc w:val="both"/>
      </w:pPr>
      <w:r>
        <w:rPr>
          <w:rFonts w:ascii="Times New Roman" w:hAnsi="Times New Roman" w:cs="Times New Roman"/>
          <w:b/>
          <w:i w:val="0"/>
          <w:caps w:val="0"/>
          <w:sz w:val="20"/>
        </w:rPr>
        <w:t>What could not be done from this environment.</w:t>
      </w:r>
      <w:r>
        <w:rPr>
          <w:rFonts w:ascii="Times New Roman" w:hAnsi="Times New Roman" w:cs="Times New Roman"/>
          <w:b w:val="0"/>
          <w:i w:val="0"/>
          <w:caps w:val="0"/>
          <w:sz w:val="20"/>
        </w:rPr>
        <w:t xml:space="preserve"> The NCBI Entrez and Crossref programmatic interfaces were blocked by the network policy, PubMed Central required browser verification, and several publisher sites were unreachable or rate-limited. The practical consequences were two. First, the planned oligonucleotide sequence-design module was dropped rather than attempted from memory. Second, where a retrieved page did not expose a volume or page range, the reference below gives a DOI instead of a guessed citation. No reference appears here that was not opened and read.</w:t>
      </w:r>
    </w:p>
    <w:p>
      <w:pPr>
        <w:spacing w:after="80" w:before="160" w:line="240" w:lineRule="auto"/>
        <w:ind w:firstLine="0"/>
        <w:jc w:val="center"/>
      </w:pPr>
      <w:r>
        <w:rPr>
          <w:rFonts w:ascii="Times New Roman" w:hAnsi="Times New Roman" w:cs="Times New Roman"/>
          <w:b w:val="0"/>
          <w:i w:val="0"/>
          <w:caps/>
          <w:sz w:val="20"/>
        </w:rPr>
        <w:t>References</w:t>
      </w:r>
    </w:p>
    <w:p>
      <w:pPr>
        <w:spacing w:after="40" w:before="0" w:line="240" w:lineRule="auto"/>
        <w:ind w:left="317" w:hanging="317"/>
        <w:jc w:val="both"/>
      </w:pPr>
      <w:r>
        <w:rPr>
          <w:rFonts w:ascii="Times New Roman" w:hAnsi="Times New Roman" w:cs="Times New Roman"/>
          <w:b w:val="0"/>
          <w:i w:val="0"/>
          <w:caps w:val="0"/>
          <w:sz w:val="16"/>
        </w:rPr>
        <w:t xml:space="preserve">[1] </w:t>
      </w:r>
      <w:r>
        <w:rPr>
          <w:rFonts w:ascii="Times New Roman" w:hAnsi="Times New Roman" w:cs="Times New Roman"/>
          <w:b w:val="0"/>
          <w:i w:val="0"/>
          <w:caps w:val="0"/>
          <w:sz w:val="16"/>
        </w:rPr>
        <w:t>R. E. Handsaker, S. Kashin, N. M. Reed, et al., “Long somatic DNA-repeat expansion drives neurodegeneration in Huntington's disease,” Cell, 2025, PMID 39824182.</w:t>
      </w:r>
    </w:p>
    <w:p>
      <w:pPr>
        <w:spacing w:after="40" w:before="0" w:line="240" w:lineRule="auto"/>
        <w:ind w:left="317" w:hanging="317"/>
        <w:jc w:val="both"/>
      </w:pPr>
      <w:r>
        <w:rPr>
          <w:rFonts w:ascii="Times New Roman" w:hAnsi="Times New Roman" w:cs="Times New Roman"/>
          <w:b w:val="0"/>
          <w:i w:val="0"/>
          <w:caps w:val="0"/>
          <w:sz w:val="16"/>
        </w:rPr>
        <w:t xml:space="preserve">[2] </w:t>
      </w:r>
      <w:r>
        <w:rPr>
          <w:rFonts w:ascii="Times New Roman" w:hAnsi="Times New Roman" w:cs="Times New Roman"/>
          <w:b w:val="0"/>
          <w:i w:val="0"/>
          <w:caps w:val="0"/>
          <w:sz w:val="16"/>
        </w:rPr>
        <w:t>“The breaking point where repeat expansion triggers neuronal collapse in Huntington's disease,” Cell Genomics, vol. 5, no. 4, 2025. Commentary on [1].</w:t>
      </w:r>
    </w:p>
    <w:p>
      <w:pPr>
        <w:spacing w:after="40" w:before="0" w:line="240" w:lineRule="auto"/>
        <w:ind w:left="317" w:hanging="317"/>
        <w:jc w:val="both"/>
      </w:pPr>
      <w:r>
        <w:rPr>
          <w:rFonts w:ascii="Times New Roman" w:hAnsi="Times New Roman" w:cs="Times New Roman"/>
          <w:b w:val="0"/>
          <w:i w:val="0"/>
          <w:caps w:val="0"/>
          <w:sz w:val="16"/>
        </w:rPr>
        <w:t xml:space="preserve">[3] </w:t>
      </w:r>
      <w:r>
        <w:rPr>
          <w:rFonts w:ascii="Times New Roman" w:hAnsi="Times New Roman" w:cs="Times New Roman"/>
          <w:b w:val="0"/>
          <w:i w:val="0"/>
          <w:caps w:val="0"/>
          <w:sz w:val="16"/>
        </w:rPr>
        <w:t>J. Li, H. Wang, and W. Yang, “Tandem MutSβ binding to long extruded DNA trinucleotide repeats underpins pathogenic expansions,” bioRxiv 2023.12.12.571350, 2023, doi:10.1101/2023.12.12.571350. Preprint, not peer reviewed.</w:t>
      </w:r>
    </w:p>
    <w:p>
      <w:pPr>
        <w:spacing w:after="40" w:before="0" w:line="240" w:lineRule="auto"/>
        <w:ind w:left="317" w:hanging="317"/>
        <w:jc w:val="both"/>
      </w:pPr>
      <w:r>
        <w:rPr>
          <w:rFonts w:ascii="Times New Roman" w:hAnsi="Times New Roman" w:cs="Times New Roman"/>
          <w:b w:val="0"/>
          <w:i w:val="0"/>
          <w:caps w:val="0"/>
          <w:sz w:val="16"/>
        </w:rPr>
        <w:t xml:space="preserve">[4] </w:t>
      </w:r>
      <w:r>
        <w:rPr>
          <w:rFonts w:ascii="Times New Roman" w:hAnsi="Times New Roman" w:cs="Times New Roman"/>
          <w:b w:val="0"/>
          <w:i w:val="0"/>
          <w:caps w:val="0"/>
          <w:sz w:val="16"/>
        </w:rPr>
        <w:t>“Dose-dependent reduction of somatic expansions but not Htt aggregates by di-valent siRNA-mediated silencing of MSH3 in HdhQ111 mice,” Scientific Reports, 2024, doi:10.1038/s41598-024-52667-3.</w:t>
      </w:r>
    </w:p>
    <w:p>
      <w:pPr>
        <w:spacing w:after="40" w:before="0" w:line="240" w:lineRule="auto"/>
        <w:ind w:left="317" w:hanging="317"/>
        <w:jc w:val="both"/>
      </w:pPr>
      <w:r>
        <w:rPr>
          <w:rFonts w:ascii="Times New Roman" w:hAnsi="Times New Roman" w:cs="Times New Roman"/>
          <w:b w:val="0"/>
          <w:i w:val="0"/>
          <w:caps w:val="0"/>
          <w:sz w:val="16"/>
        </w:rPr>
        <w:t xml:space="preserve">[5] </w:t>
      </w:r>
      <w:r>
        <w:rPr>
          <w:rFonts w:ascii="Times New Roman" w:hAnsi="Times New Roman" w:cs="Times New Roman"/>
          <w:b w:val="0"/>
          <w:i w:val="0"/>
          <w:caps w:val="0"/>
          <w:sz w:val="16"/>
        </w:rPr>
        <w:t>I. Senoussi, V. Mengoli, A. Cerana, et al., “Mechanism of trinucleotide repeat expansion by MutSβ and MutLγ and contraction by FAN1,” Nature Communications, vol. 16, p. 9445, 2025, doi:10.1038/s41467-025-64485-w.</w:t>
      </w:r>
    </w:p>
    <w:p>
      <w:pPr>
        <w:spacing w:after="40" w:before="0" w:line="240" w:lineRule="auto"/>
        <w:ind w:left="317" w:hanging="317"/>
        <w:jc w:val="both"/>
      </w:pPr>
      <w:r>
        <w:rPr>
          <w:rFonts w:ascii="Times New Roman" w:hAnsi="Times New Roman" w:cs="Times New Roman"/>
          <w:b w:val="0"/>
          <w:i w:val="0"/>
          <w:caps w:val="0"/>
          <w:sz w:val="16"/>
        </w:rPr>
        <w:t xml:space="preserve">[6] </w:t>
      </w:r>
      <w:r>
        <w:rPr>
          <w:rFonts w:ascii="Times New Roman" w:hAnsi="Times New Roman" w:cs="Times New Roman"/>
          <w:b w:val="0"/>
          <w:i w:val="0"/>
          <w:caps w:val="0"/>
          <w:sz w:val="16"/>
        </w:rPr>
        <w:t>G. B. Panigrahi et al., “Isolated short CTG/CAG DNA slip-outs are repaired efficiently by hMutSβ, but clustered slip-outs are poorly repaired,” Proceedings of the National Academy of Sciences USA, 2010, doi:10.1073/pnas.0909087107.</w:t>
      </w:r>
    </w:p>
    <w:p>
      <w:pPr>
        <w:spacing w:after="40" w:before="0" w:line="240" w:lineRule="auto"/>
        <w:ind w:left="317" w:hanging="317"/>
        <w:jc w:val="both"/>
      </w:pPr>
      <w:r>
        <w:rPr>
          <w:rFonts w:ascii="Times New Roman" w:hAnsi="Times New Roman" w:cs="Times New Roman"/>
          <w:b w:val="0"/>
          <w:i w:val="0"/>
          <w:caps w:val="0"/>
          <w:sz w:val="16"/>
        </w:rPr>
        <w:t xml:space="preserve">[7] </w:t>
      </w:r>
      <w:r>
        <w:rPr>
          <w:rFonts w:ascii="Times New Roman" w:hAnsi="Times New Roman" w:cs="Times New Roman"/>
          <w:b w:val="0"/>
          <w:i w:val="0"/>
          <w:caps w:val="0"/>
          <w:sz w:val="16"/>
        </w:rPr>
        <w:t>J. A. Frei, J. E. Gentile, Y. Lian, M. A. Mortberg, J. Capitanio, P. Jafar-nejad, S. M. Vallabh, H. T. Zhao, and E. V. Minikel, “Cell type distribution of intrathecal antisense oligonucleotide activity in deep brain regions of non-human primates,” Nucleic Acid Therapeutics, 2025, doi:10.1177/21593337251371594.</w:t>
      </w:r>
    </w:p>
    <w:p>
      <w:pPr>
        <w:spacing w:after="40" w:before="0" w:line="240" w:lineRule="auto"/>
        <w:ind w:left="317" w:hanging="317"/>
        <w:jc w:val="both"/>
      </w:pPr>
      <w:r>
        <w:rPr>
          <w:rFonts w:ascii="Times New Roman" w:hAnsi="Times New Roman" w:cs="Times New Roman"/>
          <w:b w:val="0"/>
          <w:i w:val="0"/>
          <w:caps w:val="0"/>
          <w:sz w:val="16"/>
        </w:rPr>
        <w:t xml:space="preserve">[8] </w:t>
      </w:r>
      <w:r>
        <w:rPr>
          <w:rFonts w:ascii="Times New Roman" w:hAnsi="Times New Roman" w:cs="Times New Roman"/>
          <w:b w:val="0"/>
          <w:i w:val="0"/>
          <w:caps w:val="0"/>
          <w:sz w:val="16"/>
        </w:rPr>
        <w:t>K. B. Johnsen, M. Bak, P. J. Kempen, F. Melander, A. Burkhart, M. S. Thomsen, M. S. Nielsen, T. Moos, and T. L. Andresen, “Antibody affinity and valency impact brain uptake of transferrin receptor-targeted gold nanoparticles,” Theranostics, vol. 8, no. 12, pp. 3416–3436, 2018, doi:10.7150/thno.25228.</w:t>
      </w:r>
    </w:p>
    <w:p>
      <w:pPr>
        <w:spacing w:after="40" w:before="0" w:line="240" w:lineRule="auto"/>
        <w:ind w:left="317" w:hanging="317"/>
        <w:jc w:val="both"/>
      </w:pPr>
      <w:r>
        <w:rPr>
          <w:rFonts w:ascii="Times New Roman" w:hAnsi="Times New Roman" w:cs="Times New Roman"/>
          <w:b w:val="0"/>
          <w:i w:val="0"/>
          <w:caps w:val="0"/>
          <w:sz w:val="16"/>
        </w:rPr>
        <w:t xml:space="preserve">[9] </w:t>
      </w:r>
      <w:r>
        <w:rPr>
          <w:rFonts w:ascii="Times New Roman" w:hAnsi="Times New Roman" w:cs="Times New Roman"/>
          <w:b w:val="0"/>
          <w:i w:val="0"/>
          <w:caps w:val="0"/>
          <w:sz w:val="16"/>
        </w:rPr>
        <w:t>D. O'Reilly et al., “Di-valent siRNA-mediated silencing of MSH3 blocks somatic repeat expansion in mouse models of Huntington's disease,” Molecular Therapy, 2023.</w:t>
      </w:r>
    </w:p>
    <w:p>
      <w:pPr>
        <w:spacing w:after="40" w:before="0" w:line="240" w:lineRule="auto"/>
        <w:ind w:left="317" w:hanging="317"/>
        <w:jc w:val="both"/>
      </w:pPr>
      <w:r>
        <w:rPr>
          <w:rFonts w:ascii="Times New Roman" w:hAnsi="Times New Roman" w:cs="Times New Roman"/>
          <w:b w:val="0"/>
          <w:i w:val="0"/>
          <w:caps w:val="0"/>
          <w:sz w:val="16"/>
        </w:rPr>
        <w:t xml:space="preserve">[10] </w:t>
      </w:r>
      <w:r>
        <w:rPr>
          <w:rFonts w:ascii="Times New Roman" w:hAnsi="Times New Roman" w:cs="Times New Roman"/>
          <w:b w:val="0"/>
          <w:i w:val="0"/>
          <w:caps w:val="0"/>
          <w:sz w:val="16"/>
        </w:rPr>
        <w:t>M. Orth and C. Schwenke, “Age-at-onset in Huntington disease,” PLOS Currents Huntington Disease, ed. 1, Jul. 2011, doi:10.1371/currents.RRN1258.</w:t>
      </w:r>
    </w:p>
    <w:p>
      <w:pPr>
        <w:spacing w:after="40" w:before="0" w:line="240" w:lineRule="auto"/>
        <w:ind w:left="317" w:hanging="317"/>
        <w:jc w:val="both"/>
      </w:pPr>
      <w:r>
        <w:rPr>
          <w:rFonts w:ascii="Times New Roman" w:hAnsi="Times New Roman" w:cs="Times New Roman"/>
          <w:b w:val="0"/>
          <w:i w:val="0"/>
          <w:caps w:val="0"/>
          <w:sz w:val="16"/>
        </w:rPr>
        <w:t xml:space="preserve">[11] </w:t>
      </w:r>
      <w:r>
        <w:rPr>
          <w:rFonts w:ascii="Times New Roman" w:hAnsi="Times New Roman" w:cs="Times New Roman"/>
          <w:b w:val="0"/>
          <w:i w:val="0"/>
          <w:caps w:val="0"/>
          <w:sz w:val="16"/>
        </w:rPr>
        <w:t>“Antisense oligonucleotide-mediated MSH3 suppression reduces somatic CAG repeat expansion in Huntington's disease iPSC-derived striatal neurons,” Science Translational Medicine, 2025, doi:10.1126/scitranslmed.adn4600.</w:t>
      </w:r>
    </w:p>
    <w:p>
      <w:pPr>
        <w:spacing w:after="40" w:before="0" w:line="240" w:lineRule="auto"/>
        <w:ind w:left="317" w:hanging="317"/>
        <w:jc w:val="both"/>
      </w:pPr>
      <w:r>
        <w:rPr>
          <w:rFonts w:ascii="Times New Roman" w:hAnsi="Times New Roman" w:cs="Times New Roman"/>
          <w:b w:val="0"/>
          <w:i w:val="0"/>
          <w:caps w:val="0"/>
          <w:sz w:val="16"/>
        </w:rPr>
        <w:t xml:space="preserve">[12] </w:t>
      </w:r>
      <w:r>
        <w:rPr>
          <w:rFonts w:ascii="Times New Roman" w:hAnsi="Times New Roman" w:cs="Times New Roman"/>
          <w:b w:val="0"/>
          <w:i w:val="0"/>
          <w:caps w:val="0"/>
          <w:sz w:val="16"/>
        </w:rPr>
        <w:t>Enroll-HD, “Special characteristics of HD data,” citing J. H. Warner et al., “Standardizing the CAP score in Huntington's disease.” [Online]. Available: https://enroll-hd.org/for-researchers/analyzing-data/</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Somatic CAG-Repeat Expansion as a Druggable Rate Process in Huntington's Disease</dc:title>
  <dc:subject/>
  <dc:creator>Shubho</dc:creator>
  <cp:keywords/>
  <dc:description>generated by python-docx</dc:description>
  <cp:lastModifiedBy/>
  <cp:revision>1</cp:revision>
  <dcterms:created xsi:type="dcterms:W3CDTF">2013-12-23T23:15:00Z</dcterms:created>
  <dcterms:modified xsi:type="dcterms:W3CDTF">2013-12-23T23:15:00Z</dcterms:modified>
  <cp:category/>
</cp:coreProperties>
</file>