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before="0" w:line="240" w:lineRule="auto"/>
        <w:ind w:firstLine="0"/>
        <w:jc w:val="center"/>
      </w:pPr>
      <w:r>
        <w:rPr>
          <w:rFonts w:ascii="Times New Roman" w:hAnsi="Times New Roman" w:cs="Times New Roman"/>
          <w:b w:val="0"/>
          <w:i w:val="0"/>
          <w:caps w:val="0"/>
          <w:sz w:val="48"/>
        </w:rPr>
        <w:t>Somatic CAG-Repeat Expansion as a Druggable Rate Process in Huntington's Disease</w:t>
      </w:r>
    </w:p>
    <w:p>
      <w:pPr>
        <w:spacing w:after="280" w:before="0" w:line="240" w:lineRule="auto"/>
        <w:ind w:firstLine="0"/>
        <w:jc w:val="center"/>
      </w:pPr>
      <w:r>
        <w:rPr>
          <w:rFonts w:ascii="Times New Roman" w:hAnsi="Times New Roman" w:cs="Times New Roman"/>
          <w:b w:val="0"/>
          <w:i/>
          <w:caps w:val="0"/>
          <w:sz w:val="26"/>
        </w:rPr>
        <w:t>A Multiscale In Silico Model Linking MutSβ Biochemistry, Striatal Neuron Loss, and the Delivery Gap for MSH3-Lowering Oligonucleotides</w:t>
      </w:r>
    </w:p>
    <w:p>
      <w:pPr>
        <w:spacing w:after="20" w:before="0" w:line="240" w:lineRule="auto"/>
        <w:ind w:firstLine="0"/>
        <w:jc w:val="center"/>
      </w:pPr>
      <w:r>
        <w:rPr>
          <w:rFonts w:ascii="Times New Roman" w:hAnsi="Times New Roman" w:cs="Times New Roman"/>
          <w:b w:val="0"/>
          <w:i w:val="0"/>
          <w:caps w:val="0"/>
          <w:sz w:val="22"/>
        </w:rPr>
        <w:t>Shubho</w:t>
      </w:r>
    </w:p>
    <w:p>
      <w:pPr>
        <w:spacing w:after="20" w:before="0" w:line="240" w:lineRule="auto"/>
        <w:ind w:firstLine="0"/>
        <w:jc w:val="center"/>
      </w:pPr>
      <w:r>
        <w:rPr>
          <w:rFonts w:ascii="Times New Roman" w:hAnsi="Times New Roman" w:cs="Times New Roman"/>
          <w:b w:val="0"/>
          <w:i/>
          <w:caps w:val="0"/>
          <w:sz w:val="22"/>
        </w:rPr>
        <w:t>Independent Research</w:t>
      </w:r>
    </w:p>
    <w:p>
      <w:pPr>
        <w:spacing w:after="20" w:before="0" w:line="240" w:lineRule="auto"/>
        <w:ind w:firstLine="0"/>
        <w:jc w:val="center"/>
      </w:pPr>
      <w:r>
        <w:rPr>
          <w:rFonts w:ascii="Times New Roman" w:hAnsi="Times New Roman" w:cs="Times New Roman"/>
          <w:b w:val="0"/>
          <w:i w:val="0"/>
          <w:caps w:val="0"/>
          <w:sz w:val="22"/>
        </w:rPr>
        <w:t>shubhodeepcx@gmail.com</w:t>
      </w:r>
    </w:p>
    <w:p>
      <w:pPr>
        <w:spacing w:after="120" w:before="0" w:line="240" w:lineRule="auto"/>
        <w:ind w:firstLine="0"/>
        <w:jc w:val="center"/>
      </w:pPr>
    </w:p>
    <w:p>
      <w:pPr>
        <w:sectPr>
          <w:pgSz w:w="12240" w:h="15840"/>
          <w:pgMar w:top="1080" w:right="900" w:bottom="1440" w:left="900" w:header="720" w:footer="720" w:gutter="0"/>
          <w:cols w:space="360" w:num="1" w:equalWidth="1"/>
          <w:docGrid w:linePitch="360"/>
        </w:sectPr>
      </w:pPr>
    </w:p>
    <w:p>
      <w:pPr>
        <w:spacing w:after="120" w:before="0" w:line="240" w:lineRule="auto"/>
        <w:ind w:firstLine="288"/>
        <w:jc w:val="both"/>
      </w:pPr>
      <w:r>
        <w:rPr>
          <w:rFonts w:ascii="Times New Roman" w:hAnsi="Times New Roman" w:cs="Times New Roman"/>
          <w:b/>
          <w:i/>
          <w:caps w:val="0"/>
          <w:sz w:val="18"/>
        </w:rPr>
        <w:t xml:space="preserve">Abstract: </w:t>
      </w:r>
      <w:r>
        <w:rPr>
          <w:rFonts w:ascii="Times New Roman" w:hAnsi="Times New Roman" w:cs="Times New Roman"/>
          <w:b/>
          <w:i w:val="0"/>
          <w:caps w:val="0"/>
          <w:sz w:val="18"/>
        </w:rPr>
        <w:t>Huntington's disease has long been modelled as a polyglutamine dose problem, but single-cell sequencing of post-mortem striatum shows that striatal projection neurons expand their CAG tract somatically for decades, tolerate it until roughly 150 repeats, and are then eliminated within months. That makes the expansion rate, not the inherited allele, the quantity a drug should target, and MSH3 the most direct way to reach it. This work builds a three-layer stochastic model of that clock, fits four parameters to four published kinetic anchors, and keeps five further observations back for validation. The fit requires a switch-like rather than a graded length dependence, centred on 80.2 repeats, and a first-order rather than cooperative dependence on MSH3, so suppression tracks target engagement proportionally. The calibrated model reproduces two of five held-out observations cleanly, misses the upper tail of terminal tract lengths and the small fraction of neurons that never expand, and predicts, without being fitted to them, indirect-pathway depletion, three genetic-modifier effect sizes and the loss at which clinical onset should occur. The conclusions are shown to survive a change in the calibration estimator that raises end-stage neuron loss substantially. Twenty-nine percent striatal MSH3 lowering, the best figure measured in primates, begun at age 30, preserves 11.5 percentage points of striatum at age 70 across full parameter uncertainty; starting at 50 removes the benefit. The limiting factor is target engagement rather than pharmacology: the striatum needs 7 mg of drug and a systemic transferrin-receptor nanocarrier would require 7.6 g. A three-year trial enrolling at 40 would need about 133 participants per arm.</w:t>
      </w:r>
    </w:p>
    <w:p>
      <w:pPr>
        <w:spacing w:after="200" w:before="0" w:line="240" w:lineRule="auto"/>
        <w:ind w:firstLine="288"/>
        <w:jc w:val="both"/>
      </w:pPr>
      <w:r>
        <w:rPr>
          <w:rFonts w:ascii="Times New Roman" w:hAnsi="Times New Roman" w:cs="Times New Roman"/>
          <w:b/>
          <w:i/>
          <w:caps w:val="0"/>
          <w:sz w:val="18"/>
        </w:rPr>
        <w:t xml:space="preserve">Index Terms: </w:t>
      </w:r>
      <w:r>
        <w:rPr>
          <w:rFonts w:ascii="Times New Roman" w:hAnsi="Times New Roman" w:cs="Times New Roman"/>
          <w:b/>
          <w:i w:val="0"/>
          <w:caps w:val="0"/>
          <w:sz w:val="18"/>
        </w:rPr>
        <w:t>Huntington's disease, somatic repeat expansion, mismatch repair, MSH3, stochastic simulation, Gillespie algorithm, parameter identifiability, antisense oligonucleotide delivery, blood-brain barrier, clinical trial design</w:t>
      </w:r>
    </w:p>
    <w:p>
      <w:pPr>
        <w:spacing w:after="60" w:before="160" w:line="240" w:lineRule="auto"/>
        <w:ind w:firstLine="0"/>
        <w:jc w:val="center"/>
      </w:pPr>
      <w:r>
        <w:rPr>
          <w:rFonts w:ascii="Times New Roman" w:hAnsi="Times New Roman" w:cs="Times New Roman"/>
          <w:b w:val="0"/>
          <w:i w:val="0"/>
          <w:caps/>
          <w:sz w:val="20"/>
        </w:rPr>
        <w:t>I.  Introduction</w:t>
      </w:r>
    </w:p>
    <w:p>
      <w:pPr>
        <w:spacing w:after="40" w:before="120" w:line="240" w:lineRule="auto"/>
        <w:ind w:firstLine="0"/>
        <w:jc w:val="left"/>
      </w:pPr>
      <w:r>
        <w:rPr>
          <w:rFonts w:ascii="Times New Roman" w:hAnsi="Times New Roman" w:cs="Times New Roman"/>
          <w:b w:val="0"/>
          <w:i/>
          <w:caps w:val="0"/>
          <w:sz w:val="20"/>
        </w:rPr>
        <w:t>A.  What the inherited allele does and does not explain</w:t>
      </w:r>
    </w:p>
    <w:p>
      <w:pPr>
        <w:spacing w:after="60" w:before="0" w:line="240" w:lineRule="auto"/>
        <w:ind w:firstLine="288"/>
        <w:jc w:val="both"/>
      </w:pPr>
      <w:r>
        <w:rPr>
          <w:rFonts w:ascii="Times New Roman" w:hAnsi="Times New Roman" w:cs="Times New Roman"/>
          <w:b w:val="0"/>
          <w:i w:val="0"/>
          <w:caps w:val="0"/>
          <w:sz w:val="20"/>
        </w:rPr>
        <w:t xml:space="preserve">Huntington's disease follows from an expanded CAG tract in the first exon of </w:t>
      </w:r>
      <w:r>
        <w:rPr>
          <w:rFonts w:ascii="Times New Roman" w:hAnsi="Times New Roman" w:cs="Times New Roman"/>
          <w:b w:val="0"/>
          <w:i/>
          <w:caps w:val="0"/>
          <w:sz w:val="20"/>
        </w:rPr>
        <w:t>HTT</w:t>
      </w:r>
      <w:r>
        <w:rPr>
          <w:rFonts w:ascii="Times New Roman" w:hAnsi="Times New Roman" w:cs="Times New Roman"/>
          <w:b w:val="0"/>
          <w:i w:val="0"/>
          <w:caps w:val="0"/>
          <w:sz w:val="20"/>
        </w:rPr>
        <w:t>.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spacing w:after="60" w:before="0" w:line="240" w:lineRule="auto"/>
        <w:ind w:firstLine="288"/>
        <w:jc w:val="both"/>
      </w:pPr>
      <w:r>
        <w:rPr>
          <w:rFonts w:ascii="Times New Roman" w:hAnsi="Times New Roman" w:cs="Times New Roman"/>
          <w:b w:val="0"/>
          <w:i w:val="0"/>
          <w:caps w:val="0"/>
          <w:sz w:val="20"/>
        </w:rP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 </w:t>
      </w:r>
      <w:r>
        <w:rPr>
          <w:rFonts w:ascii="Times New Roman" w:hAnsi="Times New Roman" w:cs="Times New Roman"/>
          <w:b w:val="0"/>
          <w:i/>
          <w:caps w:val="0"/>
          <w:sz w:val="20"/>
        </w:rPr>
        <w:t>HTT</w:t>
      </w:r>
      <w:r>
        <w:rPr>
          <w:rFonts w:ascii="Times New Roman" w:hAnsi="Times New Roman" w:cs="Times New Roman"/>
          <w:b w:val="0"/>
          <w:i w:val="0"/>
          <w:caps w:val="0"/>
          <w:sz w:val="20"/>
        </w:rPr>
        <w:t xml:space="preserve">, not at protein quality control, and not at any of the pathways that dominate the cell-biological literature, but at DNA mismatch repair: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w:t>
      </w:r>
      <w:r>
        <w:rPr>
          <w:rFonts w:ascii="Times New Roman" w:hAnsi="Times New Roman" w:cs="Times New Roman"/>
          <w:b w:val="0"/>
          <w:i/>
          <w:caps w:val="0"/>
          <w:sz w:val="20"/>
        </w:rPr>
        <w:t>FAN1</w:t>
      </w:r>
      <w:r>
        <w:rPr>
          <w:rFonts w:ascii="Times New Roman" w:hAnsi="Times New Roman" w:cs="Times New Roman"/>
          <w:b w:val="0"/>
          <w:i w:val="0"/>
          <w:caps w:val="0"/>
          <w:sz w:val="20"/>
        </w:rPr>
        <w:t xml:space="preserve">, </w:t>
      </w:r>
      <w:r>
        <w:rPr>
          <w:rFonts w:ascii="Times New Roman" w:hAnsi="Times New Roman" w:cs="Times New Roman"/>
          <w:b w:val="0"/>
          <w:i/>
          <w:caps w:val="0"/>
          <w:sz w:val="20"/>
        </w:rPr>
        <w:t>MLH1</w:t>
      </w:r>
      <w:r>
        <w:rPr>
          <w:rFonts w:ascii="Times New Roman" w:hAnsi="Times New Roman" w:cs="Times New Roman"/>
          <w:b w:val="0"/>
          <w:i w:val="0"/>
          <w:caps w:val="0"/>
          <w:sz w:val="20"/>
        </w:rPr>
        <w:t xml:space="preserve">, </w:t>
      </w:r>
      <w:r>
        <w:rPr>
          <w:rFonts w:ascii="Times New Roman" w:hAnsi="Times New Roman" w:cs="Times New Roman"/>
          <w:b w:val="0"/>
          <w:i/>
          <w:caps w:val="0"/>
          <w:sz w:val="20"/>
        </w:rPr>
        <w:t>LIG1</w:t>
      </w:r>
      <w:r>
        <w:rPr>
          <w:rFonts w:ascii="Times New Roman" w:hAnsi="Times New Roman" w:cs="Times New Roman"/>
          <w:b w:val="0"/>
          <w:i w:val="0"/>
          <w:caps w:val="0"/>
          <w:sz w:val="20"/>
        </w:rPr>
        <w:t xml:space="preserve">, </w:t>
      </w:r>
      <w:r>
        <w:rPr>
          <w:rFonts w:ascii="Times New Roman" w:hAnsi="Times New Roman" w:cs="Times New Roman"/>
          <w:b w:val="0"/>
          <w:i/>
          <w:caps w:val="0"/>
          <w:sz w:val="20"/>
        </w:rPr>
        <w:t>PMS1</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PMS2</w:t>
      </w:r>
      <w:r>
        <w:rPr>
          <w:rFonts w:ascii="Times New Roman" w:hAnsi="Times New Roman" w:cs="Times New Roman"/>
          <w:b w:val="0"/>
          <w:i w:val="0"/>
          <w:caps w:val="0"/>
          <w:sz w:val="20"/>
        </w:rPr>
        <w:t xml:space="preserve"> [1]. Modifiers of a protein-toxicity disease ought to modify protein handling. These modify DNA repair.</w:t>
      </w:r>
    </w:p>
    <w:p>
      <w:pPr>
        <w:spacing w:after="40" w:before="120" w:line="240" w:lineRule="auto"/>
        <w:ind w:firstLine="0"/>
        <w:jc w:val="left"/>
      </w:pPr>
      <w:r>
        <w:rPr>
          <w:rFonts w:ascii="Times New Roman" w:hAnsi="Times New Roman" w:cs="Times New Roman"/>
          <w:b w:val="0"/>
          <w:i/>
          <w:caps w:val="0"/>
          <w:sz w:val="20"/>
        </w:rPr>
        <w:t>B.  What the single-cell data changed</w:t>
      </w:r>
    </w:p>
    <w:p>
      <w:pPr>
        <w:spacing w:after="60" w:before="0" w:line="240" w:lineRule="auto"/>
        <w:ind w:firstLine="288"/>
        <w:jc w:val="both"/>
      </w:pPr>
      <w:r>
        <w:rPr>
          <w:rFonts w:ascii="Times New Roman" w:hAnsi="Times New Roman" w:cs="Times New Roman"/>
          <w:b w:val="0"/>
          <w:i w:val="0"/>
          <w:caps w:val="0"/>
          <w:sz w:val="20"/>
        </w:rPr>
        <w:t>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spacing w:after="60" w:before="0" w:line="240" w:lineRule="auto"/>
        <w:ind w:firstLine="288"/>
        <w:jc w:val="both"/>
      </w:pPr>
      <w:r>
        <w:rPr>
          <w:rFonts w:ascii="Times New Roman" w:hAnsi="Times New Roman" w:cs="Times New Roman"/>
          <w:b w:val="0"/>
          <w:i w:val="0"/>
          <w:caps w:val="0"/>
          <w:sz w:val="20"/>
        </w:rPr>
        <w:t>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spacing w:after="60" w:before="0" w:line="240" w:lineRule="auto"/>
        <w:ind w:firstLine="288"/>
        <w:jc w:val="both"/>
      </w:pPr>
      <w:r>
        <w:rPr>
          <w:rFonts w:ascii="Times New Roman" w:hAnsi="Times New Roman" w:cs="Times New Roman"/>
          <w:b w:val="0"/>
          <w:i w:val="0"/>
          <w:caps w:val="0"/>
          <w:sz w:val="20"/>
        </w:rP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 </w:t>
      </w:r>
      <w:r>
        <w:rPr>
          <w:rFonts w:ascii="Times New Roman" w:hAnsi="Times New Roman" w:cs="Times New Roman"/>
          <w:b w:val="0"/>
          <w:i/>
          <w:caps w:val="0"/>
          <w:sz w:val="20"/>
        </w:rPr>
        <w:t>PDE10A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PPP2R2B</w:t>
      </w:r>
      <w:r>
        <w:rPr>
          <w:rFonts w:ascii="Times New Roman" w:hAnsi="Times New Roman" w:cs="Times New Roman"/>
          <w:b w:val="0"/>
          <w:i w:val="0"/>
          <w:caps w:val="0"/>
          <w:sz w:val="20"/>
        </w:rPr>
        <w:t xml:space="preserve">; beyond roughly 350 repeats, normally silent loci are de-repressed in more than half of cells, among them </w:t>
      </w:r>
      <w:r>
        <w:rPr>
          <w:rFonts w:ascii="Times New Roman" w:hAnsi="Times New Roman" w:cs="Times New Roman"/>
          <w:b w:val="0"/>
          <w:i/>
          <w:caps w:val="0"/>
          <w:sz w:val="20"/>
        </w:rPr>
        <w:t>CDKN2A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CDKN2B</w:t>
      </w:r>
      <w:r>
        <w:rPr>
          <w:rFonts w:ascii="Times New Roman" w:hAnsi="Times New Roman" w:cs="Times New Roman"/>
          <w:b w:val="0"/>
          <w:i w:val="0"/>
          <w:caps w:val="0"/>
          <w:sz w:val="20"/>
        </w:rPr>
        <w:t xml:space="preserve"> and genes of the </w:t>
      </w:r>
      <w:r>
        <w:rPr>
          <w:rFonts w:ascii="Times New Roman" w:hAnsi="Times New Roman" w:cs="Times New Roman"/>
          <w:b w:val="0"/>
          <w:i/>
          <w:caps w:val="0"/>
          <w:sz w:val="20"/>
        </w:rPr>
        <w:t>HOX</w:t>
      </w:r>
      <w:r>
        <w:rPr>
          <w:rFonts w:ascii="Times New Roman" w:hAnsi="Times New Roman" w:cs="Times New Roman"/>
          <w:b w:val="0"/>
          <w:i w:val="0"/>
          <w:caps w:val="0"/>
          <w:sz w:val="20"/>
        </w:rPr>
        <w:t xml:space="preserve"> clusters. The neuron then dies over months rather than decades. Simulation in the same study put the average projection neuron with a 42-repeat allele at 96.4% of its life inside the silent expansion phase.</w:t>
      </w:r>
    </w:p>
    <w:p>
      <w:pPr>
        <w:spacing w:after="60" w:before="0" w:line="240" w:lineRule="auto"/>
        <w:ind w:firstLine="288"/>
        <w:jc w:val="both"/>
      </w:pPr>
      <w:r>
        <w:rPr>
          <w:rFonts w:ascii="Times New Roman" w:hAnsi="Times New Roman" w:cs="Times New Roman"/>
          <w:b w:val="0"/>
          <w:i w:val="0"/>
          <w:caps w:val="0"/>
          <w:sz w:val="20"/>
        </w:rPr>
        <w:t>If that is right, the disease has a long, silent, cell-autonomous timer, and the clinically relevant question is how fast the timer runs.</w:t>
      </w:r>
    </w:p>
    <w:p>
      <w:pPr>
        <w:spacing w:after="40" w:before="120" w:line="240" w:lineRule="auto"/>
        <w:ind w:firstLine="0"/>
        <w:jc w:val="left"/>
      </w:pPr>
      <w:r>
        <w:rPr>
          <w:rFonts w:ascii="Times New Roman" w:hAnsi="Times New Roman" w:cs="Times New Roman"/>
          <w:b w:val="0"/>
          <w:i/>
          <w:caps w:val="0"/>
          <w:sz w:val="20"/>
        </w:rPr>
        <w:t>C.  The biochemistry of the timer</w:t>
      </w:r>
    </w:p>
    <w:p>
      <w:pPr>
        <w:spacing w:after="60" w:before="0" w:line="240" w:lineRule="auto"/>
        <w:ind w:firstLine="288"/>
        <w:jc w:val="both"/>
      </w:pPr>
      <w:r>
        <w:rPr>
          <w:rFonts w:ascii="Times New Roman" w:hAnsi="Times New Roman" w:cs="Times New Roman"/>
          <w:b w:val="0"/>
          <w:i w:val="0"/>
          <w:caps w:val="0"/>
          <w:sz w:val="20"/>
        </w:rPr>
        <w:t>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spacing w:after="60" w:before="0" w:line="240" w:lineRule="auto"/>
        <w:ind w:firstLine="288"/>
        <w:jc w:val="both"/>
      </w:pPr>
      <w:r>
        <w:rPr>
          <w:rFonts w:ascii="Times New Roman" w:hAnsi="Times New Roman" w:cs="Times New Roman"/>
          <w:b w:val="0"/>
          <w:i w:val="0"/>
          <w:caps w:val="0"/>
          <w:sz w:val="20"/>
        </w:rPr>
        <w:t>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spacing w:after="60" w:before="0" w:line="240" w:lineRule="auto"/>
        <w:ind w:firstLine="288"/>
        <w:jc w:val="both"/>
      </w:pPr>
      <w:r>
        <w:rPr>
          <w:rFonts w:ascii="Times New Roman" w:hAnsi="Times New Roman" w:cs="Times New Roman"/>
          <w:b w:val="0"/>
          <w:i w:val="0"/>
          <w:caps w:val="0"/>
          <w:sz w:val="20"/>
        </w:rPr>
        <w:t>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p>
      <w:pPr>
        <w:spacing w:after="40" w:before="120" w:line="240" w:lineRule="auto"/>
        <w:ind w:firstLine="0"/>
        <w:jc w:val="left"/>
      </w:pPr>
      <w:r>
        <w:rPr>
          <w:rFonts w:ascii="Times New Roman" w:hAnsi="Times New Roman" w:cs="Times New Roman"/>
          <w:b w:val="0"/>
          <w:i/>
          <w:caps w:val="0"/>
          <w:sz w:val="20"/>
        </w:rPr>
        <w:t>D.  Why MSH3 is the target</w:t>
      </w:r>
    </w:p>
    <w:p>
      <w:pPr>
        <w:spacing w:after="60" w:before="0" w:line="240" w:lineRule="auto"/>
        <w:ind w:firstLine="288"/>
        <w:jc w:val="both"/>
      </w:pPr>
      <w:r>
        <w:rPr>
          <w:rFonts w:ascii="Times New Roman" w:hAnsi="Times New Roman" w:cs="Times New Roman"/>
          <w:b w:val="0"/>
          <w:i w:val="0"/>
          <w:caps w:val="0"/>
          <w:sz w:val="20"/>
        </w:rPr>
        <w:t>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spacing w:after="60" w:before="0" w:line="240" w:lineRule="auto"/>
        <w:ind w:firstLine="288"/>
        <w:jc w:val="both"/>
      </w:pPr>
      <w:r>
        <w:rPr>
          <w:rFonts w:ascii="Times New Roman" w:hAnsi="Times New Roman" w:cs="Times New Roman"/>
          <w:b w:val="0"/>
          <w:i w:val="0"/>
          <w:caps w:val="0"/>
          <w:sz w:val="20"/>
        </w:rPr>
        <w:t xml:space="preserve">The relevant pharmacology has been measured. Divalent siRNA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p>
      <w:pPr>
        <w:spacing w:after="40" w:before="120" w:line="240" w:lineRule="auto"/>
        <w:ind w:firstLine="0"/>
        <w:jc w:val="left"/>
      </w:pPr>
      <w:r>
        <w:rPr>
          <w:rFonts w:ascii="Times New Roman" w:hAnsi="Times New Roman" w:cs="Times New Roman"/>
          <w:b w:val="0"/>
          <w:i/>
          <w:caps w:val="0"/>
          <w:sz w:val="20"/>
        </w:rPr>
        <w:t>E.  Why delivery is the hard part</w:t>
      </w:r>
    </w:p>
    <w:p>
      <w:pPr>
        <w:spacing w:after="60" w:before="0" w:line="240" w:lineRule="auto"/>
        <w:ind w:firstLine="288"/>
        <w:jc w:val="both"/>
      </w:pPr>
      <w:r>
        <w:rPr>
          <w:rFonts w:ascii="Times New Roman" w:hAnsi="Times New Roman" w:cs="Times New Roman"/>
          <w:b w:val="0"/>
          <w:i w:val="0"/>
          <w:caps w:val="0"/>
          <w:sz w:val="20"/>
        </w:rPr>
        <w:t xml:space="preserve">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measured for </w:t>
      </w:r>
      <w:r>
        <w:rPr>
          <w:rFonts w:ascii="Times New Roman" w:hAnsi="Times New Roman" w:cs="Times New Roman"/>
          <w:b w:val="0"/>
          <w:i/>
          <w:caps w:val="0"/>
          <w:sz w:val="20"/>
        </w:rPr>
        <w:t>Malat1</w:t>
      </w:r>
      <w:r>
        <w:rPr>
          <w:rFonts w:ascii="Times New Roman" w:hAnsi="Times New Roman" w:cs="Times New Roman"/>
          <w:b w:val="0"/>
          <w:i w:val="0"/>
          <w:caps w:val="0"/>
          <w:sz w:val="20"/>
        </w:rPr>
        <w:t xml:space="preserve"> as a reporter of where the oligonucleotide is active, was 71% in putamen projection neurons against 31% in thalamus and 34% by qPCR in the same animals. That regimen is heavier than clinical dosing, and the human brain is larger.</w:t>
      </w:r>
    </w:p>
    <w:p>
      <w:pPr>
        <w:spacing w:after="60" w:before="0" w:line="240" w:lineRule="auto"/>
        <w:ind w:firstLine="288"/>
        <w:jc w:val="both"/>
      </w:pPr>
      <w:r>
        <w:rPr>
          <w:rFonts w:ascii="Times New Roman" w:hAnsi="Times New Roman" w:cs="Times New Roman"/>
          <w:b w:val="0"/>
          <w:i w:val="0"/>
          <w:caps w:val="0"/>
          <w:sz w:val="20"/>
        </w:rPr>
        <w:t>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spacing w:after="60" w:before="0" w:line="240" w:lineRule="auto"/>
        <w:ind w:firstLine="288"/>
        <w:jc w:val="both"/>
      </w:pPr>
      <w:r>
        <w:rPr>
          <w:rFonts w:ascii="Times New Roman" w:hAnsi="Times New Roman" w:cs="Times New Roman"/>
          <w:b w:val="0"/>
          <w:i w:val="0"/>
          <w:caps w:val="0"/>
          <w:sz w:val="20"/>
        </w:rPr>
        <w:t>So the question is not only how much MSH3 lowering helps. It is whether the amount that helps can be delivered to the one structure where it is needed.</w:t>
      </w:r>
    </w:p>
    <w:p>
      <w:pPr>
        <w:spacing w:after="40" w:before="120" w:line="240" w:lineRule="auto"/>
        <w:ind w:firstLine="0"/>
        <w:jc w:val="left"/>
      </w:pPr>
      <w:r>
        <w:rPr>
          <w:rFonts w:ascii="Times New Roman" w:hAnsi="Times New Roman" w:cs="Times New Roman"/>
          <w:b w:val="0"/>
          <w:i/>
          <w:caps w:val="0"/>
          <w:sz w:val="20"/>
        </w:rPr>
        <w:t>F.  What this project adds</w:t>
      </w:r>
    </w:p>
    <w:p>
      <w:pPr>
        <w:spacing w:after="60" w:before="0" w:line="240" w:lineRule="auto"/>
        <w:ind w:firstLine="288"/>
        <w:jc w:val="both"/>
      </w:pPr>
      <w:r>
        <w:rPr>
          <w:rFonts w:ascii="Times New Roman" w:hAnsi="Times New Roman" w:cs="Times New Roman"/>
          <w:b w:val="0"/>
          <w:i w:val="0"/>
          <w:caps w:val="0"/>
          <w:sz w:val="20"/>
        </w:rPr>
        <w:t>This work contributes six things.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val="0"/>
          <w:i w:val="0"/>
          <w:caps w:val="0"/>
          <w:sz w:val="20"/>
        </w:rPr>
        <w:t>A mechanistic rate law for somatic CAG expansion, assembled from MutSβ footprint, slip-out occupancy and clustered-repair failure, and fitted exactly to four published kinetic anchors.</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val="0"/>
          <w:i w:val="0"/>
          <w:caps w:val="0"/>
          <w:sz w:val="20"/>
        </w:rPr>
        <w:t>A profile analysis giving feasible ranges for each fitted parameter, which shows which features of the clock are determined by the data and which are not.</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val="0"/>
          <w:i w:val="0"/>
          <w:caps w:val="0"/>
          <w:sz w:val="20"/>
        </w:rPr>
        <w:t>An inference, from an independent dataset, that the productive MutSβ species is not a cooperative tandem assembly, with the implication that suppression tracks target engagement without a threshold to clear.</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val="0"/>
          <w:i w:val="0"/>
          <w:caps w:val="0"/>
          <w:sz w:val="20"/>
        </w:rPr>
        <w:t>A demonstration that two independent published constraints on striatal degeneration cannot both be satisfied by a cell-autonomous threshold model, with the candidate resolutions tested rather than asserted.</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val="0"/>
          <w:i w:val="0"/>
          <w:caps w:val="0"/>
          <w:sz w:val="20"/>
        </w:rPr>
        <w:t>A delivery analysis that converts measured primate target engagement and measured nanoparticle brain uptake into an explicit, falsifiable engineering specification, and a dosing-schedule analysis that shows when intermittency matters.</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val="0"/>
          <w:i w:val="0"/>
          <w:caps w:val="0"/>
          <w:sz w:val="20"/>
        </w:rPr>
        <w:t>An in silico trial with full uncertainty propagation, a set of genotype-to-onset predictions for the known modifiers, and a sample-size calculation for a real trial.</w:t>
      </w:r>
    </w:p>
    <w:p>
      <w:pPr>
        <w:spacing w:after="60" w:before="160" w:line="240" w:lineRule="auto"/>
        <w:ind w:firstLine="0"/>
        <w:jc w:val="center"/>
      </w:pPr>
      <w:r>
        <w:rPr>
          <w:rFonts w:ascii="Times New Roman" w:hAnsi="Times New Roman" w:cs="Times New Roman"/>
          <w:b w:val="0"/>
          <w:i w:val="0"/>
          <w:caps/>
          <w:sz w:val="20"/>
        </w:rPr>
        <w:t>II.  Methods</w:t>
      </w:r>
    </w:p>
    <w:p>
      <w:pPr>
        <w:spacing w:after="40" w:before="120" w:line="240" w:lineRule="auto"/>
        <w:ind w:firstLine="0"/>
        <w:jc w:val="left"/>
      </w:pPr>
      <w:r>
        <w:rPr>
          <w:rFonts w:ascii="Times New Roman" w:hAnsi="Times New Roman" w:cs="Times New Roman"/>
          <w:b w:val="0"/>
          <w:i/>
          <w:caps w:val="0"/>
          <w:sz w:val="20"/>
        </w:rPr>
        <w:t>A.  Software and reproducibility</w:t>
      </w:r>
    </w:p>
    <w:p>
      <w:pPr>
        <w:spacing w:after="60" w:before="0" w:line="240" w:lineRule="auto"/>
        <w:ind w:firstLine="288"/>
        <w:jc w:val="both"/>
      </w:pPr>
      <w:r>
        <w:rPr>
          <w:rFonts w:ascii="Times New Roman" w:hAnsi="Times New Roman" w:cs="Times New Roman"/>
          <w:b w:val="0"/>
          <w:i w:val="0"/>
          <w:caps w:val="0"/>
          <w:sz w:val="20"/>
        </w:rPr>
        <w:t xml:space="preserve">Everything is implemented in Python 3 using NumPy 2.5.3, SciPy 1.18.1 and Matplotlib 3.11.2, in the </w:t>
      </w:r>
      <w:r>
        <w:rPr>
          <w:rFonts w:ascii="Consolas" w:hAnsi="Consolas" w:cs="Consolas"/>
          <w:b w:val="0"/>
          <w:i w:val="0"/>
          <w:caps w:val="0"/>
          <w:sz w:val="20"/>
        </w:rPr>
        <w:t>code/</w:t>
      </w:r>
      <w:r>
        <w:rPr>
          <w:rFonts w:ascii="Times New Roman" w:hAnsi="Times New Roman" w:cs="Times New Roman"/>
          <w:b w:val="0"/>
          <w:i w:val="0"/>
          <w:caps w:val="0"/>
          <w:sz w:val="20"/>
        </w:rPr>
        <w:t xml:space="preserve"> directory. Scripts run in numerical order and each writes its own tables to </w:t>
      </w:r>
      <w:r>
        <w:rPr>
          <w:rFonts w:ascii="Consolas" w:hAnsi="Consolas" w:cs="Consolas"/>
          <w:b w:val="0"/>
          <w:i w:val="0"/>
          <w:caps w:val="0"/>
          <w:sz w:val="20"/>
        </w:rPr>
        <w:t>results/</w:t>
      </w:r>
      <w:r>
        <w:rPr>
          <w:rFonts w:ascii="Times New Roman" w:hAnsi="Times New Roman" w:cs="Times New Roman"/>
          <w:b w:val="0"/>
          <w:i w:val="0"/>
          <w:caps w:val="0"/>
          <w:sz w:val="20"/>
        </w:rPr>
        <w:t xml:space="preserve"> and its own figures to </w:t>
      </w:r>
      <w:r>
        <w:rPr>
          <w:rFonts w:ascii="Consolas" w:hAnsi="Consolas" w:cs="Consolas"/>
          <w:b w:val="0"/>
          <w:i w:val="0"/>
          <w:caps w:val="0"/>
          <w:sz w:val="20"/>
        </w:rPr>
        <w:t>figures/</w:t>
      </w:r>
      <w:r>
        <w:rPr>
          <w:rFonts w:ascii="Times New Roman" w:hAnsi="Times New Roman" w:cs="Times New Roman"/>
          <w:b w:val="0"/>
          <w:i w:val="0"/>
          <w:caps w:val="0"/>
          <w:sz w:val="20"/>
        </w:rPr>
        <w:t>. All random seeds are fixed. Total runtime is about forty minutes.</w:t>
      </w:r>
    </w:p>
    <w:p>
      <w:pPr>
        <w:spacing w:after="60" w:before="0" w:line="240" w:lineRule="auto"/>
        <w:ind w:firstLine="288"/>
        <w:jc w:val="both"/>
      </w:pPr>
      <w:r>
        <w:rPr>
          <w:rFonts w:ascii="Times New Roman" w:hAnsi="Times New Roman" w:cs="Times New Roman"/>
          <w:b w:val="0"/>
          <w:i w:val="0"/>
          <w:caps w:val="0"/>
          <w:sz w:val="20"/>
        </w:rPr>
        <w:t>No experimental data were obtained or redistributed. Calibration uses published summary statistics, each listed with its source in Table III. Three categories of number appear in this paper and are kept distinct throughout: values read from published papers, values fitted here by optimisation against those published values, and values assumed. Every assumed value is varied, but not all of them in the same way, and the distinction matters enough to state up front. The assumed constants of the expansion and elimination model are varied simultaneously in the global sensitivity analysis of Section III-M, which recalibrates the rate law inside every sample. The delivery and translation constants, the assumed parental age at onset behind the external regression, and the molecular weight and endosomal escape fraction are varied one at a time in dedicated scans instead, because they do not enter the expansion model and sweeping them jointly with it would add dimensions without adding information. Table III marks which treatment each constant receives.</w:t>
      </w:r>
    </w:p>
    <w:p>
      <w:pPr>
        <w:spacing w:after="40" w:before="120" w:line="240" w:lineRule="auto"/>
        <w:ind w:firstLine="0"/>
        <w:jc w:val="left"/>
      </w:pPr>
      <w:r>
        <w:rPr>
          <w:rFonts w:ascii="Times New Roman" w:hAnsi="Times New Roman" w:cs="Times New Roman"/>
          <w:b w:val="0"/>
          <w:i/>
          <w:caps w:val="0"/>
          <w:sz w:val="20"/>
        </w:rPr>
        <w:t>B.  Layer 1: the expansion rate law</w:t>
      </w:r>
    </w:p>
    <w:p>
      <w:pPr>
        <w:spacing w:after="60" w:before="0" w:line="240" w:lineRule="auto"/>
        <w:ind w:firstLine="288"/>
        <w:jc w:val="both"/>
      </w:pPr>
      <w:r>
        <w:rPr>
          <w:rFonts w:ascii="Times New Roman" w:hAnsi="Times New Roman" w:cs="Times New Roman"/>
          <w:b w:val="0"/>
          <w:i w:val="0"/>
          <w:caps w:val="0"/>
          <w:sz w:val="20"/>
        </w:rPr>
        <w:t xml:space="preserve">The rate at which expansion events occur in one striatal projection neuron carrying a tract of length </w:t>
      </w:r>
      <w:r>
        <w:rPr>
          <w:rFonts w:ascii="Times New Roman" w:hAnsi="Times New Roman" w:cs="Times New Roman"/>
          <w:b w:val="0"/>
          <w:i/>
          <w:caps w:val="0"/>
          <w:sz w:val="20"/>
        </w:rPr>
        <w:t>L</w:t>
      </w:r>
      <w:r>
        <w:rPr>
          <w:rFonts w:ascii="Times New Roman" w:hAnsi="Times New Roman" w:cs="Times New Roman"/>
          <w:b w:val="0"/>
          <w:i w:val="0"/>
          <w:caps w:val="0"/>
          <w:sz w:val="20"/>
        </w:rPr>
        <w:t>, measured in repeats, is written as a product of four factors:</w:t>
      </w:r>
    </w:p>
    <w:p>
      <w:pPr>
        <w:spacing w:after="80" w:before="80" w:line="240" w:lineRule="auto"/>
        <w:ind w:firstLine="0"/>
        <w:jc w:val="center"/>
      </w:pPr>
      <w:r>
        <w:rPr>
          <w:rFonts w:ascii="Times New Roman" w:hAnsi="Times New Roman" w:cs="Times New Roman"/>
          <w:b w:val="0"/>
          <w:i/>
          <w:caps w:val="0"/>
          <w:sz w:val="20"/>
        </w:rPr>
        <w:t>λ(L) = A · n(L) · φ(L) · [ (1 − C(L)) + R · C(L) ] · θ / f</w:t>
      </w:r>
    </w:p>
    <w:p>
      <w:pPr>
        <w:spacing w:after="60" w:before="0" w:line="240" w:lineRule="auto"/>
        <w:ind w:firstLine="288"/>
        <w:jc w:val="both"/>
      </w:pPr>
      <w:r>
        <w:rPr>
          <w:rFonts w:ascii="Times New Roman" w:hAnsi="Times New Roman" w:cs="Times New Roman"/>
          <w:b w:val="0"/>
          <w:i w:val="0"/>
          <w:caps w:val="0"/>
          <w:sz w:val="20"/>
        </w:rPr>
        <w:t>Each factor corresponds to a step in the mechanism described in Section I-C, and each is sourced separately: the footprint from structural work [3], the slip-out equilibrium from polymer thermodynamics, the clustering penalty from the in vitro repair assays [6], and the MSH3 and FAN1 terms from the genetics and the mouse dose-response [4,5].</w:t>
      </w:r>
    </w:p>
    <w:p>
      <w:pPr>
        <w:spacing w:after="60" w:before="0" w:line="240" w:lineRule="auto"/>
        <w:ind w:firstLine="288"/>
        <w:jc w:val="both"/>
      </w:pPr>
      <w:r>
        <w:rPr>
          <w:rFonts w:ascii="Times New Roman" w:hAnsi="Times New Roman" w:cs="Times New Roman"/>
          <w:b w:val="0"/>
          <w:i w:val="0"/>
          <w:caps w:val="0"/>
          <w:sz w:val="20"/>
        </w:rPr>
        <w:t>Combining them as a product is a modelling choice rather than a published result, and it is the one piece of this structure with no direct support. It treats the steps as independent stages of a single pathway, so that the rate of a productive event is the product of the chances of each stage. That is reasonable if the stages really are sequential and non-interacting. It would be wrong if, for example, MutSβ bound at one site altered the slip-out probability at a neighbouring one, which tandem binding [3] makes conceivable. No available dataset separates these possibilities, so the product form is carried as an explicit structural assumption and named as such in the limitations.</w:t>
      </w:r>
    </w:p>
    <w:p>
      <w:pPr>
        <w:spacing w:after="60" w:before="0" w:line="240" w:lineRule="auto"/>
        <w:ind w:firstLine="288"/>
        <w:jc w:val="both"/>
      </w:pPr>
      <w:r>
        <w:rPr>
          <w:rFonts w:ascii="Times New Roman" w:hAnsi="Times New Roman" w:cs="Times New Roman"/>
          <w:b/>
          <w:i w:val="0"/>
          <w:caps w:val="0"/>
          <w:sz w:val="20"/>
        </w:rPr>
        <w:t>Site multiplicity, n(L) = L / w.</w:t>
      </w:r>
      <w:r>
        <w:rPr>
          <w:rFonts w:ascii="Times New Roman" w:hAnsi="Times New Roman" w:cs="Times New Roman"/>
          <w:b w:val="0"/>
          <w:i w:val="0"/>
          <w:caps w:val="0"/>
          <w:sz w:val="20"/>
        </w:rPr>
        <w:t xml:space="preserve"> A single MutSβ molecule occludes about </w:t>
      </w:r>
      <w:r>
        <w:rPr>
          <w:rFonts w:ascii="Times New Roman" w:hAnsi="Times New Roman" w:cs="Times New Roman"/>
          <w:b w:val="0"/>
          <w:i/>
          <w:caps w:val="0"/>
          <w:sz w:val="20"/>
        </w:rPr>
        <w:t>w</w:t>
      </w:r>
      <w:r>
        <w:rPr>
          <w:rFonts w:ascii="Times New Roman" w:hAnsi="Times New Roman" w:cs="Times New Roman"/>
          <w:b w:val="0"/>
          <w:i w:val="0"/>
          <w:caps w:val="0"/>
          <w:sz w:val="20"/>
        </w:rPr>
        <w:t xml:space="preserve"> = 17 repeats at a hairpin stem [3], so a longer tract can carry proportionally more. This is the weakest of the length dependences, growing linearly, and it turns out to contribute very little; it is retained because it is measured rather than assumed.</w:t>
      </w:r>
    </w:p>
    <w:p>
      <w:pPr>
        <w:spacing w:after="60" w:before="0" w:line="240" w:lineRule="auto"/>
        <w:ind w:firstLine="288"/>
        <w:jc w:val="both"/>
      </w:pPr>
      <w:r>
        <w:rPr>
          <w:rFonts w:ascii="Times New Roman" w:hAnsi="Times New Roman" w:cs="Times New Roman"/>
          <w:b/>
          <w:i w:val="0"/>
          <w:caps w:val="0"/>
          <w:sz w:val="20"/>
        </w:rPr>
        <w:t>Slip-out occupancy, φ(L) = 1 / (1 + exp(−β(L − L₅₀))).</w:t>
      </w:r>
      <w:r>
        <w:rPr>
          <w:rFonts w:ascii="Times New Roman" w:hAnsi="Times New Roman" w:cs="Times New Roman"/>
          <w:b w:val="0"/>
          <w:i w:val="0"/>
          <w:caps w:val="0"/>
          <w:sz w:val="20"/>
        </w:rPr>
        <w:t xml:space="preserve"> MutSβ binds a one-unit slip-out, so the substrate must be present before anything can happen. Treating slipped and unslipped registers as a two-state equilibrium whose free-energy difference falls linearly with tract length gives a logistic function of </w:t>
      </w:r>
      <w:r>
        <w:rPr>
          <w:rFonts w:ascii="Times New Roman" w:hAnsi="Times New Roman" w:cs="Times New Roman"/>
          <w:b w:val="0"/>
          <w:i/>
          <w:caps w:val="0"/>
          <w:sz w:val="20"/>
        </w:rPr>
        <w:t>L</w:t>
      </w:r>
      <w:r>
        <w:rPr>
          <w:rFonts w:ascii="Times New Roman" w:hAnsi="Times New Roman" w:cs="Times New Roman"/>
          <w:b w:val="0"/>
          <w:i w:val="0"/>
          <w:caps w:val="0"/>
          <w:sz w:val="20"/>
        </w:rPr>
        <w:t>. The parameter β is α/RT, where α = d(ΔG_slip)/dL per repeat, and L₅₀ is the length at which the slipped state is half-populated. L₅₀ acts only as a ceiling at very long tracts and is fixed at 400 repeats, a value varied in the sensitivity analysis.</w:t>
      </w:r>
    </w:p>
    <w:p>
      <w:pPr>
        <w:spacing w:after="60" w:before="0" w:line="240" w:lineRule="auto"/>
        <w:ind w:firstLine="288"/>
        <w:jc w:val="both"/>
      </w:pPr>
      <w:r>
        <w:rPr>
          <w:rFonts w:ascii="Times New Roman" w:hAnsi="Times New Roman" w:cs="Times New Roman"/>
          <w:b/>
          <w:i w:val="0"/>
          <w:caps w:val="0"/>
          <w:sz w:val="20"/>
        </w:rPr>
        <w:t xml:space="preserve">Clustered-repair failure, (1 − C) + R·C with C(L) = 1 / (1 + exp(−(L − </w:t>
      </w:r>
      <w:r>
        <w:rPr>
          <w:rFonts w:ascii="Times New Roman" w:hAnsi="Times New Roman" w:cs="Times New Roman"/>
          <w:b/>
          <w:i/>
          <w:caps w:val="0"/>
          <w:sz w:val="20"/>
        </w:rPr>
        <w:t>L</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i/>
          <w:caps w:val="0"/>
          <w:sz w:val="20"/>
        </w:rPr>
        <w:t>w</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val="0"/>
          <w:i w:val="0"/>
          <w:caps w:val="0"/>
          <w:sz w:val="20"/>
        </w:rPr>
        <w:t xml:space="preserve"> Isolated slip-outs are repaired efficiently and clustered slip-outs are not [6]. C(L) is the fraction of slip-outs that occur in clusters, modelled as a logistic switch centred on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with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and R is the fold rise in the probability that a slip-out escapes to an expansion event once it is part of a cluster. Setting R = 1 recovers a model with no clustering effect.</w:t>
      </w:r>
    </w:p>
    <w:p>
      <w:pPr>
        <w:spacing w:after="60" w:before="0" w:line="240" w:lineRule="auto"/>
        <w:ind w:firstLine="288"/>
        <w:jc w:val="both"/>
      </w:pPr>
      <w:r>
        <w:rPr>
          <w:rFonts w:ascii="Times New Roman" w:hAnsi="Times New Roman" w:cs="Times New Roman"/>
          <w:b/>
          <w:i w:val="0"/>
          <w:caps w:val="0"/>
          <w:sz w:val="20"/>
        </w:rPr>
        <w:t>Target abundance, θ and f.</w:t>
      </w:r>
      <w:r>
        <w:rPr>
          <w:rFonts w:ascii="Times New Roman" w:hAnsi="Times New Roman" w:cs="Times New Roman"/>
          <w:b w:val="0"/>
          <w:i w:val="0"/>
          <w:caps w:val="0"/>
          <w:sz w:val="20"/>
        </w:rPr>
        <w:t xml:space="preserve"> θ is relative MSH3 protein, entering the expression to the first power for reasons established in Section III-B. The divisor f is relative FAN1 activity, which protects.</w:t>
      </w:r>
    </w:p>
    <w:p>
      <w:pPr>
        <w:spacing w:after="60" w:before="0" w:line="240" w:lineRule="auto"/>
        <w:ind w:firstLine="288"/>
        <w:jc w:val="both"/>
      </w:pPr>
      <w:r>
        <w:rPr>
          <w:rFonts w:ascii="Times New Roman" w:hAnsi="Times New Roman" w:cs="Times New Roman"/>
          <w:b w:val="0"/>
          <w:i w:val="0"/>
          <w:caps w:val="0"/>
          <w:sz w:val="20"/>
        </w:rPr>
        <w:t>Repeats gained per event are drawn from a geometric distribution with mean 4, following the four-repeat insertion recovered in the reconstituted system [5]. The mean is measured; the shape is not, and the choice deserves a word because it is the shape that sets the tail of the terminal length distribution. A geometric law is the memoryless choice on the positive integers, which is what follows if each repeat unit copied during repair synthesis carries the same independent chance of being the last one. That is the weakest assumption available given a single measured mean, and it is deliberately the thin-tailed option: anything heavier, such as a power law, would widen the terminal lengths in Section III-C towards the observed spread, so the narrow tail reported there is a consequence of this conservative choice rather than evidence against the mechanism. Contractions occur at a fixed fraction of the expansion rate with a mean of 2 repeats; both numbers are assumed and both are varied in Section III-M.</w:t>
      </w:r>
    </w:p>
    <w:p>
      <w:pPr>
        <w:spacing w:after="40" w:before="120" w:line="240" w:lineRule="auto"/>
        <w:ind w:firstLine="0"/>
        <w:jc w:val="left"/>
      </w:pPr>
      <w:r>
        <w:rPr>
          <w:rFonts w:ascii="Times New Roman" w:hAnsi="Times New Roman" w:cs="Times New Roman"/>
          <w:b w:val="0"/>
          <w:i/>
          <w:caps w:val="0"/>
          <w:sz w:val="20"/>
        </w:rPr>
        <w:t>C.  Calibration</w:t>
      </w:r>
    </w:p>
    <w:p>
      <w:pPr>
        <w:spacing w:after="60" w:before="0" w:line="240" w:lineRule="auto"/>
        <w:ind w:firstLine="288"/>
        <w:jc w:val="both"/>
      </w:pPr>
      <w:r>
        <w:rPr>
          <w:rFonts w:ascii="Times New Roman" w:hAnsi="Times New Roman" w:cs="Times New Roman"/>
          <w:b w:val="0"/>
          <w:i w:val="0"/>
          <w:caps w:val="0"/>
          <w:sz w:val="20"/>
        </w:rPr>
        <w:t xml:space="preserve">Four parameters, λ(40), β, 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were fitted to four published anchors [1]:</w:t>
      </w:r>
    </w:p>
    <w:p>
      <w:pPr>
        <w:spacing w:after="20" w:before="120" w:line="240" w:lineRule="auto"/>
        <w:ind w:firstLine="0"/>
        <w:jc w:val="center"/>
      </w:pPr>
      <w:r>
        <w:rPr>
          <w:rFonts w:ascii="Times New Roman" w:hAnsi="Times New Roman" w:cs="Times New Roman"/>
          <w:b w:val="0"/>
          <w:i w:val="0"/>
          <w:caps w:val="0"/>
          <w:sz w:val="16"/>
        </w:rPr>
        <w:t>TABLE I</w:t>
      </w:r>
    </w:p>
    <w:p>
      <w:pPr>
        <w:spacing w:after="60" w:before="0" w:line="240" w:lineRule="auto"/>
        <w:ind w:firstLine="0"/>
        <w:jc w:val="center"/>
      </w:pPr>
      <w:r>
        <w:rPr>
          <w:rFonts w:ascii="Times New Roman" w:hAnsi="Times New Roman" w:cs="Times New Roman"/>
          <w:b w:val="0"/>
          <w:i w:val="0"/>
          <w:caps/>
          <w:sz w:val="16"/>
        </w:rPr>
        <w:t>Published kinetic anchors used for calibration.</w:t>
      </w:r>
    </w:p>
    <w:tbl>
      <w:tblPr>
        <w:tblStyle w:val="TableGrid"/>
        <w:tblW w:type="auto" w:w="0"/>
        <w:jc w:val="center"/>
        <w:tblLook w:firstColumn="1" w:firstRow="1" w:lastColumn="0" w:lastRow="0" w:noHBand="0" w:noVBand="1" w:val="04A0"/>
      </w:tblPr>
      <w:tblGrid>
        <w:gridCol w:w="5220"/>
        <w:gridCol w:w="5220"/>
      </w:tblGrid>
      <w:tr>
        <w:tc>
          <w:tcPr>
            <w:tcW w:type="dxa" w:w="5220"/>
          </w:tcPr>
          <w:p>
            <w:pPr>
              <w:spacing w:after="0"/>
            </w:pPr>
            <w:r/>
            <w:r>
              <w:rPr>
                <w:rFonts w:ascii="Times New Roman" w:hAnsi="Times New Roman" w:cs="Times New Roman"/>
                <w:b/>
                <w:i w:val="0"/>
                <w:caps w:val="0"/>
                <w:sz w:val="16"/>
              </w:rPr>
              <w:t>Anchor</w:t>
            </w:r>
          </w:p>
        </w:tc>
        <w:tc>
          <w:tcPr>
            <w:tcW w:type="dxa" w:w="5220"/>
          </w:tcPr>
          <w:p>
            <w:pPr>
              <w:spacing w:after="0"/>
            </w:pPr>
            <w:r/>
            <w:r>
              <w:rPr>
                <w:rFonts w:ascii="Times New Roman" w:hAnsi="Times New Roman" w:cs="Times New Roman"/>
                <w:b/>
                <w:i w:val="0"/>
                <w:caps w:val="0"/>
                <w:sz w:val="16"/>
              </w:rPr>
              <w:t>Published value</w:t>
            </w:r>
          </w:p>
        </w:tc>
      </w:tr>
      <w:tr>
        <w:tc>
          <w:tcPr>
            <w:tcW w:type="dxa" w:w="5220"/>
          </w:tcPr>
          <w:p>
            <w:pPr>
              <w:spacing w:after="0"/>
            </w:pPr>
            <w:r>
              <w:rPr>
                <w:rFonts w:ascii="Times New Roman" w:hAnsi="Times New Roman" w:cs="Times New Roman"/>
                <w:b w:val="0"/>
                <w:i w:val="0"/>
                <w:caps w:val="0"/>
                <w:sz w:val="16"/>
              </w:rPr>
              <w:t>Mean transit time, 40 to 60 repeats</w:t>
            </w:r>
          </w:p>
        </w:tc>
        <w:tc>
          <w:tcPr>
            <w:tcW w:type="dxa" w:w="5220"/>
          </w:tcPr>
          <w:p>
            <w:pPr>
              <w:spacing w:after="0"/>
            </w:pPr>
            <w:r>
              <w:rPr>
                <w:rFonts w:ascii="Times New Roman" w:hAnsi="Times New Roman" w:cs="Times New Roman"/>
                <w:b w:val="0"/>
                <w:i w:val="0"/>
                <w:caps w:val="0"/>
                <w:sz w:val="16"/>
              </w:rPr>
              <w:t>50 years</w:t>
            </w:r>
          </w:p>
        </w:tc>
      </w:tr>
      <w:tr>
        <w:tc>
          <w:tcPr>
            <w:tcW w:type="dxa" w:w="5220"/>
          </w:tcPr>
          <w:p>
            <w:pPr>
              <w:spacing w:after="0"/>
            </w:pPr>
            <w:r>
              <w:rPr>
                <w:rFonts w:ascii="Times New Roman" w:hAnsi="Times New Roman" w:cs="Times New Roman"/>
                <w:b w:val="0"/>
                <w:i w:val="0"/>
                <w:caps w:val="0"/>
                <w:sz w:val="16"/>
              </w:rPr>
              <w:t>Mean transit time, 60 to 80 repeats</w:t>
            </w:r>
          </w:p>
        </w:tc>
        <w:tc>
          <w:tcPr>
            <w:tcW w:type="dxa" w:w="5220"/>
          </w:tcPr>
          <w:p>
            <w:pPr>
              <w:spacing w:after="0"/>
            </w:pPr>
            <w:r>
              <w:rPr>
                <w:rFonts w:ascii="Times New Roman" w:hAnsi="Times New Roman" w:cs="Times New Roman"/>
                <w:b w:val="0"/>
                <w:i w:val="0"/>
                <w:caps w:val="0"/>
                <w:sz w:val="16"/>
              </w:rPr>
              <w:t>12 years</w:t>
            </w:r>
          </w:p>
        </w:tc>
      </w:tr>
      <w:tr>
        <w:tc>
          <w:tcPr>
            <w:tcW w:type="dxa" w:w="5220"/>
          </w:tcPr>
          <w:p>
            <w:pPr>
              <w:spacing w:after="0"/>
            </w:pPr>
            <w:r>
              <w:rPr>
                <w:rFonts w:ascii="Times New Roman" w:hAnsi="Times New Roman" w:cs="Times New Roman"/>
                <w:b w:val="0"/>
                <w:i w:val="0"/>
                <w:caps w:val="0"/>
                <w:sz w:val="16"/>
              </w:rPr>
              <w:t>Mean transit time, 80 to 150 repeats</w:t>
            </w:r>
          </w:p>
        </w:tc>
        <w:tc>
          <w:tcPr>
            <w:tcW w:type="dxa" w:w="5220"/>
          </w:tcPr>
          <w:p>
            <w:pPr>
              <w:spacing w:after="0"/>
            </w:pPr>
            <w:r>
              <w:rPr>
                <w:rFonts w:ascii="Times New Roman" w:hAnsi="Times New Roman" w:cs="Times New Roman"/>
                <w:b w:val="0"/>
                <w:i w:val="0"/>
                <w:caps w:val="0"/>
                <w:sz w:val="16"/>
              </w:rPr>
              <w:t>about 4 years</w:t>
            </w:r>
          </w:p>
        </w:tc>
      </w:tr>
      <w:tr>
        <w:tc>
          <w:tcPr>
            <w:tcW w:type="dxa" w:w="5220"/>
          </w:tcPr>
          <w:p>
            <w:pPr>
              <w:spacing w:after="0"/>
            </w:pPr>
            <w:r>
              <w:rPr>
                <w:rFonts w:ascii="Times New Roman" w:hAnsi="Times New Roman" w:cs="Times New Roman"/>
                <w:b w:val="0"/>
                <w:i w:val="0"/>
                <w:caps w:val="0"/>
                <w:sz w:val="16"/>
              </w:rPr>
              <w:t>Rise in mutation rate across 70 to 90 repeats</w:t>
            </w:r>
          </w:p>
        </w:tc>
        <w:tc>
          <w:tcPr>
            <w:tcW w:type="dxa" w:w="5220"/>
          </w:tcPr>
          <w:p>
            <w:pPr>
              <w:spacing w:after="0"/>
            </w:pPr>
            <w:r>
              <w:rPr>
                <w:rFonts w:ascii="Times New Roman" w:hAnsi="Times New Roman" w:cs="Times New Roman"/>
                <w:b w:val="0"/>
                <w:i w:val="0"/>
                <w:caps w:val="0"/>
                <w:sz w:val="16"/>
              </w:rPr>
              <w:t>at least 6-fold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fourth is published as a lower bound and was used as an equality target, so the fitted model sits at the slowest acceleration consistent with the report. Transit times were computed from the mean-field integral T = ∫ dL / (s(L)·λ(L)), which follows the mean trajectory. The published anchors are mean first-passage times of a jump process, and for a nonlinear λ those are not the same quantity; the integral also ignores contractions, which the simulated process does not. The two estimators were therefore compared directly rather than assumed to agree, and they do not agree: the stochastic process is slower than the integral by 21 to 50% on the three legs (</w:t>
      </w:r>
      <w:r>
        <w:rPr>
          <w:rFonts w:ascii="Consolas" w:hAnsi="Consolas" w:cs="Consolas"/>
          <w:b w:val="0"/>
          <w:i w:val="0"/>
          <w:caps w:val="0"/>
          <w:sz w:val="20"/>
        </w:rPr>
        <w:t>results/transit_time_check.csv</w:t>
      </w:r>
      <w:r>
        <w:rPr>
          <w:rFonts w:ascii="Times New Roman" w:hAnsi="Times New Roman" w:cs="Times New Roman"/>
          <w:b w:val="0"/>
          <w:i w:val="0"/>
          <w:caps w:val="0"/>
          <w:sz w:val="20"/>
        </w:rPr>
        <w:t>). Section III-E refits all four parameters against stochastic first-passage times instead and reports what changes. The mean-field fit is kept as the primary parameterisation because it reproduces the anchors exactly as published, but which estimator the source intended is not recoverable from its text, so the alternative is carried alongside rather than hidden. Residuals were taken in log space so that all four anchors carry equal weight, and minimised by multi-start trust-region least squares from 54 starting points. The fit is exact, with a residual cost of about 6 × 10⁻³³.</w:t>
      </w:r>
    </w:p>
    <w:p>
      <w:pPr>
        <w:spacing w:after="60" w:before="0" w:line="240" w:lineRule="auto"/>
        <w:ind w:firstLine="288"/>
        <w:jc w:val="both"/>
      </w:pPr>
      <w:r>
        <w:rPr>
          <w:rFonts w:ascii="Times New Roman" w:hAnsi="Times New Roman" w:cs="Times New Roman"/>
          <w:b w:val="0"/>
          <w:i w:val="0"/>
          <w:caps w:val="0"/>
          <w:sz w:val="20"/>
        </w:rPr>
        <w:t>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III-K.</w:t>
      </w:r>
    </w:p>
    <w:p>
      <w:pPr>
        <w:spacing w:after="40" w:before="120" w:line="240" w:lineRule="auto"/>
        <w:ind w:firstLine="0"/>
        <w:jc w:val="left"/>
      </w:pPr>
      <w:r>
        <w:rPr>
          <w:rFonts w:ascii="Times New Roman" w:hAnsi="Times New Roman" w:cs="Times New Roman"/>
          <w:b w:val="0"/>
          <w:i/>
          <w:caps w:val="0"/>
          <w:sz w:val="20"/>
        </w:rPr>
        <w:t>D.  Feasible parameter ranges</w:t>
      </w:r>
    </w:p>
    <w:p>
      <w:pPr>
        <w:spacing w:after="60" w:before="0" w:line="240" w:lineRule="auto"/>
        <w:ind w:firstLine="288"/>
        <w:jc w:val="both"/>
      </w:pPr>
      <w:r>
        <w:rPr>
          <w:rFonts w:ascii="Times New Roman" w:hAnsi="Times New Roman" w:cs="Times New Roman"/>
          <w:b w:val="0"/>
          <w:i w:val="0"/>
          <w:caps w:val="0"/>
          <w:sz w:val="20"/>
        </w:rPr>
        <w:t>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spacing w:after="60" w:before="0" w:line="240" w:lineRule="auto"/>
        <w:ind w:firstLine="288"/>
        <w:jc w:val="both"/>
      </w:pPr>
      <w:r>
        <w:rPr>
          <w:rFonts w:ascii="Times New Roman" w:hAnsi="Times New Roman" w:cs="Times New Roman"/>
          <w:b w:val="0"/>
          <w:i w:val="0"/>
          <w:caps w:val="0"/>
          <w:sz w:val="20"/>
        </w:rPr>
        <w:t>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p>
      <w:pPr>
        <w:spacing w:after="40" w:before="120" w:line="240" w:lineRule="auto"/>
        <w:ind w:firstLine="0"/>
        <w:jc w:val="left"/>
      </w:pPr>
      <w:r>
        <w:rPr>
          <w:rFonts w:ascii="Times New Roman" w:hAnsi="Times New Roman" w:cs="Times New Roman"/>
          <w:b w:val="0"/>
          <w:i/>
          <w:caps w:val="0"/>
          <w:sz w:val="20"/>
        </w:rPr>
        <w:t>E.  Layer 2: stochastic simulation of neuron populations</w:t>
      </w:r>
    </w:p>
    <w:p>
      <w:pPr>
        <w:spacing w:after="60" w:before="0" w:line="240" w:lineRule="auto"/>
        <w:ind w:firstLine="288"/>
        <w:jc w:val="both"/>
      </w:pPr>
      <w:r>
        <w:rPr>
          <w:rFonts w:ascii="Times New Roman" w:hAnsi="Times New Roman" w:cs="Times New Roman"/>
          <w:b w:val="0"/>
          <w:i w:val="0"/>
          <w:caps w:val="0"/>
          <w:sz w:val="20"/>
        </w:rPr>
        <w:t xml:space="preserve">Single neurons were simulated by an exact Gillespie algorithm over three events: expansion, contraction and elimination. The elimination hazard is zero below the 150-repeat threshold and rises logistically in </w:t>
      </w:r>
      <w:r>
        <w:rPr>
          <w:rFonts w:ascii="Times New Roman" w:hAnsi="Times New Roman" w:cs="Times New Roman"/>
          <w:b w:val="0"/>
          <w:i/>
          <w:caps w:val="0"/>
          <w:sz w:val="20"/>
        </w:rPr>
        <w:t>L</w:t>
      </w:r>
      <w:r>
        <w:rPr>
          <w:rFonts w:ascii="Times New Roman" w:hAnsi="Times New Roman" w:cs="Times New Roman"/>
          <w:b w:val="0"/>
          <w:i w:val="0"/>
          <w:caps w:val="0"/>
          <w:sz w:val="20"/>
        </w:rPr>
        <w:t xml:space="preserve"> above it. It is written this way so that the short terminal decline is an emergent consequence of how fast the tract grows at long lengths rather than something imposed by hand.</w:t>
      </w:r>
    </w:p>
    <w:p>
      <w:pPr>
        <w:spacing w:after="60" w:before="0" w:line="240" w:lineRule="auto"/>
        <w:ind w:firstLine="288"/>
        <w:jc w:val="both"/>
      </w:pPr>
      <w:r>
        <w:rPr>
          <w:rFonts w:ascii="Times New Roman" w:hAnsi="Times New Roman" w:cs="Times New Roman"/>
          <w:b w:val="0"/>
          <w:i w:val="0"/>
          <w:caps w:val="0"/>
          <w:sz w:val="20"/>
        </w:rPr>
        <w:t>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spacing w:after="60" w:before="0" w:line="240" w:lineRule="auto"/>
        <w:ind w:firstLine="288"/>
        <w:jc w:val="both"/>
      </w:pPr>
      <w:r>
        <w:rPr>
          <w:rFonts w:ascii="Times New Roman" w:hAnsi="Times New Roman" w:cs="Times New Roman"/>
          <w:b w:val="0"/>
          <w:i w:val="0"/>
          <w:caps w:val="0"/>
          <w:sz w:val="20"/>
        </w:rPr>
        <w:t>Agreement between the two solvers was checked at three step sizes and two inherited lengths. The largest absolute difference between survival curves was 0.013 to 0.034, and ages at 50% loss agreed to within 1.1 years (</w:t>
      </w:r>
      <w:r>
        <w:rPr>
          <w:rFonts w:ascii="Consolas" w:hAnsi="Consolas" w:cs="Consolas"/>
          <w:b w:val="0"/>
          <w:i w:val="0"/>
          <w:caps w:val="0"/>
          <w:sz w:val="20"/>
        </w:rPr>
        <w:t>results/solver_agreement.csv</w:t>
      </w:r>
      <w:r>
        <w:rPr>
          <w:rFonts w:ascii="Times New Roman" w:hAnsi="Times New Roman" w:cs="Times New Roman"/>
          <w:b w:val="0"/>
          <w:i w:val="0"/>
          <w:caps w:val="0"/>
          <w:sz w:val="20"/>
        </w:rPr>
        <w:t>). That comparison has a resolution limit which should be stated, because it is easy to over-read. Both solvers are stochastic and each run used 4,000 cells, so the difference between them contains sampling scatter as well as discretisation error. Comparing two exact runs that differ only in their random seed gives a noise floor of 0.012 to 0.024 on the same quantity, which is the same size as the differences actually observed, and the observed differences stop falling as the step is halved from 1/12 to 1/48 of a year. The honest reading is that tau-leaping introduces no bias larger than about two to three percentage points of survival, and that the test cannot resolve anything smaller.</w:t>
      </w:r>
    </w:p>
    <w:p>
      <w:pPr>
        <w:spacing w:after="60" w:before="0" w:line="240" w:lineRule="auto"/>
        <w:ind w:firstLine="288"/>
        <w:jc w:val="both"/>
      </w:pPr>
      <w:r>
        <w:rPr>
          <w:rFonts w:ascii="Times New Roman" w:hAnsi="Times New Roman" w:cs="Times New Roman"/>
          <w:b w:val="0"/>
          <w:i w:val="0"/>
          <w:caps w:val="0"/>
          <w:sz w:val="20"/>
        </w:rPr>
        <w:t xml:space="preserve">The tau-leaping solver also carries an optional non-cell-autonomous term, multiplying every surviving neuron's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is the fraction of the population already eliminated. Setting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to zero recovers the purely cell-autonomous model.</w:t>
      </w:r>
    </w:p>
    <w:p>
      <w:pPr>
        <w:spacing w:after="40" w:before="120" w:line="240" w:lineRule="auto"/>
        <w:ind w:firstLine="0"/>
        <w:jc w:val="left"/>
      </w:pPr>
      <w:r>
        <w:rPr>
          <w:rFonts w:ascii="Times New Roman" w:hAnsi="Times New Roman" w:cs="Times New Roman"/>
          <w:b w:val="0"/>
          <w:i/>
          <w:caps w:val="0"/>
          <w:sz w:val="20"/>
        </w:rPr>
        <w:t>F.  Layer 3: from MSH3 protein to expansion rate</w:t>
      </w:r>
    </w:p>
    <w:p>
      <w:pPr>
        <w:spacing w:after="60" w:before="0" w:line="240" w:lineRule="auto"/>
        <w:ind w:firstLine="288"/>
        <w:jc w:val="both"/>
      </w:pPr>
      <w:r>
        <w:rPr>
          <w:rFonts w:ascii="Times New Roman" w:hAnsi="Times New Roman" w:cs="Times New Roman"/>
          <w:b w:val="0"/>
          <w:i w:val="0"/>
          <w:caps w:val="0"/>
          <w:sz w:val="20"/>
        </w:rPr>
        <w:t xml:space="preserve">Because MutSβ engagement enters λ as a product, a treatment that leaves a fraction </w:t>
      </w:r>
      <w:r>
        <w:rPr>
          <w:rFonts w:ascii="Times New Roman" w:hAnsi="Times New Roman" w:cs="Times New Roman"/>
          <w:b w:val="0"/>
          <w:i/>
          <w:caps w:val="0"/>
          <w:sz w:val="20"/>
        </w:rPr>
        <w:t>m</w:t>
      </w:r>
      <w:r>
        <w:rPr>
          <w:rFonts w:ascii="Times New Roman" w:hAnsi="Times New Roman" w:cs="Times New Roman"/>
          <w:b w:val="0"/>
          <w:i w:val="0"/>
          <w:caps w:val="0"/>
          <w:sz w:val="20"/>
        </w:rPr>
        <w:t xml:space="preserve"> of MSH3 protein multiplies λ by </w:t>
      </w:r>
      <w:r>
        <w:rPr>
          <w:rFonts w:ascii="Times New Roman" w:hAnsi="Times New Roman" w:cs="Times New Roman"/>
          <w:b w:val="0"/>
          <w:i/>
          <w:caps w:val="0"/>
          <w:sz w:val="20"/>
        </w:rPr>
        <w:t>m</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is the number of MutSβ molecules in the productive species. That makes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measurable from a dose-response curve: a first-order species predicts proportional suppression, a tandem trimer predicts cubic suppression.</w:t>
      </w:r>
    </w:p>
    <w:p>
      <w:pPr>
        <w:spacing w:after="60" w:before="0" w:line="240" w:lineRule="auto"/>
        <w:ind w:firstLine="288"/>
        <w:jc w:val="both"/>
      </w:pPr>
      <w:r>
        <w:rPr>
          <w:rFonts w:ascii="Times New Roman" w:hAnsi="Times New Roman" w:cs="Times New Roman"/>
          <w:b w:val="0"/>
          <w:i w:val="0"/>
          <w:caps w:val="0"/>
          <w:sz w:val="20"/>
        </w:rPr>
        <w:t xml:space="preserve">The evidence was weighed in order of strength. The primary comparison is against the two individually measured doses, at 59% and 25% residual MSH3, since those are the only points where a measurement exists. As a secondary check, k = 1, 1.5, 2 and 3 were also scored by root-mean-square error against the published regression line [4] over the full range of MSH3 levels. That second test is weaker than its numbers suggest and the reason is worth stating plainly: the comparator is a straight line through two points, only one of the candidate orders is itself a straight line in </w:t>
      </w:r>
      <w:r>
        <w:rPr>
          <w:rFonts w:ascii="Times New Roman" w:hAnsi="Times New Roman" w:cs="Times New Roman"/>
          <w:b w:val="0"/>
          <w:i/>
          <w:caps w:val="0"/>
          <w:sz w:val="20"/>
        </w:rPr>
        <w:t>m</w:t>
      </w:r>
      <w:r>
        <w:rPr>
          <w:rFonts w:ascii="Times New Roman" w:hAnsi="Times New Roman" w:cs="Times New Roman"/>
          <w:b w:val="0"/>
          <w:i w:val="0"/>
          <w:caps w:val="0"/>
          <w:sz w:val="20"/>
        </w:rPr>
        <w:t>, and nineteen of the twenty-one comparison points are regression values at MSH3 levels where nothing was measured. A test that asks which curve is most like a line, and offers exactly one line, will return that line. The spread of the resulting errors is therefore reported as corroboration rather than as the measurement, and the conclusion drawn from it is correspondingly narrow.</w:t>
      </w:r>
    </w:p>
    <w:p>
      <w:pPr>
        <w:spacing w:after="40" w:before="120" w:line="240" w:lineRule="auto"/>
        <w:ind w:firstLine="0"/>
        <w:jc w:val="left"/>
      </w:pPr>
      <w:r>
        <w:rPr>
          <w:rFonts w:ascii="Times New Roman" w:hAnsi="Times New Roman" w:cs="Times New Roman"/>
          <w:b w:val="0"/>
          <w:i/>
          <w:caps w:val="0"/>
          <w:sz w:val="20"/>
        </w:rPr>
        <w:t>G.  Direct and indirect pathway neurons</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be depleted relative to controls, where they make up 47% (SD 6) of projection neurons [1]. Neither figure was used in calibration.</w:t>
      </w:r>
    </w:p>
    <w:p>
      <w:pPr>
        <w:spacing w:after="60" w:before="0" w:line="240" w:lineRule="auto"/>
        <w:ind w:firstLine="288"/>
        <w:jc w:val="both"/>
      </w:pPr>
      <w:r>
        <w:rPr>
          <w:rFonts w:ascii="Times New Roman" w:hAnsi="Times New Roman" w:cs="Times New Roman"/>
          <w:b w:val="0"/>
          <w:i w:val="0"/>
          <w:caps w:val="0"/>
          <w:sz w:val="20"/>
        </w:rPr>
        <w:t xml:space="preserve">Two populations were simulated with rate multipliers of 1.00 and 1.15, combined in the control proportion, and the indirect-pathway share of surviving neurons was tracked against age and against overall neuron loss. One substitution is involved and is not neutral. The published 15% is a difference in a measured somatic expansion index, a summary of observed tract-length distributions, whereas it is applied here as a uniform multiplier on the rate constant A at every tract length. Those coincide only if the subtype difference is length-independent. If instead the difference arises at the clustered-repair step, it would act more like a shift in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and the depletion would be larger at late stages than the figures below suggest. Nothing in the available data distinguishes the two, so the uniform multiplier is used as the simpler and more conservative of them. The rate ratio was then scanned from 1.00 to 2.00 to establish how large a difference would be needed to produce a given depletion.</w:t>
      </w:r>
    </w:p>
    <w:p>
      <w:pPr>
        <w:spacing w:after="40" w:before="120" w:line="240" w:lineRule="auto"/>
        <w:ind w:firstLine="0"/>
        <w:jc w:val="left"/>
      </w:pPr>
      <w:r>
        <w:rPr>
          <w:rFonts w:ascii="Times New Roman" w:hAnsi="Times New Roman" w:cs="Times New Roman"/>
          <w:b w:val="0"/>
          <w:i/>
          <w:caps w:val="0"/>
          <w:sz w:val="20"/>
        </w:rPr>
        <w:t>H.  Genetic modifiers as parameter perturbations</w:t>
      </w:r>
    </w:p>
    <w:p>
      <w:pPr>
        <w:spacing w:after="60" w:before="0" w:line="240" w:lineRule="auto"/>
        <w:ind w:firstLine="288"/>
        <w:jc w:val="both"/>
      </w:pPr>
      <w:r>
        <w:rPr>
          <w:rFonts w:ascii="Times New Roman" w:hAnsi="Times New Roman" w:cs="Times New Roman"/>
          <w:b w:val="0"/>
          <w:i w:val="0"/>
          <w:caps w:val="0"/>
          <w:sz w:val="20"/>
        </w:rPr>
        <w:t>Each known class of modifier maps onto a parameter of the rate law, which turns a genotype into a predicted shift in onset: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w:t>
      </w:r>
    </w:p>
    <w:p>
      <w:pPr>
        <w:spacing w:after="60" w:before="0" w:line="240" w:lineRule="auto"/>
        <w:ind w:firstLine="0"/>
        <w:jc w:val="center"/>
      </w:pPr>
      <w:r>
        <w:rPr>
          <w:rFonts w:ascii="Times New Roman" w:hAnsi="Times New Roman" w:cs="Times New Roman"/>
          <w:b w:val="0"/>
          <w:i w:val="0"/>
          <w:caps/>
          <w:sz w:val="16"/>
        </w:rPr>
        <w:t>Mapping of known genetic modifiers onto parameters of the fitted rate law.</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Modifier</w:t>
            </w:r>
          </w:p>
        </w:tc>
        <w:tc>
          <w:tcPr>
            <w:tcW w:type="dxa" w:w="3480"/>
          </w:tcPr>
          <w:p>
            <w:pPr>
              <w:spacing w:after="0"/>
            </w:pPr>
            <w:r/>
            <w:r>
              <w:rPr>
                <w:rFonts w:ascii="Times New Roman" w:hAnsi="Times New Roman" w:cs="Times New Roman"/>
                <w:b/>
                <w:i w:val="0"/>
                <w:caps w:val="0"/>
                <w:sz w:val="16"/>
              </w:rPr>
              <w:t>Parameter</w:t>
            </w:r>
          </w:p>
        </w:tc>
        <w:tc>
          <w:tcPr>
            <w:tcW w:type="dxa" w:w="3480"/>
          </w:tcPr>
          <w:p>
            <w:pPr>
              <w:spacing w:after="0"/>
            </w:pPr>
            <w:r/>
            <w:r>
              <w:rPr>
                <w:rFonts w:ascii="Times New Roman" w:hAnsi="Times New Roman" w:cs="Times New Roman"/>
                <w:b/>
                <w:i w:val="0"/>
                <w:caps w:val="0"/>
                <w:sz w:val="16"/>
              </w:rPr>
              <w:t>Direction</w:t>
            </w:r>
          </w:p>
        </w:tc>
      </w:tr>
      <w:tr>
        <w:tc>
          <w:tcPr>
            <w:tcW w:type="dxa" w:w="3480"/>
          </w:tcPr>
          <w:p>
            <w:pPr>
              <w:spacing w:after="0"/>
            </w:pPr>
            <w:r>
              <w:rPr>
                <w:rFonts w:ascii="Times New Roman" w:hAnsi="Times New Roman" w:cs="Times New Roman"/>
                <w:b w:val="0"/>
                <w:i/>
                <w:caps w:val="0"/>
                <w:sz w:val="16"/>
              </w:rPr>
              <w:t>MSH3</w:t>
            </w:r>
            <w:r>
              <w:rPr>
                <w:rFonts w:ascii="Times New Roman" w:hAnsi="Times New Roman" w:cs="Times New Roman"/>
                <w:b w:val="0"/>
                <w:i w:val="0"/>
                <w:caps w:val="0"/>
                <w:sz w:val="16"/>
              </w:rPr>
              <w:t xml:space="preserve"> expression</w:t>
            </w:r>
          </w:p>
        </w:tc>
        <w:tc>
          <w:tcPr>
            <w:tcW w:type="dxa" w:w="3480"/>
          </w:tcPr>
          <w:p>
            <w:pPr>
              <w:spacing w:after="0"/>
            </w:pPr>
            <w:r>
              <w:rPr>
                <w:rFonts w:ascii="Times New Roman" w:hAnsi="Times New Roman" w:cs="Times New Roman"/>
                <w:b w:val="0"/>
                <w:i w:val="0"/>
                <w:caps w:val="0"/>
                <w:sz w:val="16"/>
              </w:rPr>
              <w:t>θ</w:t>
            </w:r>
          </w:p>
        </w:tc>
        <w:tc>
          <w:tcPr>
            <w:tcW w:type="dxa" w:w="3480"/>
          </w:tcPr>
          <w:p>
            <w:pPr>
              <w:spacing w:after="0"/>
            </w:pPr>
            <w:r>
              <w:rPr>
                <w:rFonts w:ascii="Times New Roman" w:hAnsi="Times New Roman" w:cs="Times New Roman"/>
                <w:b w:val="0"/>
                <w:i w:val="0"/>
                <w:caps w:val="0"/>
                <w:sz w:val="16"/>
              </w:rPr>
              <w:t>more MSH3 is faster</w:t>
            </w:r>
          </w:p>
        </w:tc>
      </w:tr>
      <w:tr>
        <w:tc>
          <w:tcPr>
            <w:tcW w:type="dxa" w:w="3480"/>
          </w:tcPr>
          <w:p>
            <w:pPr>
              <w:spacing w:after="0"/>
            </w:pPr>
            <w:r>
              <w:rPr>
                <w:rFonts w:ascii="Times New Roman" w:hAnsi="Times New Roman" w:cs="Times New Roman"/>
                <w:b w:val="0"/>
                <w:i/>
                <w:caps w:val="0"/>
                <w:sz w:val="16"/>
              </w:rPr>
              <w:t>FAN1</w:t>
            </w:r>
            <w:r>
              <w:rPr>
                <w:rFonts w:ascii="Times New Roman" w:hAnsi="Times New Roman" w:cs="Times New Roman"/>
                <w:b w:val="0"/>
                <w:i w:val="0"/>
                <w:caps w:val="0"/>
                <w:sz w:val="16"/>
              </w:rPr>
              <w:t xml:space="preserve"> activity</w:t>
            </w:r>
          </w:p>
        </w:tc>
        <w:tc>
          <w:tcPr>
            <w:tcW w:type="dxa" w:w="3480"/>
          </w:tcPr>
          <w:p>
            <w:pPr>
              <w:spacing w:after="0"/>
            </w:pPr>
            <w:r>
              <w:rPr>
                <w:rFonts w:ascii="Times New Roman" w:hAnsi="Times New Roman" w:cs="Times New Roman"/>
                <w:b w:val="0"/>
                <w:i w:val="0"/>
                <w:caps w:val="0"/>
                <w:sz w:val="16"/>
              </w:rPr>
              <w:t>f</w:t>
            </w:r>
          </w:p>
        </w:tc>
        <w:tc>
          <w:tcPr>
            <w:tcW w:type="dxa" w:w="3480"/>
          </w:tcPr>
          <w:p>
            <w:pPr>
              <w:spacing w:after="0"/>
            </w:pPr>
            <w:r>
              <w:rPr>
                <w:rFonts w:ascii="Times New Roman" w:hAnsi="Times New Roman" w:cs="Times New Roman"/>
                <w:b w:val="0"/>
                <w:i w:val="0"/>
                <w:caps w:val="0"/>
                <w:sz w:val="16"/>
              </w:rPr>
              <w:t>more FAN1 is slower</w:t>
            </w:r>
          </w:p>
        </w:tc>
      </w:tr>
      <w:tr>
        <w:tc>
          <w:tcPr>
            <w:tcW w:type="dxa" w:w="3480"/>
          </w:tcPr>
          <w:p>
            <w:pPr>
              <w:spacing w:after="0"/>
            </w:pPr>
            <w:r>
              <w:rPr>
                <w:rFonts w:ascii="Times New Roman" w:hAnsi="Times New Roman" w:cs="Times New Roman"/>
                <w:b w:val="0"/>
                <w:i w:val="0"/>
                <w:caps w:val="0"/>
                <w:sz w:val="16"/>
              </w:rPr>
              <w:t>Loss of a CAA interruption</w:t>
            </w:r>
          </w:p>
        </w:tc>
        <w:tc>
          <w:tcPr>
            <w:tcW w:type="dxa" w:w="348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3480"/>
          </w:tcPr>
          <w:p>
            <w:pPr>
              <w:spacing w:after="0"/>
            </w:pPr>
            <w:r>
              <w:rPr>
                <w:rFonts w:ascii="Times New Roman" w:hAnsi="Times New Roman" w:cs="Times New Roman"/>
                <w:b w:val="0"/>
                <w:i w:val="0"/>
                <w:caps w:val="0"/>
                <w:sz w:val="16"/>
              </w:rPr>
              <w:t xml:space="preserve">an uninterrupted tract reaches the clustered regime at shorter total length, so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falls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Each was scanned around its baseline and the shift in age at 25% neuron loss recorded for a 42-repeat carrier. These are predictions: no modifier effect size entered the calibration.</w:t>
      </w:r>
    </w:p>
    <w:p>
      <w:pPr>
        <w:spacing w:after="40" w:before="120" w:line="240" w:lineRule="auto"/>
        <w:ind w:firstLine="0"/>
        <w:jc w:val="left"/>
      </w:pPr>
      <w:r>
        <w:rPr>
          <w:rFonts w:ascii="Times New Roman" w:hAnsi="Times New Roman" w:cs="Times New Roman"/>
          <w:b w:val="0"/>
          <w:i/>
          <w:caps w:val="0"/>
          <w:sz w:val="20"/>
        </w:rPr>
        <w:t>I.  Delivery module</w:t>
      </w:r>
    </w:p>
    <w:p>
      <w:pPr>
        <w:spacing w:after="60" w:before="0" w:line="240" w:lineRule="auto"/>
        <w:ind w:firstLine="288"/>
        <w:jc w:val="both"/>
      </w:pPr>
      <w:r>
        <w:rPr>
          <w:rFonts w:ascii="Times New Roman" w:hAnsi="Times New Roman" w:cs="Times New Roman"/>
          <w:b/>
          <w:i w:val="0"/>
          <w:caps w:val="0"/>
          <w:sz w:val="20"/>
        </w:rPr>
        <w:t>Exposure to response.</w:t>
      </w:r>
      <w:r>
        <w:rPr>
          <w:rFonts w:ascii="Times New Roman" w:hAnsi="Times New Roman" w:cs="Times New Roman"/>
          <w:b w:val="0"/>
          <w:i w:val="0"/>
          <w:caps w:val="0"/>
          <w:sz w:val="20"/>
        </w:rPr>
        <w:t xml:space="preserve"> An Emax curve, MSH3(%) = 100/(1 + (x/EC₅₀)^h), was fitted to the two published mouse intracerebroventricular doses expressed per gram of brain, giving EC₅₀ = 10.1 nmol g⁻¹ and h = 1.22. Inverting it converts a target knockdown into a required tissue exposure.</w:t>
      </w:r>
    </w:p>
    <w:p>
      <w:pPr>
        <w:spacing w:after="60" w:before="0" w:line="240" w:lineRule="auto"/>
        <w:ind w:firstLine="288"/>
        <w:jc w:val="both"/>
      </w:pPr>
      <w:r>
        <w:rPr>
          <w:rFonts w:ascii="Times New Roman" w:hAnsi="Times New Roman" w:cs="Times New Roman"/>
          <w:b w:val="0"/>
          <w:i w:val="0"/>
          <w:caps w:val="0"/>
          <w:sz w:val="20"/>
        </w:rPr>
        <w:t xml:space="preserve">Two features of that curve limit what can be claimed from it, and since everything in the delivery and dosing analysis passes through it they are stated here rather than buried. First, two free parameters fitted to two points is an exact interpolation with zero degrees of freedom: the curve passes through both measurements by construction, </w:t>
      </w:r>
      <w:r>
        <w:rPr>
          <w:rFonts w:ascii="Consolas" w:hAnsi="Consolas" w:cs="Consolas"/>
          <w:b w:val="0"/>
          <w:i w:val="0"/>
          <w:caps w:val="0"/>
          <w:sz w:val="20"/>
        </w:rPr>
        <w:t>results/emax_fit.csv</w:t>
      </w:r>
      <w:r>
        <w:rPr>
          <w:rFonts w:ascii="Times New Roman" w:hAnsi="Times New Roman" w:cs="Times New Roman"/>
          <w:b w:val="0"/>
          <w:i w:val="0"/>
          <w:caps w:val="0"/>
          <w:sz w:val="20"/>
        </w:rPr>
        <w:t xml:space="preserve"> shows the fitted values equal to the measured ones to the decimal, and the residual carries no information. The Hill coefficient of 1.22 is therefore not an estimate of cooperativity, it is whatever value threads the curve through both points, and its closeness to one should not be read as evidence of anything. Second, the two points span 7.5 to 25 nmol g⁻¹, and the curve is used outside that span: at 4.1 nmol g⁻¹ for putaminal bulk tissue, at 61.8 nmol g⁻¹ for the 90% knockdown target, and at steady-state peaks up to 388 nmol g⁻¹ in the dosing analysis, fifteen times the highest calibration point. The calibrated interval is marked on Fig. 9A so that every exposure quoted later can be read against it, and the quantitative claims outside it should be treated as the shape of the curve carried forward, not as a measurement.</w:t>
      </w:r>
    </w:p>
    <w:p>
      <w:pPr>
        <w:spacing w:after="60" w:before="0" w:line="240" w:lineRule="auto"/>
        <w:ind w:firstLine="288"/>
        <w:jc w:val="both"/>
      </w:pPr>
      <w:r>
        <w:rPr>
          <w:rFonts w:ascii="Times New Roman" w:hAnsi="Times New Roman" w:cs="Times New Roman"/>
          <w:b/>
          <w:i w:val="0"/>
          <w:caps w:val="0"/>
          <w:sz w:val="20"/>
        </w:rPr>
        <w:t>Route A, CSF administration.</w:t>
      </w:r>
      <w:r>
        <w:rPr>
          <w:rFonts w:ascii="Times New Roman" w:hAnsi="Times New Roman" w:cs="Times New Roman"/>
          <w:b w:val="0"/>
          <w:i w:val="0"/>
          <w:caps w:val="0"/>
          <w:sz w:val="20"/>
        </w:rPr>
        <w:t xml:space="preserve"> Rather than invent a CSF transport model with parameters that cannot be checked, measured primate target engagement was used directly [7] and converted through the Emax curve into an implied striatal exposure. This step carries the single largest substitution in the paper and it is made explicit here. The primate study did not measure MSH3. Its oligonucleotide targeted </w:t>
      </w:r>
      <w:r>
        <w:rPr>
          <w:rFonts w:ascii="Times New Roman" w:hAnsi="Times New Roman" w:cs="Times New Roman"/>
          <w:b w:val="0"/>
          <w:i/>
          <w:caps w:val="0"/>
          <w:sz w:val="20"/>
        </w:rPr>
        <w:t>Malat1</w:t>
      </w:r>
      <w:r>
        <w:rPr>
          <w:rFonts w:ascii="Times New Roman" w:hAnsi="Times New Roman" w:cs="Times New Roman"/>
          <w:b w:val="0"/>
          <w:i w:val="0"/>
          <w:caps w:val="0"/>
          <w:sz w:val="20"/>
        </w:rPr>
        <w:t>, a nuclear long non-coding RNA used as a reporter of where an intrathecally delivered gapmer is active, and the readout was residual target RNA by single-nucleus sequencing and quantitative PCR. The figures are therefore used as a property of the route and the cell type rather than as an MSH3 measurement: what they establish is how much knockdown of its own target a stabilised oligonucleotide of this class achieves in putaminal projection neurons after intrathecal dosing, and MSH3 is assumed to respond the same way. Two things are assumed in that move. One is target equivalence, which is standard for route comparisons but unverified for MSH3. The other is that residual RNA stands in for residual protein, which the Emax curve actually requires; the two differ by the protein's turnover, and for a lncRNA with no protein product the substitution cannot be checked within the source at all. Both are carried into the limitations.</w:t>
      </w:r>
    </w:p>
    <w:p>
      <w:pPr>
        <w:spacing w:after="60" w:before="0" w:line="240" w:lineRule="auto"/>
        <w:ind w:firstLine="288"/>
        <w:jc w:val="both"/>
      </w:pPr>
      <w:r>
        <w:rPr>
          <w:rFonts w:ascii="Times New Roman" w:hAnsi="Times New Roman" w:cs="Times New Roman"/>
          <w:b w:val="0"/>
          <w:i w:val="0"/>
          <w:caps w:val="0"/>
          <w:sz w:val="20"/>
        </w:rPr>
        <w:t xml:space="preserve">A related asymmetry in how the two species are treated should also be named, because it runs the other way. For the primate route the analysis declines to assume uniform distribution and instead infers a penetration length from the reported regional gradient. For the mouse route the intracerebroventricular dose is converted to tissue exposure as dose divided by whole-brain mass, which does assume uniform distribution through the brain, and an intraventricular injection is no more uniform in a mouse than in a macaque. The mouse calculation is kept in that form because the published dose-response is reported against whole-brain dose and nothing in the source supports a mouse-specific gradient, but the consequence is that the Emax curve's horizontal axis is a nominal exposure rather than a measured striatal concentration. If mouse striatal exposure is in fact lower than the whole-brain average, EC₅₀ is overstated and the exposures required later are correspondingly overstated too, so the direction of this error is conservative for the paper's conclusion. A tissue penetration length was then inferred from the reported gradient rather than assumed: with an exponential depth profile, a ten-fold difference over a depth difference of about 9 mm implies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pen</w:t>
      </w:r>
      <w:r>
        <w:rPr>
          <w:rFonts w:ascii="Times New Roman" w:hAnsi="Times New Roman" w:cs="Times New Roman"/>
          <w:b w:val="0"/>
          <w:i w:val="0"/>
          <w:caps w:val="0"/>
          <w:sz w:val="20"/>
        </w:rPr>
        <w:t xml:space="preserve"> = Δdepth / ln(ratio) = 3.9 mm. Applying the same penetration length to a human putamen predicts how much worse the human case should be. That prediction needs an assumed human putaminal depth, which is not available from the source, so four scenarios are carried instead of one: anatomical depths of 12, 16 and 20 mm, and the depth obtained by scaling the macaque value by the cube root of brain mass. Section III-H reports all four and names which is carried forward.</w:t>
      </w:r>
    </w:p>
    <w:p>
      <w:pPr>
        <w:spacing w:after="60" w:before="0" w:line="240" w:lineRule="auto"/>
        <w:ind w:firstLine="288"/>
        <w:jc w:val="both"/>
      </w:pPr>
      <w:r>
        <w:rPr>
          <w:rFonts w:ascii="Times New Roman" w:hAnsi="Times New Roman" w:cs="Times New Roman"/>
          <w:b/>
          <w:i w:val="0"/>
          <w:caps w:val="0"/>
          <w:sz w:val="20"/>
        </w:rPr>
        <w:t>Route B, systemic nanocarrier.</w:t>
      </w:r>
      <w:r>
        <w:rPr>
          <w:rFonts w:ascii="Times New Roman" w:hAnsi="Times New Roman" w:cs="Times New Roman"/>
          <w:b w:val="0"/>
          <w:i w:val="0"/>
          <w:caps w:val="0"/>
          <w:sz w:val="20"/>
        </w:rPr>
        <w:t xml:space="preserve"> Transcytosis efficiency was modelled as the product of two opposing terms, surface capture and abluminal release:</w:t>
      </w:r>
    </w:p>
    <w:p>
      <w:pPr>
        <w:spacing w:after="80" w:before="80" w:line="240" w:lineRule="auto"/>
        <w:ind w:firstLine="0"/>
        <w:jc w:val="center"/>
      </w:pPr>
      <w:r>
        <w:rPr>
          <w:rFonts w:ascii="Times New Roman" w:hAnsi="Times New Roman" w:cs="Times New Roman"/>
          <w:b w:val="0"/>
          <w:i/>
          <w:caps w:val="0"/>
          <w:sz w:val="20"/>
        </w:rPr>
        <w:t>η(K_D, v) = f_v · [K_D,b/(K_D + K_D,b)] · [1/(1 + K_r/K_D)]</w:t>
      </w:r>
    </w:p>
    <w:p>
      <w:pPr>
        <w:spacing w:after="60" w:before="0" w:line="240" w:lineRule="auto"/>
        <w:ind w:firstLine="288"/>
        <w:jc w:val="both"/>
      </w:pPr>
      <w:r>
        <w:rPr>
          <w:rFonts w:ascii="Times New Roman" w:hAnsi="Times New Roman" w:cs="Times New Roman"/>
          <w:b w:val="0"/>
          <w:i w:val="0"/>
          <w:caps w:val="0"/>
          <w:sz w:val="20"/>
        </w:rPr>
        <w:t xml:space="preserve">The first term rises as affinity rises, the second falls, and the product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The two constants were fitted to the two bivalent variants of the measured anti-transferrin-receptor gold nanoparticle series, and the valency factor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v</w:t>
      </w:r>
      <w:r>
        <w:rPr>
          <w:rFonts w:ascii="Times New Roman" w:hAnsi="Times New Roman" w:cs="Times New Roman"/>
          <w:b w:val="0"/>
          <w:i w:val="0"/>
          <w:caps w:val="0"/>
          <w:sz w:val="20"/>
        </w:rPr>
        <w:t xml:space="preserve"> 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p>
      <w:pPr>
        <w:spacing w:after="40" w:before="120" w:line="240" w:lineRule="auto"/>
        <w:ind w:firstLine="0"/>
        <w:jc w:val="left"/>
      </w:pPr>
      <w:r>
        <w:rPr>
          <w:rFonts w:ascii="Times New Roman" w:hAnsi="Times New Roman" w:cs="Times New Roman"/>
          <w:b w:val="0"/>
          <w:i/>
          <w:caps w:val="0"/>
          <w:sz w:val="20"/>
        </w:rPr>
        <w:t>J.  Dosing schedules</w:t>
      </w:r>
    </w:p>
    <w:p>
      <w:pPr>
        <w:spacing w:after="60" w:before="0" w:line="240" w:lineRule="auto"/>
        <w:ind w:firstLine="288"/>
        <w:jc w:val="both"/>
      </w:pPr>
      <w:r>
        <w:rPr>
          <w:rFonts w:ascii="Times New Roman" w:hAnsi="Times New Roman" w:cs="Times New Roman"/>
          <w:b w:val="0"/>
          <w:i w:val="0"/>
          <w:caps w:val="0"/>
          <w:sz w:val="20"/>
        </w:rPr>
        <w:t>Section II-F establishes that λ is first-order in MSH3, within the limits set out in Section III-B. That has a convenient consequence: if the dependence is exactly first-order, then over decades the cumulative effect of an oscillating MSH3 level depends only on its time average and not at all on the shape of the waveform, so the correction from an idealised step change to a real dosing schedule is exact rather than approximate. The exactness is conditional on the order, and the data constrain the order to the neighbourhood of one rather than to one precisely. At an order of 1.2 rather than 1.0 the time-average shortcut would understate the cost of a peaky schedule, because the trough would then contribute less than linearly, so the schedule comparisons below should be read as the optimistic end of a narrow range.</w:t>
      </w:r>
    </w:p>
    <w:p>
      <w:pPr>
        <w:spacing w:after="60" w:before="0" w:line="240" w:lineRule="auto"/>
        <w:ind w:firstLine="288"/>
        <w:jc w:val="both"/>
      </w:pPr>
      <w:r>
        <w:rPr>
          <w:rFonts w:ascii="Times New Roman" w:hAnsi="Times New Roman" w:cs="Times New Roman"/>
          <w:b w:val="0"/>
          <w:i w:val="0"/>
          <w:caps w:val="0"/>
          <w:sz w:val="20"/>
        </w:rPr>
        <w:t>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p>
      <w:pPr>
        <w:spacing w:after="40" w:before="120" w:line="240" w:lineRule="auto"/>
        <w:ind w:firstLine="0"/>
        <w:jc w:val="left"/>
      </w:pPr>
      <w:r>
        <w:rPr>
          <w:rFonts w:ascii="Times New Roman" w:hAnsi="Times New Roman" w:cs="Times New Roman"/>
          <w:b w:val="0"/>
          <w:i/>
          <w:caps w:val="0"/>
          <w:sz w:val="20"/>
        </w:rPr>
        <w:t>K.  In silico trial</w:t>
      </w:r>
    </w:p>
    <w:p>
      <w:pPr>
        <w:spacing w:after="60" w:before="0" w:line="240" w:lineRule="auto"/>
        <w:ind w:firstLine="288"/>
        <w:jc w:val="both"/>
      </w:pPr>
      <w:r>
        <w:rPr>
          <w:rFonts w:ascii="Times New Roman" w:hAnsi="Times New Roman" w:cs="Times New Roman"/>
          <w:b w:val="0"/>
          <w:i w:val="0"/>
          <w:caps w:val="0"/>
          <w:sz w:val="20"/>
        </w:rPr>
        <w:t>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spacing w:after="60" w:before="0" w:line="240" w:lineRule="auto"/>
        <w:ind w:firstLine="288"/>
        <w:jc w:val="both"/>
      </w:pPr>
      <w:r>
        <w:rPr>
          <w:rFonts w:ascii="Times New Roman" w:hAnsi="Times New Roman" w:cs="Times New Roman"/>
          <w:b w:val="0"/>
          <w:i w:val="0"/>
          <w:caps w:val="0"/>
          <w:sz w:val="20"/>
        </w:rPr>
        <w:t>Population sizes differ between analyses and the reason is runtime rather than anything substantive, but since the sizes are visible in the code they should be accounted for. Monte Carlo noise on the age endpoints scales as the inverse square root of the count and is about ±1 year at 9,000 cells, estimated from zero-knockdown control arms that should show no effect at all. The main validation in Section III-C uses 20,000, as do the coupling and reconciliation analyses, because those are run once and their held-out comparisons are the strictest tests in the paper. The subtype prediction uses 15,000 because it splits the population in two and each arm needs to stay large enough to resolve a difference of a few percentage points. The modifier and power analyses use 12,000 and the trial and dosing analyses 9,000, because those sweep tens to hundreds of parameter combinations and the reported quantities are differences between arms simulated with the same seed, where the common random numbers cancel most of the noise. The sensitivity analysis uses 3,000 per sample, the smallest of all, because it recalibrates the model 160 times; its noise is visible as scatter in Fig. 15A and is small against the spread the sampling itself produces.</w:t>
      </w:r>
    </w:p>
    <w:p>
      <w:pPr>
        <w:spacing w:after="60" w:before="0" w:line="240" w:lineRule="auto"/>
        <w:ind w:firstLine="288"/>
        <w:jc w:val="both"/>
      </w:pPr>
      <w:r>
        <w:rPr>
          <w:rFonts w:ascii="Times New Roman" w:hAnsi="Times New Roman" w:cs="Times New Roman"/>
          <w:b w:val="0"/>
          <w:i w:val="0"/>
          <w:caps w:val="0"/>
          <w:sz w:val="20"/>
        </w:rPr>
        <w:t>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p>
      <w:pPr>
        <w:spacing w:after="40" w:before="120" w:line="240" w:lineRule="auto"/>
        <w:ind w:firstLine="0"/>
        <w:jc w:val="left"/>
      </w:pPr>
      <w:r>
        <w:rPr>
          <w:rFonts w:ascii="Times New Roman" w:hAnsi="Times New Roman" w:cs="Times New Roman"/>
          <w:b w:val="0"/>
          <w:i/>
          <w:caps w:val="0"/>
          <w:sz w:val="20"/>
        </w:rPr>
        <w:t>L.  Sample size for a real trial</w:t>
      </w:r>
    </w:p>
    <w:p>
      <w:pPr>
        <w:spacing w:after="60" w:before="0" w:line="240" w:lineRule="auto"/>
        <w:ind w:firstLine="288"/>
        <w:jc w:val="both"/>
      </w:pPr>
      <w:r>
        <w:rPr>
          <w:rFonts w:ascii="Times New Roman" w:hAnsi="Times New Roman" w:cs="Times New Roman"/>
          <w:b w:val="0"/>
          <w:i w:val="0"/>
          <w:caps w:val="0"/>
          <w:sz w:val="20"/>
        </w:rPr>
        <w:t>The in silico trial was converted into a conventional power calculation for a randomised, placebo-controlled study whose endpoint is the change in projection neuron survival over the trial period, the quantity for which striatal volume on MRI is a proxy.</w:t>
      </w:r>
    </w:p>
    <w:p>
      <w:pPr>
        <w:spacing w:after="60" w:before="0" w:line="240" w:lineRule="auto"/>
        <w:ind w:firstLine="288"/>
        <w:jc w:val="both"/>
      </w:pPr>
      <w:r>
        <w:rPr>
          <w:rFonts w:ascii="Times New Roman" w:hAnsi="Times New Roman" w:cs="Times New Roman"/>
          <w:b w:val="0"/>
          <w:i w:val="0"/>
          <w:caps w:val="0"/>
          <w:sz w:val="20"/>
        </w:rPr>
        <w:t>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p>
      <w:pPr>
        <w:spacing w:after="40" w:before="120" w:line="240" w:lineRule="auto"/>
        <w:ind w:firstLine="0"/>
        <w:jc w:val="left"/>
      </w:pPr>
      <w:r>
        <w:rPr>
          <w:rFonts w:ascii="Times New Roman" w:hAnsi="Times New Roman" w:cs="Times New Roman"/>
          <w:b w:val="0"/>
          <w:i/>
          <w:caps w:val="0"/>
          <w:sz w:val="20"/>
        </w:rPr>
        <w:t>M.  Global sensitivity analysis</w:t>
      </w:r>
    </w:p>
    <w:p>
      <w:pPr>
        <w:spacing w:after="60" w:before="0" w:line="240" w:lineRule="auto"/>
        <w:ind w:firstLine="288"/>
        <w:jc w:val="both"/>
      </w:pPr>
      <w:r>
        <w:rPr>
          <w:rFonts w:ascii="Times New Roman" w:hAnsi="Times New Roman" w:cs="Times New Roman"/>
          <w:b w:val="0"/>
          <w:i w:val="0"/>
          <w:caps w:val="0"/>
          <w:sz w:val="20"/>
        </w:rPr>
        <w:t>Sixteen inputs were varied simultaneously over a 160-sample Latin hypercube: six published anchors, including the step size and the pharmacodynamic order, and ten assumed structural constants, among them the numerical ceiling on tract length that Section III-C names as the cause of its one failing row.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p>
      <w:pPr>
        <w:spacing w:after="60" w:before="0" w:line="240" w:lineRule="auto"/>
        <w:ind w:firstLine="288"/>
        <w:jc w:val="both"/>
      </w:pPr>
      <w:r>
        <w:rPr>
          <w:rFonts w:ascii="Times New Roman" w:hAnsi="Times New Roman" w:cs="Times New Roman"/>
          <w:b w:val="0"/>
          <w:i w:val="0"/>
          <w:caps w:val="0"/>
          <w:sz w:val="20"/>
        </w:rPr>
        <w:t>The sixteen inputs are sampled independently, and for one group of them that is a substantive assumption rather than a neutral default. The three dwell-time anchors all come from the same single-cell study on the same post-mortem cohort, so a systematic error in that study's clock would move all three in the same direction, which independent sampling does not allow. Section III-O repeats the whole analysis with those three anchors coupled through a Gaussian copula at latent correlations of 0, 0.5 and 0.9. A copula was used rather than a shared multiplicative factor so that each anchor keeps exactly the uniform marginal it has in the independent design; only the dependence between them changes, which isolates the effect of correlation from any change in marginal spread. The ρ = 0 arm doubles as a control for the change of sampler, since the correlated runs draw from the copula rather than from a Latin hypercube.</w:t>
      </w:r>
    </w:p>
    <w:p>
      <w:pPr>
        <w:spacing w:after="40" w:before="120" w:line="240" w:lineRule="auto"/>
        <w:ind w:firstLine="0"/>
        <w:jc w:val="left"/>
      </w:pPr>
      <w:r>
        <w:rPr>
          <w:rFonts w:ascii="Times New Roman" w:hAnsi="Times New Roman" w:cs="Times New Roman"/>
          <w:b w:val="0"/>
          <w:i/>
          <w:caps w:val="0"/>
          <w:sz w:val="20"/>
        </w:rPr>
        <w:t>N.  Where every parameter comes from</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III</w:t>
      </w:r>
    </w:p>
    <w:p>
      <w:pPr>
        <w:spacing w:after="60" w:before="0" w:line="240" w:lineRule="auto"/>
        <w:ind w:firstLine="0"/>
        <w:jc w:val="center"/>
      </w:pPr>
      <w:r>
        <w:rPr>
          <w:rFonts w:ascii="Times New Roman" w:hAnsi="Times New Roman" w:cs="Times New Roman"/>
          <w:b w:val="0"/>
          <w:i w:val="0"/>
          <w:caps/>
          <w:sz w:val="16"/>
        </w:rPr>
        <w:t>Provenance of every parameter in the model. Entries marked fitted here were estimated in this work; entries marked assumed carry no supporting measurement. The rightmost column states how each assumed value is varied: globally and simultaneously, or one at a time.</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Symbol</w:t>
            </w:r>
          </w:p>
        </w:tc>
        <w:tc>
          <w:tcPr>
            <w:tcW w:type="dxa" w:w="2610"/>
          </w:tcPr>
          <w:p>
            <w:pPr>
              <w:spacing w:after="0"/>
            </w:pPr>
            <w:r/>
            <w:r>
              <w:rPr>
                <w:rFonts w:ascii="Times New Roman" w:hAnsi="Times New Roman" w:cs="Times New Roman"/>
                <w:b/>
                <w:i w:val="0"/>
                <w:caps w:val="0"/>
                <w:sz w:val="16"/>
              </w:rPr>
              <w:t>Meaning</w:t>
            </w:r>
          </w:p>
        </w:tc>
        <w:tc>
          <w:tcPr>
            <w:tcW w:type="dxa" w:w="2610"/>
          </w:tcPr>
          <w:p>
            <w:pPr>
              <w:spacing w:after="0"/>
            </w:pPr>
            <w:r/>
            <w:r>
              <w:rPr>
                <w:rFonts w:ascii="Times New Roman" w:hAnsi="Times New Roman" w:cs="Times New Roman"/>
                <w:b/>
                <w:i w:val="0"/>
                <w:caps w:val="0"/>
                <w:sz w:val="16"/>
              </w:rPr>
              <w:t>Value</w:t>
            </w:r>
          </w:p>
        </w:tc>
        <w:tc>
          <w:tcPr>
            <w:tcW w:type="dxa" w:w="2610"/>
          </w:tcPr>
          <w:p>
            <w:pPr>
              <w:spacing w:after="0"/>
            </w:pPr>
            <w:r/>
            <w:r>
              <w:rPr>
                <w:rFonts w:ascii="Times New Roman" w:hAnsi="Times New Roman" w:cs="Times New Roman"/>
                <w:b/>
                <w:i w:val="0"/>
                <w:caps w:val="0"/>
                <w:sz w:val="16"/>
              </w:rPr>
              <w:t>Provenance</w:t>
            </w:r>
          </w:p>
        </w:tc>
      </w:tr>
      <w:tr>
        <w:tc>
          <w:tcPr>
            <w:tcW w:type="dxa" w:w="2610"/>
          </w:tcPr>
          <w:p>
            <w:pPr>
              <w:spacing w:after="0"/>
            </w:pPr>
            <w:r>
              <w:rPr>
                <w:rFonts w:ascii="Times New Roman" w:hAnsi="Times New Roman" w:cs="Times New Roman"/>
                <w:b w:val="0"/>
                <w:i w:val="0"/>
                <w:caps w:val="0"/>
                <w:sz w:val="16"/>
              </w:rPr>
              <w:t>w</w:t>
            </w:r>
          </w:p>
        </w:tc>
        <w:tc>
          <w:tcPr>
            <w:tcW w:type="dxa" w:w="2610"/>
          </w:tcPr>
          <w:p>
            <w:pPr>
              <w:spacing w:after="0"/>
            </w:pPr>
            <w:r>
              <w:rPr>
                <w:rFonts w:ascii="Times New Roman" w:hAnsi="Times New Roman" w:cs="Times New Roman"/>
                <w:b w:val="0"/>
                <w:i w:val="0"/>
                <w:caps w:val="0"/>
                <w:sz w:val="16"/>
              </w:rPr>
              <w:t>MutSβ stem footprint</w:t>
            </w:r>
          </w:p>
        </w:tc>
        <w:tc>
          <w:tcPr>
            <w:tcW w:type="dxa" w:w="2610"/>
          </w:tcPr>
          <w:p>
            <w:pPr>
              <w:spacing w:after="0"/>
            </w:pPr>
            <w:r>
              <w:rPr>
                <w:rFonts w:ascii="Times New Roman" w:hAnsi="Times New Roman" w:cs="Times New Roman"/>
                <w:b w:val="0"/>
                <w:i w:val="0"/>
                <w:caps w:val="0"/>
                <w:sz w:val="16"/>
              </w:rPr>
              <w:t>17 repeats</w:t>
            </w:r>
          </w:p>
        </w:tc>
        <w:tc>
          <w:tcPr>
            <w:tcW w:type="dxa" w:w="2610"/>
          </w:tcPr>
          <w:p>
            <w:pPr>
              <w:spacing w:after="0"/>
            </w:pPr>
            <w:r>
              <w:rPr>
                <w:rFonts w:ascii="Times New Roman" w:hAnsi="Times New Roman" w:cs="Times New Roman"/>
                <w:b w:val="0"/>
                <w:i w:val="0"/>
                <w:caps w:val="0"/>
                <w:sz w:val="16"/>
              </w:rPr>
              <w:t>measured [3], preprint</w:t>
            </w:r>
          </w:p>
        </w:tc>
      </w:tr>
      <w:tr>
        <w:tc>
          <w:tcPr>
            <w:tcW w:type="dxa" w:w="2610"/>
          </w:tcPr>
          <w:p>
            <w:pPr>
              <w:spacing w:after="0"/>
            </w:pPr>
            <w:r>
              <w:rPr>
                <w:rFonts w:ascii="Times New Roman" w:hAnsi="Times New Roman" w:cs="Times New Roman"/>
                <w:b w:val="0"/>
                <w:i w:val="0"/>
                <w:caps w:val="0"/>
                <w:sz w:val="16"/>
              </w:rPr>
              <w:t>step</w:t>
            </w:r>
          </w:p>
        </w:tc>
        <w:tc>
          <w:tcPr>
            <w:tcW w:type="dxa" w:w="2610"/>
          </w:tcPr>
          <w:p>
            <w:pPr>
              <w:spacing w:after="0"/>
            </w:pPr>
            <w:r>
              <w:rPr>
                <w:rFonts w:ascii="Times New Roman" w:hAnsi="Times New Roman" w:cs="Times New Roman"/>
                <w:b w:val="0"/>
                <w:i w:val="0"/>
                <w:caps w:val="0"/>
                <w:sz w:val="16"/>
              </w:rPr>
              <w:t>repeats gained per event</w:t>
            </w:r>
          </w:p>
        </w:tc>
        <w:tc>
          <w:tcPr>
            <w:tcW w:type="dxa" w:w="2610"/>
          </w:tcPr>
          <w:p>
            <w:pPr>
              <w:spacing w:after="0"/>
            </w:pPr>
            <w:r>
              <w:rPr>
                <w:rFonts w:ascii="Times New Roman" w:hAnsi="Times New Roman" w:cs="Times New Roman"/>
                <w:b w:val="0"/>
                <w:i w:val="0"/>
                <w:caps w:val="0"/>
                <w:sz w:val="16"/>
              </w:rPr>
              <w:t>geometric, mean 4</w:t>
            </w:r>
          </w:p>
        </w:tc>
        <w:tc>
          <w:tcPr>
            <w:tcW w:type="dxa" w:w="2610"/>
          </w:tcPr>
          <w:p>
            <w:pPr>
              <w:spacing w:after="0"/>
            </w:pPr>
            <w:r>
              <w:rPr>
                <w:rFonts w:ascii="Times New Roman" w:hAnsi="Times New Roman" w:cs="Times New Roman"/>
                <w:b w:val="0"/>
                <w:i w:val="0"/>
                <w:caps w:val="0"/>
                <w:sz w:val="16"/>
              </w:rPr>
              <w:t>measured in vitro [5]</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C</w:t>
            </w:r>
          </w:p>
        </w:tc>
        <w:tc>
          <w:tcPr>
            <w:tcW w:type="dxa" w:w="2610"/>
          </w:tcPr>
          <w:p>
            <w:pPr>
              <w:spacing w:after="0"/>
            </w:pPr>
            <w:r>
              <w:rPr>
                <w:rFonts w:ascii="Times New Roman" w:hAnsi="Times New Roman" w:cs="Times New Roman"/>
                <w:b w:val="0"/>
                <w:i w:val="0"/>
                <w:caps w:val="0"/>
                <w:sz w:val="16"/>
              </w:rPr>
              <w:t>commitment threshold</w:t>
            </w:r>
          </w:p>
        </w:tc>
        <w:tc>
          <w:tcPr>
            <w:tcW w:type="dxa" w:w="2610"/>
          </w:tcPr>
          <w:p>
            <w:pPr>
              <w:spacing w:after="0"/>
            </w:pPr>
            <w:r>
              <w:rPr>
                <w:rFonts w:ascii="Times New Roman" w:hAnsi="Times New Roman" w:cs="Times New Roman"/>
                <w:b w:val="0"/>
                <w:i w:val="0"/>
                <w:caps w:val="0"/>
                <w:sz w:val="16"/>
              </w:rPr>
              <w:t>150 repeats</w:t>
            </w:r>
          </w:p>
        </w:tc>
        <w:tc>
          <w:tcPr>
            <w:tcW w:type="dxa" w:w="2610"/>
          </w:tcPr>
          <w:p>
            <w:pPr>
              <w:spacing w:after="0"/>
            </w:pPr>
            <w:r>
              <w:rPr>
                <w:rFonts w:ascii="Times New Roman" w:hAnsi="Times New Roman" w:cs="Times New Roman"/>
                <w:b w:val="0"/>
                <w:i w:val="0"/>
                <w:caps w:val="0"/>
                <w:sz w:val="16"/>
              </w:rPr>
              <w:t>measured [1]</w:t>
            </w:r>
          </w:p>
        </w:tc>
      </w:tr>
      <w:tr>
        <w:tc>
          <w:tcPr>
            <w:tcW w:type="dxa" w:w="2610"/>
          </w:tcPr>
          <w:p>
            <w:pPr>
              <w:spacing w:after="0"/>
            </w:pPr>
            <w:r>
              <w:rPr>
                <w:rFonts w:ascii="Times New Roman" w:hAnsi="Times New Roman" w:cs="Times New Roman"/>
                <w:b w:val="0"/>
                <w:i w:val="0"/>
                <w:caps w:val="0"/>
                <w:sz w:val="16"/>
              </w:rPr>
              <w:t>T(40,60), T(60,80), T(80,150)</w:t>
            </w:r>
          </w:p>
        </w:tc>
        <w:tc>
          <w:tcPr>
            <w:tcW w:type="dxa" w:w="2610"/>
          </w:tcPr>
          <w:p>
            <w:pPr>
              <w:spacing w:after="0"/>
            </w:pPr>
            <w:r>
              <w:rPr>
                <w:rFonts w:ascii="Times New Roman" w:hAnsi="Times New Roman" w:cs="Times New Roman"/>
                <w:b w:val="0"/>
                <w:i w:val="0"/>
                <w:caps w:val="0"/>
                <w:sz w:val="16"/>
              </w:rPr>
              <w:t>mean transit times</w:t>
            </w:r>
          </w:p>
        </w:tc>
        <w:tc>
          <w:tcPr>
            <w:tcW w:type="dxa" w:w="2610"/>
          </w:tcPr>
          <w:p>
            <w:pPr>
              <w:spacing w:after="0"/>
            </w:pPr>
            <w:r>
              <w:rPr>
                <w:rFonts w:ascii="Times New Roman" w:hAnsi="Times New Roman" w:cs="Times New Roman"/>
                <w:b w:val="0"/>
                <w:i w:val="0"/>
                <w:caps w:val="0"/>
                <w:sz w:val="16"/>
              </w:rPr>
              <w:t>50, 12, 4 y</w:t>
            </w:r>
          </w:p>
        </w:tc>
        <w:tc>
          <w:tcPr>
            <w:tcW w:type="dxa" w:w="2610"/>
          </w:tcPr>
          <w:p>
            <w:pPr>
              <w:spacing w:after="0"/>
            </w:pPr>
            <w:r>
              <w:rPr>
                <w:rFonts w:ascii="Times New Roman" w:hAnsi="Times New Roman" w:cs="Times New Roman"/>
                <w:b w:val="0"/>
                <w:i w:val="0"/>
                <w:caps w:val="0"/>
                <w:sz w:val="16"/>
              </w:rPr>
              <w:t>model-based estimates [1]</w:t>
            </w:r>
          </w:p>
        </w:tc>
      </w:tr>
      <w:tr>
        <w:tc>
          <w:tcPr>
            <w:tcW w:type="dxa" w:w="2610"/>
          </w:tcPr>
          <w:p>
            <w:pPr>
              <w:spacing w:after="0"/>
            </w:pPr>
            <w:r>
              <w:rPr>
                <w:rFonts w:ascii="Times New Roman" w:hAnsi="Times New Roman" w:cs="Times New Roman"/>
                <w:b w:val="0"/>
                <w:i w:val="0"/>
                <w:caps w:val="0"/>
                <w:sz w:val="16"/>
              </w:rPr>
              <w:t>λ(90)/λ(70)</w:t>
            </w:r>
          </w:p>
        </w:tc>
        <w:tc>
          <w:tcPr>
            <w:tcW w:type="dxa" w:w="2610"/>
          </w:tcPr>
          <w:p>
            <w:pPr>
              <w:spacing w:after="0"/>
            </w:pPr>
            <w:r>
              <w:rPr>
                <w:rFonts w:ascii="Times New Roman" w:hAnsi="Times New Roman" w:cs="Times New Roman"/>
                <w:b w:val="0"/>
                <w:i w:val="0"/>
                <w:caps w:val="0"/>
                <w:sz w:val="16"/>
              </w:rPr>
              <w:t>rate acceleration</w:t>
            </w:r>
          </w:p>
        </w:tc>
        <w:tc>
          <w:tcPr>
            <w:tcW w:type="dxa" w:w="2610"/>
          </w:tcPr>
          <w:p>
            <w:pPr>
              <w:spacing w:after="0"/>
            </w:pPr>
            <w:r>
              <w:rPr>
                <w:rFonts w:ascii="Times New Roman" w:hAnsi="Times New Roman" w:cs="Times New Roman"/>
                <w:b w:val="0"/>
                <w:i w:val="0"/>
                <w:caps w:val="0"/>
                <w:sz w:val="16"/>
              </w:rPr>
              <w:t>at least 6</w:t>
            </w:r>
          </w:p>
        </w:tc>
        <w:tc>
          <w:tcPr>
            <w:tcW w:type="dxa" w:w="2610"/>
          </w:tcPr>
          <w:p>
            <w:pPr>
              <w:spacing w:after="0"/>
            </w:pPr>
            <w:r>
              <w:rPr>
                <w:rFonts w:ascii="Times New Roman" w:hAnsi="Times New Roman" w:cs="Times New Roman"/>
                <w:b w:val="0"/>
                <w:i w:val="0"/>
                <w:caps w:val="0"/>
                <w:sz w:val="16"/>
              </w:rPr>
              <w:t>estimate [1]</w:t>
            </w:r>
          </w:p>
        </w:tc>
      </w:tr>
      <w:tr>
        <w:tc>
          <w:tcPr>
            <w:tcW w:type="dxa" w:w="2610"/>
          </w:tcPr>
          <w:p>
            <w:pPr>
              <w:spacing w:after="0"/>
            </w:pPr>
            <w:r>
              <w:rPr>
                <w:rFonts w:ascii="Times New Roman" w:hAnsi="Times New Roman" w:cs="Times New Roman"/>
                <w:b w:val="0"/>
                <w:i w:val="0"/>
                <w:caps w:val="0"/>
                <w:sz w:val="16"/>
              </w:rPr>
              <w:t>iSPN / dSPN rate ratio</w:t>
            </w:r>
          </w:p>
        </w:tc>
        <w:tc>
          <w:tcPr>
            <w:tcW w:type="dxa" w:w="2610"/>
          </w:tcPr>
          <w:p>
            <w:pPr>
              <w:spacing w:after="0"/>
            </w:pPr>
            <w:r>
              <w:rPr>
                <w:rFonts w:ascii="Times New Roman" w:hAnsi="Times New Roman" w:cs="Times New Roman"/>
                <w:b w:val="0"/>
                <w:i w:val="0"/>
                <w:caps w:val="0"/>
                <w:sz w:val="16"/>
              </w:rPr>
              <w:t>subtype difference</w:t>
            </w:r>
          </w:p>
        </w:tc>
        <w:tc>
          <w:tcPr>
            <w:tcW w:type="dxa" w:w="2610"/>
          </w:tcPr>
          <w:p>
            <w:pPr>
              <w:spacing w:after="0"/>
            </w:pPr>
            <w:r>
              <w:rPr>
                <w:rFonts w:ascii="Times New Roman" w:hAnsi="Times New Roman" w:cs="Times New Roman"/>
                <w:b w:val="0"/>
                <w:i w:val="0"/>
                <w:caps w:val="0"/>
                <w:sz w:val="16"/>
              </w:rPr>
              <w:t>1.15</w:t>
            </w:r>
          </w:p>
        </w:tc>
        <w:tc>
          <w:tcPr>
            <w:tcW w:type="dxa" w:w="2610"/>
          </w:tcPr>
          <w:p>
            <w:pPr>
              <w:spacing w:after="0"/>
            </w:pPr>
            <w:r>
              <w:rPr>
                <w:rFonts w:ascii="Times New Roman" w:hAnsi="Times New Roman" w:cs="Times New Roman"/>
                <w:b w:val="0"/>
                <w:i w:val="0"/>
                <w:caps w:val="0"/>
                <w:sz w:val="16"/>
              </w:rPr>
              <w:t>estimate [1], held out</w:t>
            </w:r>
          </w:p>
        </w:tc>
      </w:tr>
      <w:tr>
        <w:tc>
          <w:tcPr>
            <w:tcW w:type="dxa" w:w="2610"/>
          </w:tcPr>
          <w:p>
            <w:pPr>
              <w:spacing w:after="0"/>
            </w:pPr>
            <w:r>
              <w:rPr>
                <w:rFonts w:ascii="Times New Roman" w:hAnsi="Times New Roman" w:cs="Times New Roman"/>
                <w:b w:val="0"/>
                <w:i w:val="0"/>
                <w:caps w:val="0"/>
                <w:sz w:val="16"/>
              </w:rPr>
              <w:t>iSPN share in controls</w:t>
            </w:r>
          </w:p>
        </w:tc>
        <w:tc>
          <w:tcPr>
            <w:tcW w:type="dxa" w:w="2610"/>
          </w:tcPr>
          <w:p>
            <w:pPr>
              <w:spacing w:after="0"/>
            </w:pPr>
            <w:r>
              <w:rPr>
                <w:rFonts w:ascii="Times New Roman" w:hAnsi="Times New Roman" w:cs="Times New Roman"/>
                <w:b w:val="0"/>
                <w:i w:val="0"/>
                <w:caps w:val="0"/>
                <w:sz w:val="16"/>
              </w:rPr>
              <w:t>subtype baseline</w:t>
            </w:r>
          </w:p>
        </w:tc>
        <w:tc>
          <w:tcPr>
            <w:tcW w:type="dxa" w:w="2610"/>
          </w:tcPr>
          <w:p>
            <w:pPr>
              <w:spacing w:after="0"/>
            </w:pPr>
            <w:r>
              <w:rPr>
                <w:rFonts w:ascii="Times New Roman" w:hAnsi="Times New Roman" w:cs="Times New Roman"/>
                <w:b w:val="0"/>
                <w:i w:val="0"/>
                <w:caps w:val="0"/>
                <w:sz w:val="16"/>
              </w:rPr>
              <w:t>47% (SD 6)</w:t>
            </w:r>
          </w:p>
        </w:tc>
        <w:tc>
          <w:tcPr>
            <w:tcW w:type="dxa" w:w="2610"/>
          </w:tcPr>
          <w:p>
            <w:pPr>
              <w:spacing w:after="0"/>
            </w:pPr>
            <w:r>
              <w:rPr>
                <w:rFonts w:ascii="Times New Roman" w:hAnsi="Times New Roman" w:cs="Times New Roman"/>
                <w:b w:val="0"/>
                <w:i w:val="0"/>
                <w:caps w:val="0"/>
                <w:sz w:val="16"/>
              </w:rPr>
              <w:t>measured [1], held out</w:t>
            </w:r>
          </w:p>
        </w:tc>
      </w:tr>
      <w:tr>
        <w:tc>
          <w:tcPr>
            <w:tcW w:type="dxa" w:w="2610"/>
          </w:tcPr>
          <w:p>
            <w:pPr>
              <w:spacing w:after="0"/>
            </w:pPr>
            <w:r>
              <w:rPr>
                <w:rFonts w:ascii="Times New Roman" w:hAnsi="Times New Roman" w:cs="Times New Roman"/>
                <w:b w:val="0"/>
                <w:i w:val="0"/>
                <w:caps w:val="0"/>
                <w:sz w:val="16"/>
              </w:rPr>
              <w:t>PD regression</w:t>
            </w:r>
          </w:p>
        </w:tc>
        <w:tc>
          <w:tcPr>
            <w:tcW w:type="dxa" w:w="2610"/>
          </w:tcPr>
          <w:p>
            <w:pPr>
              <w:spacing w:after="0"/>
            </w:pPr>
            <w:r>
              <w:rPr>
                <w:rFonts w:ascii="Times New Roman" w:hAnsi="Times New Roman" w:cs="Times New Roman"/>
                <w:b w:val="0"/>
                <w:i w:val="0"/>
                <w:caps w:val="0"/>
                <w:sz w:val="16"/>
              </w:rPr>
              <w:t>expansion prevented against MSH3</w:t>
            </w:r>
          </w:p>
        </w:tc>
        <w:tc>
          <w:tcPr>
            <w:tcW w:type="dxa" w:w="2610"/>
          </w:tcPr>
          <w:p>
            <w:pPr>
              <w:spacing w:after="0"/>
            </w:pPr>
            <w:r>
              <w:rPr>
                <w:rFonts w:ascii="Times New Roman" w:hAnsi="Times New Roman" w:cs="Times New Roman"/>
                <w:b w:val="0"/>
                <w:i w:val="0"/>
                <w:caps w:val="0"/>
                <w:sz w:val="16"/>
              </w:rPr>
              <w:t>intercepts 92.4, 110.4</w:t>
            </w:r>
          </w:p>
        </w:tc>
        <w:tc>
          <w:tcPr>
            <w:tcW w:type="dxa" w:w="2610"/>
          </w:tcPr>
          <w:p>
            <w:pPr>
              <w:spacing w:after="0"/>
            </w:pPr>
            <w:r>
              <w:rPr>
                <w:rFonts w:ascii="Times New Roman" w:hAnsi="Times New Roman" w:cs="Times New Roman"/>
                <w:b w:val="0"/>
                <w:i w:val="0"/>
                <w:caps w:val="0"/>
                <w:sz w:val="16"/>
              </w:rPr>
              <w:t>measured in mouse [4]</w:t>
            </w:r>
          </w:p>
        </w:tc>
      </w:tr>
      <w:tr>
        <w:tc>
          <w:tcPr>
            <w:tcW w:type="dxa" w:w="2610"/>
          </w:tcPr>
          <w:p>
            <w:pPr>
              <w:spacing w:after="0"/>
            </w:pPr>
            <w:r>
              <w:rPr>
                <w:rFonts w:ascii="Times New Roman" w:hAnsi="Times New Roman" w:cs="Times New Roman"/>
                <w:b w:val="0"/>
                <w:i w:val="0"/>
                <w:caps w:val="0"/>
                <w:sz w:val="16"/>
              </w:rPr>
              <w:t>EC₅₀, h</w:t>
            </w:r>
          </w:p>
        </w:tc>
        <w:tc>
          <w:tcPr>
            <w:tcW w:type="dxa" w:w="2610"/>
          </w:tcPr>
          <w:p>
            <w:pPr>
              <w:spacing w:after="0"/>
            </w:pPr>
            <w:r>
              <w:rPr>
                <w:rFonts w:ascii="Times New Roman" w:hAnsi="Times New Roman" w:cs="Times New Roman"/>
                <w:b w:val="0"/>
                <w:i w:val="0"/>
                <w:caps w:val="0"/>
                <w:sz w:val="16"/>
              </w:rPr>
              <w:t>exposure to response</w:t>
            </w:r>
          </w:p>
        </w:tc>
        <w:tc>
          <w:tcPr>
            <w:tcW w:type="dxa" w:w="2610"/>
          </w:tcPr>
          <w:p>
            <w:pPr>
              <w:spacing w:after="0"/>
            </w:pPr>
            <w:r>
              <w:rPr>
                <w:rFonts w:ascii="Times New Roman" w:hAnsi="Times New Roman" w:cs="Times New Roman"/>
                <w:b w:val="0"/>
                <w:i w:val="0"/>
                <w:caps w:val="0"/>
                <w:sz w:val="16"/>
              </w:rPr>
              <w:t>10.1 nmol g⁻¹, 1.22</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[4]; zero d.o.f., profiled in Section III-N</w:t>
            </w:r>
          </w:p>
        </w:tc>
      </w:tr>
      <w:tr>
        <w:tc>
          <w:tcPr>
            <w:tcW w:type="dxa" w:w="2610"/>
          </w:tcPr>
          <w:p>
            <w:pPr>
              <w:spacing w:after="0"/>
            </w:pPr>
            <w:r>
              <w:rPr>
                <w:rFonts w:ascii="Times New Roman" w:hAnsi="Times New Roman" w:cs="Times New Roman"/>
                <w:b w:val="0"/>
                <w:i w:val="0"/>
                <w:caps w:val="0"/>
                <w:sz w:val="16"/>
              </w:rPr>
              <w:t>λ(40)</w:t>
            </w:r>
          </w:p>
        </w:tc>
        <w:tc>
          <w:tcPr>
            <w:tcW w:type="dxa" w:w="2610"/>
          </w:tcPr>
          <w:p>
            <w:pPr>
              <w:spacing w:after="0"/>
            </w:pPr>
            <w:r>
              <w:rPr>
                <w:rFonts w:ascii="Times New Roman" w:hAnsi="Times New Roman" w:cs="Times New Roman"/>
                <w:b w:val="0"/>
                <w:i w:val="0"/>
                <w:caps w:val="0"/>
                <w:sz w:val="16"/>
              </w:rPr>
              <w:t>basal mutation rate</w:t>
            </w:r>
          </w:p>
        </w:tc>
        <w:tc>
          <w:tcPr>
            <w:tcW w:type="dxa" w:w="2610"/>
          </w:tcPr>
          <w:p>
            <w:pPr>
              <w:spacing w:after="0"/>
            </w:pPr>
            <w:r>
              <w:rPr>
                <w:rFonts w:ascii="Times New Roman" w:hAnsi="Times New Roman" w:cs="Times New Roman"/>
                <w:b w:val="0"/>
                <w:i w:val="0"/>
                <w:caps w:val="0"/>
                <w:sz w:val="16"/>
              </w:rPr>
              <w:t>0.070 y⁻¹</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val="0"/>
                <w:caps w:val="0"/>
                <w:sz w:val="16"/>
              </w:rPr>
              <w:t>β (α)</w:t>
            </w:r>
          </w:p>
        </w:tc>
        <w:tc>
          <w:tcPr>
            <w:tcW w:type="dxa" w:w="2610"/>
          </w:tcPr>
          <w:p>
            <w:pPr>
              <w:spacing w:after="0"/>
            </w:pPr>
            <w:r>
              <w:rPr>
                <w:rFonts w:ascii="Times New Roman" w:hAnsi="Times New Roman" w:cs="Times New Roman"/>
                <w:b w:val="0"/>
                <w:i w:val="0"/>
                <w:caps w:val="0"/>
                <w:sz w:val="16"/>
              </w:rPr>
              <w:t>slip-out stabilisation</w:t>
            </w:r>
          </w:p>
        </w:tc>
        <w:tc>
          <w:tcPr>
            <w:tcW w:type="dxa" w:w="2610"/>
          </w:tcPr>
          <w:p>
            <w:pPr>
              <w:spacing w:after="0"/>
            </w:pPr>
            <w:r>
              <w:rPr>
                <w:rFonts w:ascii="Times New Roman" w:hAnsi="Times New Roman" w:cs="Times New Roman"/>
                <w:b w:val="0"/>
                <w:i w:val="0"/>
                <w:caps w:val="0"/>
                <w:sz w:val="16"/>
              </w:rPr>
              <w:t>0.0062 repeat⁻¹ (0.0036 kcal mol⁻¹)</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not identifiable</w:t>
            </w:r>
          </w:p>
        </w:tc>
      </w:tr>
      <w:tr>
        <w:tc>
          <w:tcPr>
            <w:tcW w:type="dxa" w:w="2610"/>
          </w:tcPr>
          <w:p>
            <w:pPr>
              <w:spacing w:after="0"/>
            </w:pPr>
            <w:r>
              <w:rPr>
                <w:rFonts w:ascii="Times New Roman" w:hAnsi="Times New Roman" w:cs="Times New Roman"/>
                <w:b w:val="0"/>
                <w:i w:val="0"/>
                <w:caps w:val="0"/>
                <w:sz w:val="16"/>
              </w:rPr>
              <w:t>R</w:t>
            </w:r>
          </w:p>
        </w:tc>
        <w:tc>
          <w:tcPr>
            <w:tcW w:type="dxa" w:w="2610"/>
          </w:tcPr>
          <w:p>
            <w:pPr>
              <w:spacing w:after="0"/>
            </w:pPr>
            <w:r>
              <w:rPr>
                <w:rFonts w:ascii="Times New Roman" w:hAnsi="Times New Roman" w:cs="Times New Roman"/>
                <w:b w:val="0"/>
                <w:i w:val="0"/>
                <w:caps w:val="0"/>
                <w:sz w:val="16"/>
              </w:rPr>
              <w:t>clustered to isolated escape ratio</w:t>
            </w:r>
          </w:p>
        </w:tc>
        <w:tc>
          <w:tcPr>
            <w:tcW w:type="dxa" w:w="2610"/>
          </w:tcPr>
          <w:p>
            <w:pPr>
              <w:spacing w:after="0"/>
            </w:pPr>
            <w:r>
              <w:rPr>
                <w:rFonts w:ascii="Times New Roman" w:hAnsi="Times New Roman" w:cs="Times New Roman"/>
                <w:b w:val="0"/>
                <w:i w:val="0"/>
                <w:caps w:val="0"/>
                <w:sz w:val="16"/>
              </w:rPr>
              <w:t>17.7</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feasible 3.7-22.9</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2610"/>
          </w:tcPr>
          <w:p>
            <w:pPr>
              <w:spacing w:after="0"/>
            </w:pPr>
            <w:r>
              <w:rPr>
                <w:rFonts w:ascii="Times New Roman" w:hAnsi="Times New Roman" w:cs="Times New Roman"/>
                <w:b w:val="0"/>
                <w:i w:val="0"/>
                <w:caps w:val="0"/>
                <w:sz w:val="16"/>
              </w:rPr>
              <w:t>clustering switch midpoint</w:t>
            </w:r>
          </w:p>
        </w:tc>
        <w:tc>
          <w:tcPr>
            <w:tcW w:type="dxa" w:w="2610"/>
          </w:tcPr>
          <w:p>
            <w:pPr>
              <w:spacing w:after="0"/>
            </w:pPr>
            <w:r>
              <w:rPr>
                <w:rFonts w:ascii="Times New Roman" w:hAnsi="Times New Roman" w:cs="Times New Roman"/>
                <w:b w:val="0"/>
                <w:i w:val="0"/>
                <w:caps w:val="0"/>
                <w:sz w:val="16"/>
              </w:rPr>
              <w:t>80.2 repeats</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76.4-85.3 across admissible </w:t>
            </w:r>
            <w:r>
              <w:rPr>
                <w:rFonts w:ascii="Times New Roman" w:hAnsi="Times New Roman" w:cs="Times New Roman"/>
                <w:b w:val="0"/>
                <w:i/>
                <w:caps w:val="0"/>
                <w:sz w:val="16"/>
              </w:rPr>
              <w:t>w</w:t>
            </w:r>
            <w:r>
              <w:rPr>
                <w:rFonts w:ascii="Times New Roman" w:hAnsi="Times New Roman" w:cs="Times New Roman"/>
                <w:b w:val="0"/>
                <w:i/>
                <w:caps w:val="0"/>
                <w:sz w:val="16"/>
                <w:vertAlign w:val="subscript"/>
              </w:rPr>
              <w:t>sw</w:t>
            </w:r>
          </w:p>
        </w:tc>
      </w:tr>
      <w:tr>
        <w:tc>
          <w:tcPr>
            <w:tcW w:type="dxa" w:w="2610"/>
          </w:tcPr>
          <w:p>
            <w:pPr>
              <w:spacing w:after="0"/>
            </w:pPr>
            <w:r>
              <w:rPr>
                <w:rFonts w:ascii="Times New Roman" w:hAnsi="Times New Roman" w:cs="Times New Roman"/>
                <w:b w:val="0"/>
                <w:i/>
                <w:caps w:val="0"/>
                <w:sz w:val="16"/>
              </w:rPr>
              <w:t>K</w:t>
            </w:r>
            <w:r>
              <w:rPr>
                <w:rFonts w:ascii="Times New Roman" w:hAnsi="Times New Roman" w:cs="Times New Roman"/>
                <w:b w:val="0"/>
                <w:i/>
                <w:caps w:val="0"/>
                <w:sz w:val="16"/>
                <w:vertAlign w:val="subscript"/>
              </w:rPr>
              <w:t>D,b</w:t>
            </w:r>
            <w:r>
              <w:rPr>
                <w:rFonts w:ascii="Times New Roman" w:hAnsi="Times New Roman" w:cs="Times New Roman"/>
                <w:b w:val="0"/>
                <w:i w:val="0"/>
                <w:caps w:val="0"/>
                <w:sz w:val="16"/>
              </w:rPr>
              <w:t xml:space="preserve">,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r</w:t>
            </w:r>
          </w:p>
        </w:tc>
        <w:tc>
          <w:tcPr>
            <w:tcW w:type="dxa" w:w="2610"/>
          </w:tcPr>
          <w:p>
            <w:pPr>
              <w:spacing w:after="0"/>
            </w:pPr>
            <w:r>
              <w:rPr>
                <w:rFonts w:ascii="Times New Roman" w:hAnsi="Times New Roman" w:cs="Times New Roman"/>
                <w:b w:val="0"/>
                <w:i w:val="0"/>
                <w:caps w:val="0"/>
                <w:sz w:val="16"/>
              </w:rPr>
              <w:t>capture and release constants</w:t>
            </w:r>
          </w:p>
        </w:tc>
        <w:tc>
          <w:tcPr>
            <w:tcW w:type="dxa" w:w="2610"/>
          </w:tcPr>
          <w:p>
            <w:pPr>
              <w:spacing w:after="0"/>
            </w:pPr>
            <w:r>
              <w:rPr>
                <w:rFonts w:ascii="Times New Roman" w:hAnsi="Times New Roman" w:cs="Times New Roman"/>
                <w:b w:val="0"/>
                <w:i w:val="0"/>
                <w:caps w:val="0"/>
                <w:sz w:val="16"/>
              </w:rPr>
              <w:t>286, 64 nM</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[8]</w:t>
            </w:r>
          </w:p>
        </w:tc>
      </w:tr>
      <w:tr>
        <w:tc>
          <w:tcPr>
            <w:tcW w:type="dxa" w:w="2610"/>
          </w:tcPr>
          <w:p>
            <w:pPr>
              <w:spacing w:after="0"/>
            </w:pPr>
            <w:r>
              <w:rPr>
                <w:rFonts w:ascii="Times New Roman" w:hAnsi="Times New Roman" w:cs="Times New Roman"/>
                <w:b w:val="0"/>
                <w:i/>
                <w:caps w:val="0"/>
                <w:sz w:val="16"/>
              </w:rPr>
              <w:t>f</w:t>
            </w:r>
            <w:r>
              <w:rPr>
                <w:rFonts w:ascii="Times New Roman" w:hAnsi="Times New Roman" w:cs="Times New Roman"/>
                <w:b w:val="0"/>
                <w:i/>
                <w:caps w:val="0"/>
                <w:sz w:val="16"/>
                <w:vertAlign w:val="subscript"/>
              </w:rPr>
              <w:t>v</w:t>
            </w:r>
          </w:p>
        </w:tc>
        <w:tc>
          <w:tcPr>
            <w:tcW w:type="dxa" w:w="2610"/>
          </w:tcPr>
          <w:p>
            <w:pPr>
              <w:spacing w:after="0"/>
            </w:pPr>
            <w:r>
              <w:rPr>
                <w:rFonts w:ascii="Times New Roman" w:hAnsi="Times New Roman" w:cs="Times New Roman"/>
                <w:b w:val="0"/>
                <w:i w:val="0"/>
                <w:caps w:val="0"/>
                <w:sz w:val="16"/>
              </w:rPr>
              <w:t>bivalent valency penalty</w:t>
            </w:r>
          </w:p>
        </w:tc>
        <w:tc>
          <w:tcPr>
            <w:tcW w:type="dxa" w:w="2610"/>
          </w:tcPr>
          <w:p>
            <w:pPr>
              <w:spacing w:after="0"/>
            </w:pPr>
            <w:r>
              <w:rPr>
                <w:rFonts w:ascii="Times New Roman" w:hAnsi="Times New Roman" w:cs="Times New Roman"/>
                <w:b w:val="0"/>
                <w:i w:val="0"/>
                <w:caps w:val="0"/>
                <w:sz w:val="16"/>
              </w:rPr>
              <w:t>0.174</w:t>
            </w:r>
          </w:p>
        </w:tc>
        <w:tc>
          <w:tcPr>
            <w:tcW w:type="dxa" w:w="2610"/>
          </w:tcPr>
          <w:p>
            <w:pPr>
              <w:spacing w:after="0"/>
            </w:pPr>
            <w:r>
              <w:rPr>
                <w:rFonts w:ascii="Times New Roman" w:hAnsi="Times New Roman" w:cs="Times New Roman"/>
                <w:b w:val="0"/>
                <w:i w:val="0"/>
                <w:caps w:val="0"/>
                <w:sz w:val="16"/>
              </w:rPr>
              <w:t>measured [8]</w:t>
            </w:r>
          </w:p>
        </w:tc>
      </w:tr>
      <w:tr>
        <w:tc>
          <w:tcPr>
            <w:tcW w:type="dxa" w:w="2610"/>
          </w:tcPr>
          <w:p>
            <w:pPr>
              <w:spacing w:after="0"/>
            </w:pPr>
            <w:r>
              <w:rPr>
                <w:rFonts w:ascii="Times New Roman" w:hAnsi="Times New Roman" w:cs="Times New Roman"/>
                <w:b w:val="0"/>
                <w:i/>
                <w:caps w:val="0"/>
                <w:sz w:val="16"/>
              </w:rPr>
              <w:t>w</w:t>
            </w:r>
            <w:r>
              <w:rPr>
                <w:rFonts w:ascii="Times New Roman" w:hAnsi="Times New Roman" w:cs="Times New Roman"/>
                <w:b w:val="0"/>
                <w:i/>
                <w:caps w:val="0"/>
                <w:sz w:val="16"/>
                <w:vertAlign w:val="subscript"/>
              </w:rPr>
              <w:t>sw</w:t>
            </w:r>
          </w:p>
        </w:tc>
        <w:tc>
          <w:tcPr>
            <w:tcW w:type="dxa" w:w="2610"/>
          </w:tcPr>
          <w:p>
            <w:pPr>
              <w:spacing w:after="0"/>
            </w:pPr>
            <w:r>
              <w:rPr>
                <w:rFonts w:ascii="Times New Roman" w:hAnsi="Times New Roman" w:cs="Times New Roman"/>
                <w:b w:val="0"/>
                <w:i w:val="0"/>
                <w:caps w:val="0"/>
                <w:sz w:val="16"/>
              </w:rPr>
              <w:t>clustering switch width</w:t>
            </w:r>
          </w:p>
        </w:tc>
        <w:tc>
          <w:tcPr>
            <w:tcW w:type="dxa" w:w="2610"/>
          </w:tcPr>
          <w:p>
            <w:pPr>
              <w:spacing w:after="0"/>
            </w:pPr>
            <w:r>
              <w:rPr>
                <w:rFonts w:ascii="Times New Roman" w:hAnsi="Times New Roman" w:cs="Times New Roman"/>
                <w:b w:val="0"/>
                <w:i w:val="0"/>
                <w:caps w:val="0"/>
                <w:sz w:val="16"/>
              </w:rPr>
              <w:t>6 repeats</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anchors admit only 4.0-7.5 (Section III-A), swept globally</w:t>
            </w:r>
          </w:p>
        </w:tc>
      </w:tr>
      <w:tr>
        <w:tc>
          <w:tcPr>
            <w:tcW w:type="dxa" w:w="2610"/>
          </w:tcPr>
          <w:p>
            <w:pPr>
              <w:spacing w:after="0"/>
            </w:pPr>
            <w:r>
              <w:rPr>
                <w:rFonts w:ascii="Times New Roman" w:hAnsi="Times New Roman" w:cs="Times New Roman"/>
                <w:b w:val="0"/>
                <w:i w:val="0"/>
                <w:caps w:val="0"/>
                <w:sz w:val="16"/>
              </w:rPr>
              <w:t xml:space="preserve">L₅₀,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death</w:t>
            </w:r>
            <w:r>
              <w:rPr>
                <w:rFonts w:ascii="Times New Roman" w:hAnsi="Times New Roman" w:cs="Times New Roman"/>
                <w:b w:val="0"/>
                <w:i w:val="0"/>
                <w:caps w:val="0"/>
                <w:sz w:val="16"/>
              </w:rPr>
              <w:t xml:space="preserve">, width, </w:t>
            </w:r>
            <w:r>
              <w:rPr>
                <w:rFonts w:ascii="Times New Roman" w:hAnsi="Times New Roman" w:cs="Times New Roman"/>
                <w:b w:val="0"/>
                <w:i/>
                <w:caps w:val="0"/>
                <w:sz w:val="16"/>
              </w:rPr>
              <w:t>h</w:t>
            </w:r>
            <w:r>
              <w:rPr>
                <w:rFonts w:ascii="Times New Roman" w:hAnsi="Times New Roman" w:cs="Times New Roman"/>
                <w:b w:val="0"/>
                <w:i/>
                <w:caps w:val="0"/>
                <w:sz w:val="16"/>
                <w:vertAlign w:val="subscript"/>
              </w:rPr>
              <w:t>max</w:t>
            </w:r>
            <w:r>
              <w:rPr>
                <w:rFonts w:ascii="Times New Roman" w:hAnsi="Times New Roman" w:cs="Times New Roman"/>
                <w:b w:val="0"/>
                <w:i w:val="0"/>
                <w:caps w:val="0"/>
                <w:sz w:val="16"/>
              </w:rPr>
              <w:t>, contraction terms</w:t>
            </w:r>
          </w:p>
        </w:tc>
        <w:tc>
          <w:tcPr>
            <w:tcW w:type="dxa" w:w="2610"/>
          </w:tcPr>
          <w:p>
            <w:pPr>
              <w:spacing w:after="0"/>
            </w:pPr>
            <w:r>
              <w:rPr>
                <w:rFonts w:ascii="Times New Roman" w:hAnsi="Times New Roman" w:cs="Times New Roman"/>
                <w:b w:val="0"/>
                <w:i w:val="0"/>
                <w:caps w:val="0"/>
                <w:sz w:val="16"/>
              </w:rPr>
              <w:t>structural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fitted_parameters.json</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globally in Section III-M</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max</w:t>
            </w:r>
          </w:p>
        </w:tc>
        <w:tc>
          <w:tcPr>
            <w:tcW w:type="dxa" w:w="2610"/>
          </w:tcPr>
          <w:p>
            <w:pPr>
              <w:spacing w:after="0"/>
            </w:pPr>
            <w:r>
              <w:rPr>
                <w:rFonts w:ascii="Times New Roman" w:hAnsi="Times New Roman" w:cs="Times New Roman"/>
                <w:b w:val="0"/>
                <w:i w:val="0"/>
                <w:caps w:val="0"/>
                <w:sz w:val="16"/>
              </w:rPr>
              <w:t>numerical ceiling on tract length</w:t>
            </w:r>
          </w:p>
        </w:tc>
        <w:tc>
          <w:tcPr>
            <w:tcW w:type="dxa" w:w="2610"/>
          </w:tcPr>
          <w:p>
            <w:pPr>
              <w:spacing w:after="0"/>
            </w:pPr>
            <w:r>
              <w:rPr>
                <w:rFonts w:ascii="Times New Roman" w:hAnsi="Times New Roman" w:cs="Times New Roman"/>
                <w:b w:val="0"/>
                <w:i w:val="0"/>
                <w:caps w:val="0"/>
                <w:sz w:val="16"/>
              </w:rPr>
              <w:t>1,000 repeats</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globally in Section III-M</w:t>
            </w:r>
          </w:p>
        </w:tc>
      </w:tr>
      <w:tr>
        <w:tc>
          <w:tcPr>
            <w:tcW w:type="dxa" w:w="2610"/>
          </w:tcPr>
          <w:p>
            <w:pPr>
              <w:spacing w:after="0"/>
            </w:pPr>
            <w:r>
              <w:rPr>
                <w:rFonts w:ascii="Times New Roman" w:hAnsi="Times New Roman" w:cs="Times New Roman"/>
                <w:b w:val="0"/>
                <w:i w:val="0"/>
                <w:caps w:val="0"/>
                <w:sz w:val="16"/>
              </w:rPr>
              <w:t>parental age at onset</w:t>
            </w:r>
          </w:p>
        </w:tc>
        <w:tc>
          <w:tcPr>
            <w:tcW w:type="dxa" w:w="2610"/>
          </w:tcPr>
          <w:p>
            <w:pPr>
              <w:spacing w:after="0"/>
            </w:pPr>
            <w:r>
              <w:rPr>
                <w:rFonts w:ascii="Times New Roman" w:hAnsi="Times New Roman" w:cs="Times New Roman"/>
                <w:b w:val="0"/>
                <w:i w:val="0"/>
                <w:caps w:val="0"/>
                <w:sz w:val="16"/>
              </w:rPr>
              <w:t>input to the external onset regression [10]</w:t>
            </w:r>
          </w:p>
        </w:tc>
        <w:tc>
          <w:tcPr>
            <w:tcW w:type="dxa" w:w="2610"/>
          </w:tcPr>
          <w:p>
            <w:pPr>
              <w:spacing w:after="0"/>
            </w:pPr>
            <w:r>
              <w:rPr>
                <w:rFonts w:ascii="Times New Roman" w:hAnsi="Times New Roman" w:cs="Times New Roman"/>
                <w:b w:val="0"/>
                <w:i w:val="0"/>
                <w:caps w:val="0"/>
                <w:sz w:val="16"/>
              </w:rPr>
              <w:t>45 years</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one at a time in Section III-E</w:t>
            </w:r>
          </w:p>
        </w:tc>
      </w:tr>
      <w:tr>
        <w:tc>
          <w:tcPr>
            <w:tcW w:type="dxa" w:w="2610"/>
          </w:tcPr>
          <w:p>
            <w:pPr>
              <w:spacing w:after="0"/>
            </w:pPr>
            <w:r>
              <w:rPr>
                <w:rFonts w:ascii="Times New Roman" w:hAnsi="Times New Roman" w:cs="Times New Roman"/>
                <w:b w:val="0"/>
                <w:i w:val="0"/>
                <w:caps w:val="0"/>
                <w:sz w:val="16"/>
              </w:rPr>
              <w:t>brain and striatum masses, body weight, putaminal depths, plasma volume</w:t>
            </w:r>
          </w:p>
        </w:tc>
        <w:tc>
          <w:tcPr>
            <w:tcW w:type="dxa" w:w="2610"/>
          </w:tcPr>
          <w:p>
            <w:pPr>
              <w:spacing w:after="0"/>
            </w:pPr>
            <w:r>
              <w:rPr>
                <w:rFonts w:ascii="Times New Roman" w:hAnsi="Times New Roman" w:cs="Times New Roman"/>
                <w:b w:val="0"/>
                <w:i w:val="0"/>
                <w:caps w:val="0"/>
                <w:sz w:val="16"/>
              </w:rPr>
              <w:t>scaling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delivery_constants.csv</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one at a time, not globally</w:t>
            </w:r>
          </w:p>
        </w:tc>
      </w:tr>
      <w:tr>
        <w:tc>
          <w:tcPr>
            <w:tcW w:type="dxa" w:w="2610"/>
          </w:tcPr>
          <w:p>
            <w:pPr>
              <w:spacing w:after="0"/>
            </w:pPr>
            <w:r>
              <w:rPr>
                <w:rFonts w:ascii="Times New Roman" w:hAnsi="Times New Roman" w:cs="Times New Roman"/>
                <w:b w:val="0"/>
                <w:i w:val="0"/>
                <w:caps w:val="0"/>
                <w:sz w:val="16"/>
              </w:rPr>
              <w:t>molecular weight</w:t>
            </w:r>
          </w:p>
        </w:tc>
        <w:tc>
          <w:tcPr>
            <w:tcW w:type="dxa" w:w="2610"/>
          </w:tcPr>
          <w:p>
            <w:pPr>
              <w:spacing w:after="0"/>
            </w:pPr>
            <w:r>
              <w:rPr>
                <w:rFonts w:ascii="Times New Roman" w:hAnsi="Times New Roman" w:cs="Times New Roman"/>
                <w:b w:val="0"/>
                <w:i w:val="0"/>
                <w:caps w:val="0"/>
                <w:sz w:val="16"/>
              </w:rPr>
              <w:t>translation constant</w:t>
            </w:r>
          </w:p>
        </w:tc>
        <w:tc>
          <w:tcPr>
            <w:tcW w:type="dxa" w:w="2610"/>
          </w:tcPr>
          <w:p>
            <w:pPr>
              <w:spacing w:after="0"/>
            </w:pPr>
            <w:r>
              <w:rPr>
                <w:rFonts w:ascii="Times New Roman" w:hAnsi="Times New Roman" w:cs="Times New Roman"/>
                <w:b w:val="0"/>
                <w:i w:val="0"/>
                <w:caps w:val="0"/>
                <w:sz w:val="16"/>
              </w:rPr>
              <w:t>14 kDa (swept 7 to 28)</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one at a time in the delivery figures</w:t>
            </w:r>
          </w:p>
        </w:tc>
      </w:tr>
      <w:tr>
        <w:tc>
          <w:tcPr>
            <w:tcW w:type="dxa" w:w="2610"/>
          </w:tcPr>
          <w:p>
            <w:pPr>
              <w:spacing w:after="0"/>
            </w:pPr>
            <w:r>
              <w:rPr>
                <w:rFonts w:ascii="Times New Roman" w:hAnsi="Times New Roman" w:cs="Times New Roman"/>
                <w:b w:val="0"/>
                <w:i w:val="0"/>
                <w:caps w:val="0"/>
                <w:sz w:val="16"/>
              </w:rPr>
              <w:t>endosomal escape fraction</w:t>
            </w:r>
          </w:p>
        </w:tc>
        <w:tc>
          <w:tcPr>
            <w:tcW w:type="dxa" w:w="2610"/>
          </w:tcPr>
          <w:p>
            <w:pPr>
              <w:spacing w:after="0"/>
            </w:pPr>
            <w:r>
              <w:rPr>
                <w:rFonts w:ascii="Times New Roman" w:hAnsi="Times New Roman" w:cs="Times New Roman"/>
                <w:b w:val="0"/>
                <w:i w:val="0"/>
                <w:caps w:val="0"/>
                <w:sz w:val="16"/>
              </w:rPr>
              <w:t>translation constant</w:t>
            </w:r>
          </w:p>
        </w:tc>
        <w:tc>
          <w:tcPr>
            <w:tcW w:type="dxa" w:w="2610"/>
          </w:tcPr>
          <w:p>
            <w:pPr>
              <w:spacing w:after="0"/>
            </w:pPr>
            <w:r>
              <w:rPr>
                <w:rFonts w:ascii="Times New Roman" w:hAnsi="Times New Roman" w:cs="Times New Roman"/>
                <w:b w:val="0"/>
                <w:i w:val="0"/>
                <w:caps w:val="0"/>
                <w:sz w:val="16"/>
              </w:rPr>
              <w:t>0.02</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swept one at a time in the delivery figures</w:t>
            </w:r>
          </w:p>
        </w:tc>
      </w:tr>
      <w:tr>
        <w:tc>
          <w:tcPr>
            <w:tcW w:type="dxa" w:w="2610"/>
          </w:tcPr>
          <w:p>
            <w:pPr>
              <w:spacing w:after="0"/>
            </w:pPr>
            <w:r>
              <w:rPr>
                <w:rFonts w:ascii="Times New Roman" w:hAnsi="Times New Roman" w:cs="Times New Roman"/>
                <w:b w:val="0"/>
                <w:i w:val="0"/>
                <w:caps w:val="0"/>
                <w:sz w:val="16"/>
              </w:rPr>
              <w:t>tissue half-life, dosing interval</w:t>
            </w:r>
          </w:p>
        </w:tc>
        <w:tc>
          <w:tcPr>
            <w:tcW w:type="dxa" w:w="2610"/>
          </w:tcPr>
          <w:p>
            <w:pPr>
              <w:spacing w:after="0"/>
            </w:pPr>
            <w:r>
              <w:rPr>
                <w:rFonts w:ascii="Times New Roman" w:hAnsi="Times New Roman" w:cs="Times New Roman"/>
                <w:b w:val="0"/>
                <w:i w:val="0"/>
                <w:caps w:val="0"/>
                <w:sz w:val="16"/>
              </w:rPr>
              <w:t>schedule</w:t>
            </w:r>
          </w:p>
        </w:tc>
        <w:tc>
          <w:tcPr>
            <w:tcW w:type="dxa" w:w="2610"/>
          </w:tcPr>
          <w:p>
            <w:pPr>
              <w:spacing w:after="0"/>
            </w:pPr>
            <w:r>
              <w:rPr>
                <w:rFonts w:ascii="Times New Roman" w:hAnsi="Times New Roman" w:cs="Times New Roman"/>
                <w:b w:val="0"/>
                <w:i w:val="0"/>
                <w:caps w:val="0"/>
                <w:sz w:val="16"/>
              </w:rPr>
              <w:t>1 to 12 mo, 3 to 12 mo</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r>
        <w:tc>
          <w:tcPr>
            <w:tcW w:type="dxa" w:w="2610"/>
          </w:tcPr>
          <w:p>
            <w:pPr>
              <w:spacing w:after="0"/>
            </w:pPr>
            <w:r>
              <w:rPr>
                <w:rFonts w:ascii="Times New Roman" w:hAnsi="Times New Roman" w:cs="Times New Roman"/>
                <w:b w:val="0"/>
                <w:i w:val="0"/>
                <w:caps w:val="0"/>
                <w:sz w:val="16"/>
              </w:rPr>
              <w:t>imaging measurement SD</w:t>
            </w:r>
          </w:p>
        </w:tc>
        <w:tc>
          <w:tcPr>
            <w:tcW w:type="dxa" w:w="2610"/>
          </w:tcPr>
          <w:p>
            <w:pPr>
              <w:spacing w:after="0"/>
            </w:pPr>
            <w:r>
              <w:rPr>
                <w:rFonts w:ascii="Times New Roman" w:hAnsi="Times New Roman" w:cs="Times New Roman"/>
                <w:b w:val="0"/>
                <w:i w:val="0"/>
                <w:caps w:val="0"/>
                <w:sz w:val="16"/>
              </w:rPr>
              <w:t>trial noise</w:t>
            </w:r>
          </w:p>
        </w:tc>
        <w:tc>
          <w:tcPr>
            <w:tcW w:type="dxa" w:w="2610"/>
          </w:tcPr>
          <w:p>
            <w:pPr>
              <w:spacing w:after="0"/>
            </w:pPr>
            <w:r>
              <w:rPr>
                <w:rFonts w:ascii="Times New Roman" w:hAnsi="Times New Roman" w:cs="Times New Roman"/>
                <w:b w:val="0"/>
                <w:i w:val="0"/>
                <w:caps w:val="0"/>
                <w:sz w:val="16"/>
              </w:rPr>
              <w:t>0 to 4 points</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O.  Profiling the exposure-response curve</w:t>
      </w:r>
    </w:p>
    <w:p>
      <w:pPr>
        <w:spacing w:after="60" w:before="0" w:line="240" w:lineRule="auto"/>
        <w:ind w:firstLine="288"/>
        <w:jc w:val="both"/>
      </w:pPr>
      <w:r>
        <w:rPr>
          <w:rFonts w:ascii="Times New Roman" w:hAnsi="Times New Roman" w:cs="Times New Roman"/>
          <w:b w:val="0"/>
          <w:i w:val="0"/>
          <w:caps w:val="0"/>
          <w:sz w:val="20"/>
        </w:rPr>
        <w:t>The Emax curve mapping tissue exposure to striatal MSH3 protein has two free parameters and two calibrating measurements, so it fits them exactly and carries no residual from which to judge it. The curve is nonetheless the single route by which every delivery and dosing number is computed, so it is profiled the same way the rate-law parameters are in Section II-D: the Hill coefficient is held at each value on a grid from 0.5 to 3.0 in steps of 0.05, EC₅₀ is refitted by least squares through the two measured points, and the worst relative deviation across them is recorded. An admissible window is read off at a 10% tolerance, matching the tolerance used for the rate law, and the EC₅₀ values at its edges are propagated into the required striatal exposures, the implied drug masses and, by proportionality, the systemic shortfall. Results in Section III-N.</w:t>
      </w:r>
    </w:p>
    <w:p>
      <w:pPr>
        <w:spacing w:after="60" w:before="160" w:line="240" w:lineRule="auto"/>
        <w:ind w:firstLine="0"/>
        <w:jc w:val="center"/>
      </w:pPr>
      <w:r>
        <w:rPr>
          <w:rFonts w:ascii="Times New Roman" w:hAnsi="Times New Roman" w:cs="Times New Roman"/>
          <w:b w:val="0"/>
          <w:i w:val="0"/>
          <w:caps/>
          <w:sz w:val="20"/>
        </w:rPr>
        <w:t>III.  Results</w:t>
      </w:r>
    </w:p>
    <w:p>
      <w:pPr>
        <w:spacing w:after="40" w:before="120" w:line="240" w:lineRule="auto"/>
        <w:ind w:firstLine="0"/>
        <w:jc w:val="left"/>
      </w:pPr>
      <w:r>
        <w:rPr>
          <w:rFonts w:ascii="Times New Roman" w:hAnsi="Times New Roman" w:cs="Times New Roman"/>
          <w:b w:val="0"/>
          <w:i/>
          <w:caps w:val="0"/>
          <w:sz w:val="20"/>
        </w:rPr>
        <w:t>A.  The clock is a switch, not a ramp</w:t>
      </w:r>
    </w:p>
    <w:p>
      <w:pPr>
        <w:spacing w:after="60" w:before="0" w:line="240" w:lineRule="auto"/>
        <w:ind w:firstLine="288"/>
        <w:jc w:val="both"/>
      </w:pPr>
      <w:r>
        <w:rPr>
          <w:rFonts w:ascii="Times New Roman" w:hAnsi="Times New Roman" w:cs="Times New Roman"/>
          <w:b w:val="0"/>
          <w:i w:val="0"/>
          <w:caps w:val="0"/>
          <w:sz w:val="20"/>
        </w:rPr>
        <w:t xml:space="preserve">The four-parameter rate law reproduces all four published kinetic anchors exactly (Fig. 1C; </w:t>
      </w:r>
      <w:r>
        <w:rPr>
          <w:rFonts w:ascii="Consolas" w:hAnsi="Consolas" w:cs="Consolas"/>
          <w:b w:val="0"/>
          <w:i w:val="0"/>
          <w:caps w:val="0"/>
          <w:sz w:val="20"/>
        </w:rPr>
        <w:t>results/calibration_check.csv</w:t>
      </w:r>
      <w:r>
        <w:rPr>
          <w:rFonts w:ascii="Times New Roman" w:hAnsi="Times New Roman" w:cs="Times New Roman"/>
          <w:b w:val="0"/>
          <w:i w:val="0"/>
          <w:caps w:val="0"/>
          <w:sz w:val="20"/>
        </w:rPr>
        <w:t>). The fitted basal rate is λ(40) = 0.070 events per cell per year, which is about one mutation every fourteen years, rising to 8.1 per year at 150 repeats. That is a 117-fold increase over the length range a neuron traverses in a lifetime (Fig. 1B).</w:t>
      </w:r>
    </w:p>
    <w:p>
      <w:pPr>
        <w:spacing w:after="60" w:before="0" w:line="240" w:lineRule="auto"/>
        <w:ind w:firstLine="288"/>
        <w:jc w:val="both"/>
      </w:pPr>
      <w:r>
        <w:rPr>
          <w:rFonts w:ascii="Times New Roman" w:hAnsi="Times New Roman" w:cs="Times New Roman"/>
          <w:b w:val="0"/>
          <w:i w:val="0"/>
          <w:caps w:val="0"/>
          <w:sz w:val="20"/>
        </w:rPr>
        <w:t xml:space="preserve">How the increase is assembled turns out to matter more than its size. Almost all of it is carried by one term. Half of slip-outs are clustered by the time the tract reaches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 80.2 repeats, and a clustered slip-out is R = 17.7 times more likely to escape repair and become a real expansion event than an isolated one (Fig. 1A). The two fitted quantities are not equally well determined and should not be quoted as though they were: the profile analysis below pins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78.3 to 81.7 repeats at a 10% tolerance but leaves R anywhere between 3.7 and 22.9, a six-fold span. What the anchors establish about R is that clustering raises the escape probability by something closer to an order of magnitude than to a factor of two; the specific value of 17.7 is the best fit, not a measurement.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spacing w:after="60" w:before="0" w:line="240" w:lineRule="auto"/>
        <w:ind w:firstLine="288"/>
        <w:jc w:val="both"/>
      </w:pPr>
      <w:r>
        <w:rPr>
          <w:rFonts w:ascii="Times New Roman" w:hAnsi="Times New Roman" w:cs="Times New Roman"/>
          <w:b w:val="0"/>
          <w:i w:val="0"/>
          <w:caps w:val="0"/>
          <w:sz w:val="20"/>
        </w:rPr>
        <w:t xml:space="preserve">The profile analysis makes the point sharply (Fig. 2; </w:t>
      </w:r>
      <w:r>
        <w:rPr>
          <w:rFonts w:ascii="Consolas" w:hAnsi="Consolas" w:cs="Consolas"/>
          <w:b w:val="0"/>
          <w:i w:val="0"/>
          <w:caps w:val="0"/>
          <w:sz w:val="20"/>
        </w:rPr>
        <w:t>results/profile_intervals.csv</w:t>
      </w:r>
      <w:r>
        <w:rPr>
          <w:rFonts w:ascii="Times New Roman" w:hAnsi="Times New Roman" w:cs="Times New Roman"/>
          <w:b w:val="0"/>
          <w:i w:val="0"/>
          <w:caps w:val="0"/>
          <w:sz w:val="20"/>
        </w:rPr>
        <w:t xml:space="preserve">). Holding the fit to within 10% of its best worst-case residual, λ(40) is pinned to 0.060 to 0.071 per year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78.3 to 81.7 repeats, but β ranges over the entire grid from 0.0001 to 0.03 per repeat without the fit degrading at all. Loosen the tolerance to 25%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still only widens to 71.7 to 118.3 repeats while R spans 2 to 42. In other words: </w:t>
      </w:r>
      <w:r>
        <w:rPr>
          <w:rFonts w:ascii="Times New Roman" w:hAnsi="Times New Roman" w:cs="Times New Roman"/>
          <w:b/>
          <w:i w:val="0"/>
          <w:caps w:val="0"/>
          <w:sz w:val="20"/>
        </w:rPr>
        <w:t>the position of the switch is one of the best-determined quantities in the model, and the slip-out stability parameter is not determined at all.</w:t>
      </w:r>
      <w:r>
        <w:rPr>
          <w:rFonts w:ascii="Times New Roman" w:hAnsi="Times New Roman" w:cs="Times New Roman"/>
          <w:b w:val="0"/>
          <w:i w:val="0"/>
          <w:caps w:val="0"/>
          <w:sz w:val="20"/>
        </w:rPr>
        <w:t xml:space="preserve"> β is consistent with zero, and setting it to zero costs nothing. The model reduces, in practice, to a threshold at roughly eighty repeats.</w:t>
      </w:r>
    </w:p>
    <w:p>
      <w:pPr>
        <w:spacing w:after="60" w:before="0" w:line="240" w:lineRule="auto"/>
        <w:ind w:firstLine="288"/>
        <w:jc w:val="both"/>
      </w:pPr>
      <w:r>
        <w:rPr>
          <w:rFonts w:ascii="Times New Roman" w:hAnsi="Times New Roman" w:cs="Times New Roman"/>
          <w:b/>
          <w:i w:val="0"/>
          <w:caps w:val="0"/>
          <w:sz w:val="20"/>
        </w:rPr>
        <w:t>The anchors constrain the sharpness of the switch, not only its position.</w:t>
      </w:r>
      <w:r>
        <w:rPr>
          <w:rFonts w:ascii="Times New Roman" w:hAnsi="Times New Roman" w:cs="Times New Roman"/>
          <w:b w:val="0"/>
          <w:i w:val="0"/>
          <w:caps w:val="0"/>
          <w:sz w:val="20"/>
        </w:rPr>
        <w:t xml:space="preserve"> A switch has two properties, where it sits and how sharp it is, and only the first was fitted: the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is an input, fixed at 6 repeats before the optimiser runs. So the claim that the length dependence is switch-like initially described a shape that was partly chosen rather than wholly inferred. Testing it is straightforward, by holding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at a grid of values from 3 to 12 repeats and refitting all four parameters at each one (Figure 11E; </w:t>
      </w:r>
      <w:r>
        <w:rPr>
          <w:rFonts w:ascii="Consolas" w:hAnsi="Consolas" w:cs="Consolas"/>
          <w:b w:val="0"/>
          <w:i w:val="0"/>
          <w:caps w:val="0"/>
          <w:sz w:val="20"/>
        </w:rPr>
        <w:t>results/wsw_profile.csv</w:t>
      </w:r>
      <w:r>
        <w:rPr>
          <w:rFonts w:ascii="Times New Roman" w:hAnsi="Times New Roman" w:cs="Times New Roman"/>
          <w:b w:val="0"/>
          <w:i w:val="0"/>
          <w:caps w:val="0"/>
          <w:sz w:val="20"/>
        </w:rPr>
        <w:t>), and the test does not come back flat.</w:t>
      </w:r>
    </w:p>
    <w:p>
      <w:pPr>
        <w:spacing w:after="60" w:before="0" w:line="240" w:lineRule="auto"/>
        <w:ind w:firstLine="288"/>
        <w:jc w:val="both"/>
      </w:pPr>
      <w:r>
        <w:rPr>
          <w:rFonts w:ascii="Times New Roman" w:hAnsi="Times New Roman" w:cs="Times New Roman"/>
          <w:b w:val="0"/>
          <w:i w:val="0"/>
          <w:caps w:val="0"/>
          <w:sz w:val="20"/>
        </w:rPr>
        <w:t xml:space="preserve">An exact fit to the four anchors exists </w:t>
      </w:r>
      <w:r>
        <w:rPr>
          <w:rFonts w:ascii="Times New Roman" w:hAnsi="Times New Roman" w:cs="Times New Roman"/>
          <w:b/>
          <w:i w:val="0"/>
          <w:caps w:val="0"/>
          <w:sz w:val="20"/>
        </w:rPr>
        <w:t>only for widths between 4.0 and 7.5 repeats.</w:t>
      </w:r>
      <w:r>
        <w:rPr>
          <w:rFonts w:ascii="Times New Roman" w:hAnsi="Times New Roman" w:cs="Times New Roman"/>
          <w:b w:val="0"/>
          <w:i w:val="0"/>
          <w:caps w:val="0"/>
          <w:sz w:val="20"/>
        </w:rPr>
        <w:t xml:space="preserve"> Outside that window the fit degrades monotonically: at 3 repeats the worst anchor misses by 5.2%, at 12 repeats by 13.5%. The published dwell times therefore do not merely permit a sharp transition, they require one. A transition spread over a dozen repeats cannot reproduce twelve years from 60 to 80 and four years from 80 to 150 at the same time. This is the strongest single piece of evidence in the paper for the switch structure, and it comes from an assumption that was put under test rather than defended.</w:t>
      </w:r>
    </w:p>
    <w:p>
      <w:pPr>
        <w:spacing w:after="60" w:before="0" w:line="240" w:lineRule="auto"/>
        <w:ind w:firstLine="288"/>
        <w:jc w:val="both"/>
      </w:pPr>
      <w:r>
        <w:rPr>
          <w:rFonts w:ascii="Times New Roman" w:hAnsi="Times New Roman" w:cs="Times New Roman"/>
          <w:b w:val="0"/>
          <w:i w:val="0"/>
          <w:caps w:val="0"/>
          <w:sz w:val="20"/>
        </w:rPr>
        <w:t xml:space="preserve">The position and the width have to be read jointly, because the sharper the switch is assumed to be, the earlier it is placed. Across the widths that admit an exact fit,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ranges from 76.4 to 85.3 repeats and R from 16.7 to 29.2; across the full swept range of widths, including those that no longer fit,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runs from 74.6 to 101.6. The defensible statement is therefore: </w:t>
      </w:r>
      <w:r>
        <w:rPr>
          <w:rFonts w:ascii="Times New Roman" w:hAnsi="Times New Roman" w:cs="Times New Roman"/>
          <w:b/>
          <w:i w:val="0"/>
          <w:caps w:val="0"/>
          <w:sz w:val="20"/>
        </w:rPr>
        <w:t>the data locate a sharp switch, complete within about four to eight repeats, with a midpoint near eighty, in the range 76 to 85 repeats.</w:t>
      </w:r>
      <w:r>
        <w:rPr>
          <w:rFonts w:ascii="Times New Roman" w:hAnsi="Times New Roman" w:cs="Times New Roman"/>
          <w:b w:val="0"/>
          <w:i w:val="0"/>
          <w:caps w:val="0"/>
          <w:sz w:val="20"/>
        </w:rPr>
        <w:t xml:space="preserve"> The specific figure of 80.2 is conditional on a width of exactly 6 and should not be quoted on its own.</w:t>
      </w:r>
    </w:p>
    <w:p>
      <w:pPr>
        <w:spacing w:after="60" w:before="0" w:line="240" w:lineRule="auto"/>
        <w:ind w:firstLine="288"/>
        <w:jc w:val="both"/>
      </w:pPr>
      <w:r>
        <w:rPr>
          <w:rFonts w:ascii="Times New Roman" w:hAnsi="Times New Roman" w:cs="Times New Roman"/>
          <w:b w:val="0"/>
          <w:i w:val="0"/>
          <w:caps w:val="0"/>
          <w:sz w:val="20"/>
        </w:rPr>
        <w:t>The switch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spacing w:after="60" w:before="0" w:line="240" w:lineRule="auto"/>
        <w:ind w:firstLine="288"/>
        <w:jc w:val="both"/>
      </w:pPr>
      <w:r>
        <w:rPr>
          <w:rFonts w:ascii="Times New Roman" w:hAnsi="Times New Roman" w:cs="Times New Roman"/>
          <w:b w:val="0"/>
          <w:i w:val="0"/>
          <w:caps w:val="0"/>
          <w:sz w:val="20"/>
        </w:rPr>
        <w:t xml:space="preserve">One corner of the earlier identifiability scan is degenerate and should be read as a warning rather than a result. Forcing the 80 to 150 repeat transit down to two years drives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the top of its range and R to roughly 2,600. That variant is the parameterisation breaking down, not a biological estimate, and it is flagged as such in </w:t>
      </w:r>
      <w:r>
        <w:rPr>
          <w:rFonts w:ascii="Consolas" w:hAnsi="Consolas" w:cs="Consolas"/>
          <w:b w:val="0"/>
          <w:i w:val="0"/>
          <w:caps w:val="0"/>
          <w:sz w:val="20"/>
        </w:rPr>
        <w:t>results/identifiability_profiles.csv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26781"/>
            <wp:docPr id="1" name="Picture 1"/>
            <wp:cNvGraphicFramePr>
              <a:graphicFrameLocks noChangeAspect="1"/>
            </wp:cNvGraphicFramePr>
            <a:graphic>
              <a:graphicData uri="http://schemas.openxmlformats.org/drawingml/2006/picture">
                <pic:pic>
                  <pic:nvPicPr>
                    <pic:cNvPr id="0" name="fig1_rate_law.png"/>
                    <pic:cNvPicPr/>
                  </pic:nvPicPr>
                  <pic:blipFill>
                    <a:blip r:embed="rId9"/>
                    <a:stretch>
                      <a:fillRect/>
                    </a:stretch>
                  </pic:blipFill>
                  <pic:spPr>
                    <a:xfrm>
                      <a:off x="0" y="0"/>
                      <a:ext cx="6492240" cy="2426781"/>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  </w:t>
      </w:r>
      <w:r>
        <w:rPr>
          <w:rFonts w:ascii="Times New Roman" w:hAnsi="Times New Roman" w:cs="Times New Roman"/>
          <w:b/>
          <w:i w:val="0"/>
          <w:caps w:val="0"/>
          <w:sz w:val="16"/>
        </w:rPr>
        <w:t>The fitted expansion rate law.</w:t>
      </w:r>
      <w:r>
        <w:rPr>
          <w:rFonts w:ascii="Times New Roman" w:hAnsi="Times New Roman" w:cs="Times New Roman"/>
          <w:b w:val="0"/>
          <w:i w:val="0"/>
          <w:caps w:val="0"/>
          <w:sz w:val="16"/>
        </w:rPr>
        <w:t xml:space="preserve"> (A)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1773817"/>
            <wp:docPr id="2" name="Picture 2"/>
            <wp:cNvGraphicFramePr>
              <a:graphicFrameLocks noChangeAspect="1"/>
            </wp:cNvGraphicFramePr>
            <a:graphic>
              <a:graphicData uri="http://schemas.openxmlformats.org/drawingml/2006/picture">
                <pic:pic>
                  <pic:nvPicPr>
                    <pic:cNvPr id="0" name="fig11_profile.png"/>
                    <pic:cNvPicPr/>
                  </pic:nvPicPr>
                  <pic:blipFill>
                    <a:blip r:embed="rId10"/>
                    <a:stretch>
                      <a:fillRect/>
                    </a:stretch>
                  </pic:blipFill>
                  <pic:spPr>
                    <a:xfrm>
                      <a:off x="0" y="0"/>
                      <a:ext cx="6492240" cy="1773817"/>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2.  </w:t>
      </w:r>
      <w:r>
        <w:rPr>
          <w:rFonts w:ascii="Times New Roman" w:hAnsi="Times New Roman" w:cs="Times New Roman"/>
          <w:b/>
          <w:i w:val="0"/>
          <w:caps w:val="0"/>
          <w:sz w:val="16"/>
        </w:rPr>
        <w:t>What the data actually pin down.</w:t>
      </w:r>
      <w:r>
        <w:rPr>
          <w:rFonts w:ascii="Times New Roman" w:hAnsi="Times New Roman" w:cs="Times New Roman"/>
          <w:b w:val="0"/>
          <w:i w:val="0"/>
          <w:caps w:val="0"/>
          <w:sz w:val="16"/>
        </w:rPr>
        <w:t xml:space="preserve"> (A to D) Each panel holds one fitted parameter at a fixed value, refits the other three, and plots the worst relative deviation from the four kinetic anchors. Flat regions are directions the data cannot see. λ(40) and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sit in sharp wells; β is flat across four orders of magnitude; R has a broad floor with a soft lower edge. (E) The switch width </w:t>
      </w:r>
      <w:r>
        <w:rPr>
          <w:rFonts w:ascii="Times New Roman" w:hAnsi="Times New Roman" w:cs="Times New Roman"/>
          <w:b w:val="0"/>
          <w:i/>
          <w:caps w:val="0"/>
          <w:sz w:val="16"/>
        </w:rPr>
        <w:t>w</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is an assumed input rather than a fitted parameter, so it is scanned differently: it is held at each value and all four parameters are refitted. Shading marks the widths that still meet the 10% tolerance, with the darker band the widths at which the fit is still exact. The switch position moves with the assumed width, so the two should be read together.</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B.  The productive MutSβ species is not a cooperative assembly</w:t>
      </w:r>
    </w:p>
    <w:p>
      <w:pPr>
        <w:spacing w:after="60" w:before="0" w:line="240" w:lineRule="auto"/>
        <w:ind w:firstLine="288"/>
        <w:jc w:val="both"/>
      </w:pPr>
      <w:r>
        <w:rPr>
          <w:rFonts w:ascii="Times New Roman" w:hAnsi="Times New Roman" w:cs="Times New Roman"/>
          <w:b w:val="0"/>
          <w:i w:val="0"/>
          <w:caps w:val="0"/>
          <w:sz w:val="20"/>
        </w:rPr>
        <w:t xml:space="preserve">If an expansion event needed a tandem assembly of k MutSβ molecules sitting on the same tract, then halving MSH3 would cut the rate by a factor of </w:t>
      </w:r>
      <w:r>
        <w:rPr>
          <w:rFonts w:ascii="Times New Roman" w:hAnsi="Times New Roman" w:cs="Times New Roman"/>
          <w:b w:val="0"/>
          <w:i/>
          <w:caps w:val="0"/>
          <w:sz w:val="20"/>
        </w:rPr>
        <w:t>2</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not 2. That is a sharp, testable difference, and there is published data that bears on it.</w:t>
      </w:r>
    </w:p>
    <w:p>
      <w:pPr>
        <w:spacing w:after="60" w:before="0" w:line="240" w:lineRule="auto"/>
        <w:ind w:firstLine="288"/>
        <w:jc w:val="both"/>
      </w:pPr>
      <w:r>
        <w:rPr>
          <w:rFonts w:ascii="Times New Roman" w:hAnsi="Times New Roman" w:cs="Times New Roman"/>
          <w:b w:val="0"/>
          <w:i w:val="0"/>
          <w:caps w:val="0"/>
          <w:sz w:val="20"/>
        </w:rPr>
        <w:t>The argument rests on two measurements, so they come first. At 25% residual MSH3 the measured prevention of striatal expansion is 78.1%; a first-order species predicts 75.0% and a tandem trimer predicts 98.4%. At 59% residual MSH3 the measured prevention is 45.1% against 41.0% for first order. Both points sit close to the first-order line and both are far from the cubic one, and that is the whole of the direct evidence.</w:t>
      </w:r>
    </w:p>
    <w:p>
      <w:pPr>
        <w:spacing w:after="60" w:before="0" w:line="240" w:lineRule="auto"/>
        <w:ind w:firstLine="288"/>
        <w:jc w:val="both"/>
      </w:pPr>
      <w:r>
        <w:rPr>
          <w:rFonts w:ascii="Times New Roman" w:hAnsi="Times New Roman" w:cs="Times New Roman"/>
          <w:b w:val="0"/>
          <w:i w:val="0"/>
          <w:caps w:val="0"/>
          <w:sz w:val="20"/>
        </w:rPr>
        <w:t>Stated as the worst error on either measured point, the non-circular version of the statistic, that is 4.1 percentage points for k = 1, 9.6 for k = 1.5, 20.1 for k = 2 and 34.4 for k = 3 (</w:t>
      </w:r>
      <w:r>
        <w:rPr>
          <w:rFonts w:ascii="Consolas" w:hAnsi="Consolas" w:cs="Consolas"/>
          <w:b w:val="0"/>
          <w:i w:val="0"/>
          <w:caps w:val="0"/>
          <w:sz w:val="20"/>
        </w:rPr>
        <w:t>results/model_comparison_msh3.csv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 xml:space="preserve">Scoring the candidate orders instead by root mean square error against the published regression gives 4.97% for k = 1, 18.02% for k = 2 and 26.43% for k = 3 (Fig. 3), which looks like a more decisive margin and is not. The comparator is a straight line fitted through those same two points, only k = 1 is itself a straight line in </w:t>
      </w:r>
      <w:r>
        <w:rPr>
          <w:rFonts w:ascii="Times New Roman" w:hAnsi="Times New Roman" w:cs="Times New Roman"/>
          <w:b w:val="0"/>
          <w:i/>
          <w:caps w:val="0"/>
          <w:sz w:val="20"/>
        </w:rPr>
        <w:t>m</w:t>
      </w:r>
      <w:r>
        <w:rPr>
          <w:rFonts w:ascii="Times New Roman" w:hAnsi="Times New Roman" w:cs="Times New Roman"/>
          <w:b w:val="0"/>
          <w:i w:val="0"/>
          <w:caps w:val="0"/>
          <w:sz w:val="20"/>
        </w:rPr>
        <w:t>, and nineteen of the twenty-one comparison levels are regression values where no measurement exists, all weighted equally. The test asks which curve is most like a line and offers one line, so the margin it reports is partly an artefact of its own construction. It is reported because it is the conventional comparison and because it is at least consistent, not because it settles anything.</w:t>
      </w:r>
    </w:p>
    <w:p>
      <w:pPr>
        <w:spacing w:after="60" w:before="0" w:line="240" w:lineRule="auto"/>
        <w:ind w:firstLine="288"/>
        <w:jc w:val="both"/>
      </w:pPr>
      <w:r>
        <w:rPr>
          <w:rFonts w:ascii="Times New Roman" w:hAnsi="Times New Roman" w:cs="Times New Roman"/>
          <w:b w:val="0"/>
          <w:i w:val="0"/>
          <w:caps w:val="0"/>
          <w:sz w:val="20"/>
        </w:rPr>
        <w:t>What the two real points can carry is a narrower claim than exact first-order behaviour, and that is the claim made here: the dose-response excludes a strongly cooperative productive species. A trimer would have to leave 98% of expansion prevented at the lower dose and it leaves 78%. The two points do prefer k = 1 over k = 1.5, by 4.1 against 9.6 percentage points of worst error, but a regression with R² = 0.65 behind them does not make that margin conclusive, and nothing in this paper depends on it: at the achievable knockdown levels the two orders predict suppression within a few points of each other. The claim carried forward is the one the data support, which is that the productive species is not a cooperative assembly.</w:t>
      </w:r>
    </w:p>
    <w:p>
      <w:pPr>
        <w:spacing w:after="60" w:before="0" w:line="240" w:lineRule="auto"/>
        <w:ind w:firstLine="288"/>
        <w:jc w:val="both"/>
      </w:pPr>
      <w:r>
        <w:rPr>
          <w:rFonts w:ascii="Times New Roman" w:hAnsi="Times New Roman" w:cs="Times New Roman"/>
          <w:b w:val="0"/>
          <w:i w:val="0"/>
          <w:caps w:val="0"/>
          <w:sz w:val="20"/>
        </w:rPr>
        <w:t>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spacing w:after="60" w:before="0" w:line="240" w:lineRule="auto"/>
        <w:ind w:firstLine="288"/>
        <w:jc w:val="both"/>
      </w:pPr>
      <w:r>
        <w:rPr>
          <w:rFonts w:ascii="Times New Roman" w:hAnsi="Times New Roman" w:cs="Times New Roman"/>
          <w:b w:val="0"/>
          <w:i w:val="0"/>
          <w:caps w:val="0"/>
          <w:sz w:val="20"/>
        </w:rPr>
        <w:t>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5803353"/>
            <wp:docPr id="3" name="Picture 3"/>
            <wp:cNvGraphicFramePr>
              <a:graphicFrameLocks noChangeAspect="1"/>
            </wp:cNvGraphicFramePr>
            <a:graphic>
              <a:graphicData uri="http://schemas.openxmlformats.org/drawingml/2006/picture">
                <pic:pic>
                  <pic:nvPicPr>
                    <pic:cNvPr id="0" name="fig2_msh3_order.png"/>
                    <pic:cNvPicPr/>
                  </pic:nvPicPr>
                  <pic:blipFill>
                    <a:blip r:embed="rId11"/>
                    <a:stretch>
                      <a:fillRect/>
                    </a:stretch>
                  </pic:blipFill>
                  <pic:spPr>
                    <a:xfrm>
                      <a:off x="0" y="0"/>
                      <a:ext cx="6492240" cy="5803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3.  </w:t>
      </w:r>
      <w:r>
        <w:rPr>
          <w:rFonts w:ascii="Times New Roman" w:hAnsi="Times New Roman" w:cs="Times New Roman"/>
          <w:b/>
          <w:i w:val="0"/>
          <w:caps w:val="0"/>
          <w:sz w:val="16"/>
        </w:rPr>
        <w:t>Inferring MutSβ stoichiometry from the MSH3 dose-response.</w:t>
      </w:r>
      <w:r>
        <w:rPr>
          <w:rFonts w:ascii="Times New Roman" w:hAnsi="Times New Roman" w:cs="Times New Roman"/>
          <w:b w:val="0"/>
          <w:i w:val="0"/>
          <w:caps w:val="0"/>
          <w:sz w:val="16"/>
        </w:rPr>
        <w:t xml:space="preserve"> The published regression (black) with the two measured intracerebroventricular doses (orange), against model predictions for k = 1, 2 and 3 simultaneously required MutSβ molecules.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C.  Two held-out observations are matched cleanly, and the three misses are each informative</w:t>
      </w:r>
    </w:p>
    <w:p>
      <w:pPr>
        <w:spacing w:after="60" w:before="0" w:line="240" w:lineRule="auto"/>
        <w:ind w:firstLine="288"/>
        <w:jc w:val="both"/>
      </w:pPr>
      <w:r>
        <w:rPr>
          <w:rFonts w:ascii="Times New Roman" w:hAnsi="Times New Roman" w:cs="Times New Roman"/>
          <w:b w:val="0"/>
          <w:i w:val="0"/>
          <w:caps w:val="0"/>
          <w:sz w:val="20"/>
        </w:rPr>
        <w:t>Simulating 20,000 independent projection neurons carrying 42 repeats, with no parameter tuned to any of the quantities below (</w:t>
      </w:r>
      <w:r>
        <w:rPr>
          <w:rFonts w:ascii="Consolas" w:hAnsi="Consolas" w:cs="Consolas"/>
          <w:b w:val="0"/>
          <w:i w:val="0"/>
          <w:caps w:val="0"/>
          <w:sz w:val="20"/>
        </w:rPr>
        <w:t>results/population_validation.csv</w:t>
      </w:r>
      <w:r>
        <w:rPr>
          <w:rFonts w:ascii="Times New Roman" w:hAnsi="Times New Roman" w:cs="Times New Roman"/>
          <w:b w:val="0"/>
          <w:i w:val="0"/>
          <w:caps w:val="0"/>
          <w:sz w:val="20"/>
        </w:rPr>
        <w:t>; the result table carries six rows rather than five, because the terminal-length comparison is written out as two statistics, its median and its 97.5th percentile, testing the centre and the tail of one distribution):</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IV</w:t>
      </w:r>
    </w:p>
    <w:p>
      <w:pPr>
        <w:spacing w:after="60" w:before="0" w:line="240" w:lineRule="auto"/>
        <w:ind w:firstLine="0"/>
        <w:jc w:val="center"/>
      </w:pPr>
      <w:r>
        <w:rPr>
          <w:rFonts w:ascii="Times New Roman" w:hAnsi="Times New Roman" w:cs="Times New Roman"/>
          <w:b w:val="0"/>
          <w:i w:val="0"/>
          <w:caps/>
          <w:sz w:val="16"/>
        </w:rPr>
        <w:t>Held-out observations, none of which was used in calibration, against the calibrated population model. Three rows match, one overshoots and one fails.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Held-out observation</w:t>
            </w:r>
          </w:p>
        </w:tc>
        <w:tc>
          <w:tcPr>
            <w:tcW w:type="dxa" w:w="3480"/>
          </w:tcPr>
          <w:p>
            <w:pPr>
              <w:spacing w:after="0"/>
            </w:pPr>
            <w:r/>
            <w:r>
              <w:rPr>
                <w:rFonts w:ascii="Times New Roman" w:hAnsi="Times New Roman" w:cs="Times New Roman"/>
                <w:b/>
                <w:i w:val="0"/>
                <w:caps w:val="0"/>
                <w:sz w:val="16"/>
              </w:rPr>
              <w:t>Published</w:t>
            </w:r>
          </w:p>
        </w:tc>
        <w:tc>
          <w:tcPr>
            <w:tcW w:type="dxa" w:w="3480"/>
          </w:tcPr>
          <w:p>
            <w:pPr>
              <w:spacing w:after="0"/>
            </w:pPr>
            <w:r/>
            <w:r>
              <w:rPr>
                <w:rFonts w:ascii="Times New Roman" w:hAnsi="Times New Roman" w:cs="Times New Roman"/>
                <w:b/>
                <w:i w:val="0"/>
                <w:caps w:val="0"/>
                <w:sz w:val="16"/>
              </w:rPr>
              <w:t>Model</w:t>
            </w:r>
          </w:p>
        </w:tc>
      </w:tr>
      <w:tr>
        <w:tc>
          <w:tcPr>
            <w:tcW w:type="dxa" w:w="3480"/>
          </w:tcPr>
          <w:p>
            <w:pPr>
              <w:spacing w:after="0"/>
            </w:pPr>
            <w:r>
              <w:rPr>
                <w:rFonts w:ascii="Times New Roman" w:hAnsi="Times New Roman" w:cs="Times New Roman"/>
                <w:b w:val="0"/>
                <w:i w:val="0"/>
                <w:caps w:val="0"/>
                <w:sz w:val="16"/>
              </w:rPr>
              <w:t>Neurons expanding beyond the inherited length</w:t>
            </w:r>
          </w:p>
        </w:tc>
        <w:tc>
          <w:tcPr>
            <w:tcW w:type="dxa" w:w="3480"/>
          </w:tcPr>
          <w:p>
            <w:pPr>
              <w:spacing w:after="0"/>
            </w:pPr>
            <w:r>
              <w:rPr>
                <w:rFonts w:ascii="Times New Roman" w:hAnsi="Times New Roman" w:cs="Times New Roman"/>
                <w:b w:val="0"/>
                <w:i w:val="0"/>
                <w:caps w:val="0"/>
                <w:sz w:val="16"/>
              </w:rPr>
              <w:t>95 to 98%</w:t>
            </w:r>
          </w:p>
        </w:tc>
        <w:tc>
          <w:tcPr>
            <w:tcW w:type="dxa" w:w="3480"/>
          </w:tcPr>
          <w:p>
            <w:pPr>
              <w:spacing w:after="0"/>
            </w:pPr>
            <w:r>
              <w:rPr>
                <w:rFonts w:ascii="Times New Roman" w:hAnsi="Times New Roman" w:cs="Times New Roman"/>
                <w:b w:val="0"/>
                <w:i w:val="0"/>
                <w:caps w:val="0"/>
                <w:sz w:val="16"/>
              </w:rPr>
              <w:t>99.9%</w:t>
            </w:r>
          </w:p>
        </w:tc>
      </w:tr>
      <w:tr>
        <w:tc>
          <w:tcPr>
            <w:tcW w:type="dxa" w:w="3480"/>
          </w:tcPr>
          <w:p>
            <w:pPr>
              <w:spacing w:after="0"/>
            </w:pPr>
            <w:r>
              <w:rPr>
                <w:rFonts w:ascii="Times New Roman" w:hAnsi="Times New Roman" w:cs="Times New Roman"/>
                <w:b w:val="0"/>
                <w:i w:val="0"/>
                <w:caps w:val="0"/>
                <w:sz w:val="16"/>
              </w:rPr>
              <w:t>Fraction of neuronal life spent between 42 and 150 repeats</w:t>
            </w:r>
          </w:p>
        </w:tc>
        <w:tc>
          <w:tcPr>
            <w:tcW w:type="dxa" w:w="3480"/>
          </w:tcPr>
          <w:p>
            <w:pPr>
              <w:spacing w:after="0"/>
            </w:pPr>
            <w:r>
              <w:rPr>
                <w:rFonts w:ascii="Times New Roman" w:hAnsi="Times New Roman" w:cs="Times New Roman"/>
                <w:b w:val="0"/>
                <w:i w:val="0"/>
                <w:caps w:val="0"/>
                <w:sz w:val="16"/>
              </w:rPr>
              <w:t>96.4% (SD 2.0)</w:t>
            </w:r>
          </w:p>
        </w:tc>
        <w:tc>
          <w:tcPr>
            <w:tcW w:type="dxa" w:w="3480"/>
          </w:tcPr>
          <w:p>
            <w:pPr>
              <w:spacing w:after="0"/>
            </w:pPr>
            <w:r>
              <w:rPr>
                <w:rFonts w:ascii="Times New Roman" w:hAnsi="Times New Roman" w:cs="Times New Roman"/>
                <w:b w:val="0"/>
                <w:i w:val="0"/>
                <w:caps w:val="0"/>
                <w:sz w:val="16"/>
              </w:rPr>
              <w:t>97.5%</w:t>
            </w:r>
          </w:p>
        </w:tc>
      </w:tr>
      <w:tr>
        <w:tc>
          <w:tcPr>
            <w:tcW w:type="dxa" w:w="3480"/>
          </w:tcPr>
          <w:p>
            <w:pPr>
              <w:spacing w:after="0"/>
            </w:pPr>
            <w:r>
              <w:rPr>
                <w:rFonts w:ascii="Times New Roman" w:hAnsi="Times New Roman" w:cs="Times New Roman"/>
                <w:b w:val="0"/>
                <w:i w:val="0"/>
                <w:caps w:val="0"/>
                <w:sz w:val="16"/>
              </w:rPr>
              <w:t>Time from 150 repeats to elimination</w:t>
            </w:r>
          </w:p>
        </w:tc>
        <w:tc>
          <w:tcPr>
            <w:tcW w:type="dxa" w:w="3480"/>
          </w:tcPr>
          <w:p>
            <w:pPr>
              <w:spacing w:after="0"/>
            </w:pPr>
            <w:r>
              <w:rPr>
                <w:rFonts w:ascii="Times New Roman" w:hAnsi="Times New Roman" w:cs="Times New Roman"/>
                <w:b w:val="0"/>
                <w:i w:val="0"/>
                <w:caps w:val="0"/>
                <w:sz w:val="16"/>
              </w:rPr>
              <w:t>months, not decades</w:t>
            </w:r>
          </w:p>
        </w:tc>
        <w:tc>
          <w:tcPr>
            <w:tcW w:type="dxa" w:w="3480"/>
          </w:tcPr>
          <w:p>
            <w:pPr>
              <w:spacing w:after="0"/>
            </w:pPr>
            <w:r>
              <w:rPr>
                <w:rFonts w:ascii="Times New Roman" w:hAnsi="Times New Roman" w:cs="Times New Roman"/>
                <w:b w:val="0"/>
                <w:i w:val="0"/>
                <w:caps w:val="0"/>
                <w:sz w:val="16"/>
              </w:rPr>
              <w:t>20 months (median)</w:t>
            </w:r>
          </w:p>
        </w:tc>
      </w:tr>
      <w:tr>
        <w:tc>
          <w:tcPr>
            <w:tcW w:type="dxa" w:w="3480"/>
          </w:tcPr>
          <w:p>
            <w:pPr>
              <w:spacing w:after="0"/>
            </w:pPr>
            <w:r>
              <w:rPr>
                <w:rFonts w:ascii="Times New Roman" w:hAnsi="Times New Roman" w:cs="Times New Roman"/>
                <w:b w:val="0"/>
                <w:i w:val="0"/>
                <w:caps w:val="0"/>
                <w:sz w:val="16"/>
              </w:rPr>
              <w:t>Terminal tract lengths</w:t>
            </w:r>
          </w:p>
        </w:tc>
        <w:tc>
          <w:tcPr>
            <w:tcW w:type="dxa" w:w="3480"/>
          </w:tcPr>
          <w:p>
            <w:pPr>
              <w:spacing w:after="0"/>
            </w:pPr>
            <w:r>
              <w:rPr>
                <w:rFonts w:ascii="Times New Roman" w:hAnsi="Times New Roman" w:cs="Times New Roman"/>
                <w:b w:val="0"/>
                <w:i w:val="0"/>
                <w:caps w:val="0"/>
                <w:sz w:val="16"/>
              </w:rPr>
              <w:t>100 to over 500, maximum 842</w:t>
            </w:r>
          </w:p>
        </w:tc>
        <w:tc>
          <w:tcPr>
            <w:tcW w:type="dxa" w:w="3480"/>
          </w:tcPr>
          <w:p>
            <w:pPr>
              <w:spacing w:after="0"/>
            </w:pPr>
            <w:r>
              <w:rPr>
                <w:rFonts w:ascii="Times New Roman" w:hAnsi="Times New Roman" w:cs="Times New Roman"/>
                <w:b w:val="0"/>
                <w:i w:val="0"/>
                <w:caps w:val="0"/>
                <w:sz w:val="16"/>
              </w:rPr>
              <w:t>median 236, 97.5th percentile 375</w:t>
            </w:r>
          </w:p>
        </w:tc>
      </w:tr>
      <w:tr>
        <w:tc>
          <w:tcPr>
            <w:tcW w:type="dxa" w:w="3480"/>
          </w:tcPr>
          <w:p>
            <w:pPr>
              <w:spacing w:after="0"/>
            </w:pPr>
            <w:r>
              <w:rPr>
                <w:rFonts w:ascii="Times New Roman" w:hAnsi="Times New Roman" w:cs="Times New Roman"/>
                <w:b w:val="0"/>
                <w:i w:val="0"/>
                <w:caps w:val="0"/>
                <w:sz w:val="16"/>
              </w:rPr>
              <w:t>Neuron loss at CAP = 600</w:t>
            </w:r>
          </w:p>
        </w:tc>
        <w:tc>
          <w:tcPr>
            <w:tcW w:type="dxa" w:w="3480"/>
          </w:tcPr>
          <w:p>
            <w:pPr>
              <w:spacing w:after="0"/>
            </w:pPr>
            <w:r>
              <w:rPr>
                <w:rFonts w:ascii="Times New Roman" w:hAnsi="Times New Roman" w:cs="Times New Roman"/>
                <w:b w:val="0"/>
                <w:i w:val="0"/>
                <w:caps w:val="0"/>
                <w:sz w:val="16"/>
              </w:rPr>
              <w:t>80 to 99%</w:t>
            </w:r>
          </w:p>
        </w:tc>
        <w:tc>
          <w:tcPr>
            <w:tcW w:type="dxa" w:w="3480"/>
          </w:tcPr>
          <w:p>
            <w:pPr>
              <w:spacing w:after="0"/>
            </w:pPr>
            <w:r>
              <w:rPr>
                <w:rFonts w:ascii="Times New Roman" w:hAnsi="Times New Roman" w:cs="Times New Roman"/>
                <w:b/>
                <w:i w:val="0"/>
                <w:caps w:val="0"/>
                <w:sz w:val="16"/>
              </w:rPr>
              <w:t>43.5%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Two rows match cleanly, the second and the third. Of the remaining three, one overshoots, one matches its centre but not its tail, and one fails outright, and all three are worth looking at rather than rounding up.</w:t>
      </w:r>
    </w:p>
    <w:p>
      <w:pPr>
        <w:spacing w:after="60" w:before="0" w:line="240" w:lineRule="auto"/>
        <w:ind w:firstLine="288"/>
        <w:jc w:val="both"/>
      </w:pPr>
      <w:r>
        <w:rPr>
          <w:rFonts w:ascii="Times New Roman" w:hAnsi="Times New Roman" w:cs="Times New Roman"/>
          <w:b w:val="0"/>
          <w:i w:val="0"/>
          <w:caps w:val="0"/>
          <w:sz w:val="20"/>
        </w:rPr>
        <w:t>The first row is the overshoot, and the prose should not call it a pass: the model has 99.9% of neurons expanding beyond their inherited length where 95 to 98% is reported, which is outside the published range even though it is in the right place qualitatively. The cause is the same conservative choice of step distribution discussed in Section II-B, in a different guise. With no mechanism in the model that holds a tract completely static over decades, essentially every neuron eventually gains at least one repeat, whereas a real population evidently contains a small fraction that does not. Two to five percent of neurons being somehow protected is a real observation and the model does not reproduce it. It does not affect anything downstream, since those neurons are a few percent of a population whose fate is decided by the ones that do expand, but it is a miss rather than a match.</w:t>
      </w:r>
    </w:p>
    <w:p>
      <w:pPr>
        <w:spacing w:after="60" w:before="0" w:line="240" w:lineRule="auto"/>
        <w:ind w:firstLine="288"/>
        <w:jc w:val="both"/>
      </w:pPr>
      <w:r>
        <w:rPr>
          <w:rFonts w:ascii="Times New Roman" w:hAnsi="Times New Roman" w:cs="Times New Roman"/>
          <w:b w:val="0"/>
          <w:i w:val="0"/>
          <w:caps w:val="0"/>
          <w:sz w:val="20"/>
        </w:rPr>
        <w:t>The terminal length distribution is the partial match. Its centre is right, with a median of 236 repeats sitting inside the observed 100 to over 500, but its upper tail stops at 375 where lengths beyond 500 are reported.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spacing w:after="60" w:before="0" w:line="240" w:lineRule="auto"/>
        <w:ind w:firstLine="288"/>
        <w:jc w:val="both"/>
      </w:pPr>
      <w:r>
        <w:rPr>
          <w:rFonts w:ascii="Times New Roman" w:hAnsi="Times New Roman" w:cs="Times New Roman"/>
          <w:b w:val="0"/>
          <w:i w:val="0"/>
          <w:caps w:val="0"/>
          <w:sz w:val="20"/>
        </w:rPr>
        <w:t>The last row is the outright failure and the serious one, and Section III-D and Section III-E are about chasing it down rather than explaining it away.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17344"/>
            <wp:docPr id="4" name="Picture 4"/>
            <wp:cNvGraphicFramePr>
              <a:graphicFrameLocks noChangeAspect="1"/>
            </wp:cNvGraphicFramePr>
            <a:graphic>
              <a:graphicData uri="http://schemas.openxmlformats.org/drawingml/2006/picture">
                <pic:pic>
                  <pic:nvPicPr>
                    <pic:cNvPr id="0" name="fig3_population.png"/>
                    <pic:cNvPicPr/>
                  </pic:nvPicPr>
                  <pic:blipFill>
                    <a:blip r:embed="rId12"/>
                    <a:stretch>
                      <a:fillRect/>
                    </a:stretch>
                  </pic:blipFill>
                  <pic:spPr>
                    <a:xfrm>
                      <a:off x="0" y="0"/>
                      <a:ext cx="6492240" cy="231734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4.  </w:t>
      </w:r>
      <w:r>
        <w:rPr>
          <w:rFonts w:ascii="Times New Roman" w:hAnsi="Times New Roman" w:cs="Times New Roman"/>
          <w:b/>
          <w:i w:val="0"/>
          <w:caps w:val="0"/>
          <w:sz w:val="16"/>
        </w:rPr>
        <w:t>Simulated neuron populations.</w:t>
      </w:r>
      <w:r>
        <w:rPr>
          <w:rFonts w:ascii="Times New Roman" w:hAnsi="Times New Roman" w:cs="Times New Roman"/>
          <w:b w:val="0"/>
          <w:i w:val="0"/>
          <w:caps w:val="0"/>
          <w:sz w:val="16"/>
        </w:rPr>
        <w:t xml:space="preserve"> (A) Survival curves by inherited CAG length. (B) Model age at 50% loss against an external clinical regression. (C) Distribution of terminal tract lengths for a 42-repeat allele.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D.  Accelerating neuron death does not close the gap</w:t>
      </w:r>
    </w:p>
    <w:p>
      <w:pPr>
        <w:spacing w:after="60" w:before="0" w:line="240" w:lineRule="auto"/>
        <w:ind w:firstLine="288"/>
        <w:jc w:val="both"/>
      </w:pPr>
      <w:r>
        <w:rPr>
          <w:rFonts w:ascii="Times New Roman" w:hAnsi="Times New Roman" w:cs="Times New Roman"/>
          <w:b w:val="0"/>
          <w:i w:val="0"/>
          <w:caps w:val="0"/>
          <w:sz w:val="20"/>
        </w:rPr>
        <w:t>Donors with CAP scores above 600 are reported to have lost 80 to 99% of their projection neurons [1]. The model loses 43%. That is not a small discrepancy and it deserves a real attempt at explanation.</w:t>
      </w:r>
    </w:p>
    <w:p>
      <w:pPr>
        <w:spacing w:after="60" w:before="0" w:line="240" w:lineRule="auto"/>
        <w:ind w:firstLine="288"/>
        <w:jc w:val="both"/>
      </w:pPr>
      <w:r>
        <w:rPr>
          <w:rFonts w:ascii="Times New Roman" w:hAnsi="Times New Roman" w:cs="Times New Roman"/>
          <w:b w:val="0"/>
          <w:i w:val="0"/>
          <w:caps w:val="0"/>
          <w:sz w:val="20"/>
        </w:rP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and scanning the coupling constant from zero to forty.</w:t>
      </w:r>
    </w:p>
    <w:p>
      <w:pPr>
        <w:spacing w:after="60" w:before="0" w:line="240" w:lineRule="auto"/>
        <w:ind w:firstLine="288"/>
        <w:jc w:val="both"/>
      </w:pPr>
      <w:r>
        <w:rPr>
          <w:rFonts w:ascii="Times New Roman" w:hAnsi="Times New Roman" w:cs="Times New Roman"/>
          <w:b w:val="0"/>
          <w:i w:val="0"/>
          <w:caps w:val="0"/>
          <w:sz w:val="20"/>
        </w:rPr>
        <w:t xml:space="preserve">It does essentially nothing. Mean loss at CAP 600 moves from 43.3% to 45.8% across the entire range (Fig. 5B; </w:t>
      </w:r>
      <w:r>
        <w:rPr>
          <w:rFonts w:ascii="Consolas" w:hAnsi="Consolas" w:cs="Consolas"/>
          <w:b w:val="0"/>
          <w:i w:val="0"/>
          <w:caps w:val="0"/>
          <w:sz w:val="20"/>
        </w:rPr>
        <w:t>results/knca_fit.csv</w:t>
      </w:r>
      <w:r>
        <w:rPr>
          <w:rFonts w:ascii="Times New Roman" w:hAnsi="Times New Roman" w:cs="Times New Roman"/>
          <w:b w:val="0"/>
          <w:i w:val="0"/>
          <w:caps w:val="0"/>
          <w:sz w:val="20"/>
        </w:rPr>
        <w:t>), and the reported range is never reached at any value. Pushing the coupling higher does not help either, because the mechanism is saturating against a hard structural constraint.</w:t>
      </w:r>
    </w:p>
    <w:p>
      <w:pPr>
        <w:spacing w:after="60" w:before="0" w:line="240" w:lineRule="auto"/>
        <w:ind w:firstLine="288"/>
        <w:jc w:val="both"/>
      </w:pPr>
      <w:r>
        <w:rPr>
          <w:rFonts w:ascii="Times New Roman" w:hAnsi="Times New Roman" w:cs="Times New Roman"/>
          <w:b w:val="0"/>
          <w:i w:val="0"/>
          <w:caps w:val="0"/>
          <w:sz w:val="20"/>
        </w:rPr>
        <w:t>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spacing w:after="60" w:before="0" w:line="240" w:lineRule="auto"/>
        <w:ind w:firstLine="288"/>
        <w:jc w:val="both"/>
      </w:pPr>
      <w:r>
        <w:rPr>
          <w:rFonts w:ascii="Times New Roman" w:hAnsi="Times New Roman" w:cs="Times New Roman"/>
          <w:b w:val="0"/>
          <w:i w:val="0"/>
          <w:caps w:val="0"/>
          <w:sz w:val="20"/>
        </w:rPr>
        <w:t>The same arithmetic applies to therapy, and that is why the delivery analysis matters as much as it does. There is no late rescue available in this model, for pathology or for treatment. Everything happens before the threshold or not at all.</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59325"/>
            <wp:docPr id="5" name="Picture 5"/>
            <wp:cNvGraphicFramePr>
              <a:graphicFrameLocks noChangeAspect="1"/>
            </wp:cNvGraphicFramePr>
            <a:graphic>
              <a:graphicData uri="http://schemas.openxmlformats.org/drawingml/2006/picture">
                <pic:pic>
                  <pic:nvPicPr>
                    <pic:cNvPr id="0" name="fig4_coupling.png"/>
                    <pic:cNvPicPr/>
                  </pic:nvPicPr>
                  <pic:blipFill>
                    <a:blip r:embed="rId13"/>
                    <a:stretch>
                      <a:fillRect/>
                    </a:stretch>
                  </pic:blipFill>
                  <pic:spPr>
                    <a:xfrm>
                      <a:off x="0" y="0"/>
                      <a:ext cx="6492240" cy="245932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5.  </w:t>
      </w:r>
      <w:r>
        <w:rPr>
          <w:rFonts w:ascii="Times New Roman" w:hAnsi="Times New Roman" w:cs="Times New Roman"/>
          <w:b/>
          <w:i w:val="0"/>
          <w:caps w:val="0"/>
          <w:sz w:val="16"/>
        </w:rPr>
        <w:t>Testing non-cell-autonomous acceleration.</w:t>
      </w:r>
      <w:r>
        <w:rPr>
          <w:rFonts w:ascii="Times New Roman" w:hAnsi="Times New Roman" w:cs="Times New Roman"/>
          <w:b w:val="0"/>
          <w:i w:val="0"/>
          <w:caps w:val="0"/>
          <w:sz w:val="16"/>
        </w:rPr>
        <w:t xml:space="preserve"> (A) Survival with (solid) and without (dashed) coupling; triangles mark the age at CAP 600. (B) Mean neuron loss at CAP 600 against the coupling constant, with the reported range shaded. It is never reached. (C) Model ages at 25% and 50% loss against the external onset regression.</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E.  What would close the gap, and why the slower model is kept anyway</w:t>
      </w:r>
    </w:p>
    <w:p>
      <w:pPr>
        <w:spacing w:after="60" w:before="0" w:line="240" w:lineRule="auto"/>
        <w:ind w:firstLine="288"/>
        <w:jc w:val="both"/>
      </w:pPr>
      <w:r>
        <w:rPr>
          <w:rFonts w:ascii="Times New Roman" w:hAnsi="Times New Roman" w:cs="Times New Roman"/>
          <w:b w:val="0"/>
          <w:i w:val="0"/>
          <w:caps w:val="0"/>
          <w:sz w:val="20"/>
        </w:rPr>
        <w:t xml:space="preserve">Two structural possibilities remain. Either the tract commits a neuron to death at a shorter length than 150 repeats, or expansion is uniformly faster than the published dwell times imply. A two-dimensional scan over both settles which of them could work (Fig. 6A; </w:t>
      </w:r>
      <w:r>
        <w:rPr>
          <w:rFonts w:ascii="Consolas" w:hAnsi="Consolas" w:cs="Consolas"/>
          <w:b w:val="0"/>
          <w:i w:val="0"/>
          <w:caps w:val="0"/>
          <w:sz w:val="20"/>
        </w:rPr>
        <w:t>results/reconciliation_map.csv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spacing w:after="60" w:before="0" w:line="240" w:lineRule="auto"/>
        <w:ind w:firstLine="288"/>
        <w:jc w:val="both"/>
      </w:pPr>
      <w:r>
        <w:rPr>
          <w:rFonts w:ascii="Times New Roman" w:hAnsi="Times New Roman" w:cs="Times New Roman"/>
          <w:b w:val="0"/>
          <w:i w:val="0"/>
          <w:caps w:val="0"/>
          <w:sz w:val="20"/>
        </w:rPr>
        <w:t>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spacing w:after="60" w:before="0" w:line="240" w:lineRule="auto"/>
        <w:ind w:firstLine="288"/>
        <w:jc w:val="both"/>
      </w:pPr>
      <w:r>
        <w:rPr>
          <w:rFonts w:ascii="Times New Roman" w:hAnsi="Times New Roman" w:cs="Times New Roman"/>
          <w:b w:val="0"/>
          <w:i w:val="0"/>
          <w:caps w:val="0"/>
          <w:sz w:val="20"/>
        </w:rPr>
        <w:t>One input to that regression is assumed and should be named here rather than left in a supplementary file, because it sits behind both of this section's conclusions and behind the falsifiable prediction in Section IV-C. The regression takes a parental age at onset as well as a CAG length, and the source reports no cohort mean for it, so 45 years is assumed. Its influence is modest and bounded. The coefficient on parental onset is 0.3293, so moving the assumption across 35 to 55 years moves predicted onset for a 42-repeat carrier from 43.1 to 49.7 years, and the dwell-time-faithful model's loss at that age from 15.0% to 22.3% (</w:t>
      </w:r>
      <w:r>
        <w:rPr>
          <w:rFonts w:ascii="Consolas" w:hAnsi="Consolas" w:cs="Consolas"/>
          <w:b w:val="0"/>
          <w:i w:val="0"/>
          <w:caps w:val="0"/>
          <w:sz w:val="20"/>
        </w:rPr>
        <w:t>results/parent_aao_sensitivity.csv</w:t>
      </w:r>
      <w:r>
        <w:rPr>
          <w:rFonts w:ascii="Times New Roman" w:hAnsi="Times New Roman" w:cs="Times New Roman"/>
          <w:b w:val="0"/>
          <w:i w:val="0"/>
          <w:caps w:val="0"/>
          <w:sz w:val="20"/>
        </w:rPr>
        <w:t>). Over the same range the faster model's loss at onset stays between 64.4% and 75.7% at 42 repeats, and never falls below 64% at any length, so no plausible choice of parental onset age rescues it. The rejection of the faster model does not depend on the assumption. The width of the 18 to 31% prediction does, and Section IV-C says so.</w:t>
      </w:r>
    </w:p>
    <w:p>
      <w:pPr>
        <w:spacing w:after="60" w:before="0" w:line="240" w:lineRule="auto"/>
        <w:ind w:firstLine="288"/>
        <w:jc w:val="both"/>
      </w:pPr>
      <w:r>
        <w:rPr>
          <w:rFonts w:ascii="Times New Roman" w:hAnsi="Times New Roman" w:cs="Times New Roman"/>
          <w:b w:val="0"/>
          <w:i w:val="0"/>
          <w:caps w:val="0"/>
          <w:sz w:val="20"/>
        </w:rPr>
        <w:t>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spacing w:after="60" w:before="0" w:line="240" w:lineRule="auto"/>
        <w:ind w:firstLine="288"/>
        <w:jc w:val="both"/>
      </w:pPr>
      <w:r>
        <w:rPr>
          <w:rFonts w:ascii="Times New Roman" w:hAnsi="Times New Roman" w:cs="Times New Roman"/>
          <w:b w:val="0"/>
          <w:i w:val="0"/>
          <w:caps w:val="0"/>
          <w:sz w:val="20"/>
        </w:rPr>
        <w:t>So the resolution adopted here is that "CAP above 600" 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spacing w:after="60" w:before="0" w:line="240" w:lineRule="auto"/>
        <w:ind w:firstLine="288"/>
        <w:jc w:val="both"/>
      </w:pPr>
      <w:r>
        <w:rPr>
          <w:rFonts w:ascii="Times New Roman" w:hAnsi="Times New Roman" w:cs="Times New Roman"/>
          <w:b w:val="0"/>
          <w:i w:val="0"/>
          <w:caps w:val="0"/>
          <w:sz w:val="20"/>
        </w:rPr>
        <w:t>There is a third candidate, and unlike the first two it is a defect in this work rather than in the data. Calibration minimises residuals on the mean-field transit-time integral, which follows the mean trajectory of the tract. The published anchors are mean first-passage times of a jump process. For a nonlinear λ those are different quantities, and the integral additionally ignores contractions, so there is no reason for them to agree and they do not. Compared directly at the fitted parameters (</w:t>
      </w:r>
      <w:r>
        <w:rPr>
          <w:rFonts w:ascii="Consolas" w:hAnsi="Consolas" w:cs="Consolas"/>
          <w:b w:val="0"/>
          <w:i w:val="0"/>
          <w:caps w:val="0"/>
          <w:sz w:val="20"/>
        </w:rPr>
        <w:t>results/transit_time_check.csv</w:t>
      </w:r>
      <w:r>
        <w:rPr>
          <w:rFonts w:ascii="Times New Roman" w:hAnsi="Times New Roman" w:cs="Times New Roman"/>
          <w:b w:val="0"/>
          <w:i w:val="0"/>
          <w:caps w:val="0"/>
          <w:sz w:val="20"/>
        </w:rPr>
        <w:t>), the stochastic process takes 65.3 years to cross from 40 to 60 repeats where the integral says 50, 18.0 years against 12, and 4.9 years against 4. The gap is 21 to 50%, of which about three quarters is the jump process itself and the remainder is contraction. So the model as fitted is slower than the published kinetics, in exactly the direction that would under-predict end-stage loss.</w:t>
      </w:r>
    </w:p>
    <w:p>
      <w:pPr>
        <w:spacing w:after="60" w:before="0" w:line="240" w:lineRule="auto"/>
        <w:ind w:firstLine="288"/>
        <w:jc w:val="both"/>
      </w:pPr>
      <w:r>
        <w:rPr>
          <w:rFonts w:ascii="Times New Roman" w:hAnsi="Times New Roman" w:cs="Times New Roman"/>
          <w:b w:val="0"/>
          <w:i w:val="0"/>
          <w:caps w:val="0"/>
          <w:sz w:val="20"/>
        </w:rPr>
        <w:t>That is a testable proposition rather than a hand-wave, because the fit can simply be redone against the right quantity. Refitting the same four parameters against stochastic mean first-passage times instead of the integral converges cleanly (</w:t>
      </w:r>
      <w:r>
        <w:rPr>
          <w:rFonts w:ascii="Consolas" w:hAnsi="Consolas" w:cs="Consolas"/>
          <w:b w:val="0"/>
          <w:i w:val="0"/>
          <w:caps w:val="0"/>
          <w:sz w:val="20"/>
        </w:rPr>
        <w:t>results/estimator_calibration.csv</w:t>
      </w:r>
      <w:r>
        <w:rPr>
          <w:rFonts w:ascii="Times New Roman" w:hAnsi="Times New Roman" w:cs="Times New Roman"/>
          <w:b w:val="0"/>
          <w:i w:val="0"/>
          <w:caps w:val="0"/>
          <w:sz w:val="20"/>
        </w:rPr>
        <w:t>) and moves the parameters in an informative pattern: the basal rate rises by a third, from λ(40) = 0.070 to 0.092 per year, and R rises from 17.7 to 24.3, while the switch position barely moves at all, from 80.2 to 80.0 repeats, and β stays pinned at the bottom of its range. The structural conclusions of Section III-A are therefore not artefacts of the estimator. The switch is still at eighty repeats and the thermodynamic term is still unidentifiable.</w:t>
      </w:r>
    </w:p>
    <w:p>
      <w:pPr>
        <w:spacing w:after="60" w:before="0" w:line="240" w:lineRule="auto"/>
        <w:ind w:firstLine="288"/>
        <w:jc w:val="both"/>
      </w:pPr>
      <w:r>
        <w:rPr>
          <w:rFonts w:ascii="Times New Roman" w:hAnsi="Times New Roman" w:cs="Times New Roman"/>
          <w:b w:val="0"/>
          <w:i w:val="0"/>
          <w:caps w:val="0"/>
          <w:sz w:val="20"/>
        </w:rPr>
        <w:t xml:space="preserve">What does move is the quantity this section is about. Under the stochastic calibration, mean loss at CAP 600 rises from 39.8% to 62.4%, which closes rather more than half the distance to the reported 80 to 99% with no ad hoc rate multiplier anywhere. Both figures in that comparison are averages over the </w:t>
      </w:r>
      <w:r>
        <w:rPr>
          <w:rFonts w:ascii="Times New Roman" w:hAnsi="Times New Roman" w:cs="Times New Roman"/>
          <w:b/>
          <w:i w:val="0"/>
          <w:caps w:val="0"/>
          <w:sz w:val="20"/>
        </w:rPr>
        <w:t>three</w:t>
      </w:r>
      <w:r>
        <w:rPr>
          <w:rFonts w:ascii="Times New Roman" w:hAnsi="Times New Roman" w:cs="Times New Roman"/>
          <w:b w:val="0"/>
          <w:i w:val="0"/>
          <w:caps w:val="0"/>
          <w:sz w:val="20"/>
        </w:rPr>
        <w:t xml:space="preserve"> inherited lengths carried through the estimator comparison, 42, 46 and 50 repeats, with the same seeds. The 43.5% quoted in Section III-C is the same quantity averaged over the </w:t>
      </w:r>
      <w:r>
        <w:rPr>
          <w:rFonts w:ascii="Times New Roman" w:hAnsi="Times New Roman" w:cs="Times New Roman"/>
          <w:b/>
          <w:i w:val="0"/>
          <w:caps w:val="0"/>
          <w:sz w:val="20"/>
        </w:rPr>
        <w:t>six</w:t>
      </w:r>
      <w:r>
        <w:rPr>
          <w:rFonts w:ascii="Times New Roman" w:hAnsi="Times New Roman" w:cs="Times New Roman"/>
          <w:b w:val="0"/>
          <w:i w:val="0"/>
          <w:caps w:val="0"/>
          <w:sz w:val="20"/>
        </w:rPr>
        <w:t xml:space="preserve"> lengths of </w:t>
      </w:r>
      <w:r>
        <w:rPr>
          <w:rFonts w:ascii="Consolas" w:hAnsi="Consolas" w:cs="Consolas"/>
          <w:b w:val="0"/>
          <w:i w:val="0"/>
          <w:caps w:val="0"/>
          <w:sz w:val="20"/>
        </w:rPr>
        <w:t>results/cap600_check.csv</w:t>
      </w:r>
      <w:r>
        <w:rPr>
          <w:rFonts w:ascii="Times New Roman" w:hAnsi="Times New Roman" w:cs="Times New Roman"/>
          <w:b w:val="0"/>
          <w:i w:val="0"/>
          <w:caps w:val="0"/>
          <w:sz w:val="20"/>
        </w:rPr>
        <w:t>, 40 to 50 repeats in steps of two, where the shortest length contributes the largest loss (65.1% at 40 repeats, because CAP 600 is reached at age 94.6) and raises the mean. The two are different averages of the same model, neither supersedes the other, and they are labelled here rather than reconciled. The cost is the same cost that sank M2, only smaller: loss at the externally predicted onset age rises from 18.7% to 36.1% for a 42-repeat carrier and from 30.6% to 52.1% at 50 repeats, which is high but not the four-fifths-of-the-striatum-gone that made M2 untenable. And the therapeutic conclusion is almost unchanged, which is the result that matters most here: the benefit of the measured achievable knockdown started at 30 is 13.7 points of striatum preserved at 70 under the mean-field fit and 14.7 under the stochastic fit (</w:t>
      </w:r>
      <w:r>
        <w:rPr>
          <w:rFonts w:ascii="Consolas" w:hAnsi="Consolas" w:cs="Consolas"/>
          <w:b w:val="0"/>
          <w:i w:val="0"/>
          <w:caps w:val="0"/>
          <w:sz w:val="20"/>
        </w:rPr>
        <w:t>results/estimator_predictions.csv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The mean-field parameterisation is kept as primary for one reason only, and it is a reason about provenance rather than about mathematics. It reproduces the published anchors exactly as those anchors are stated, and the source does not say which estimator its own numbers represent, so adopting the stochastic fit would mean assuming an answer to a question the literature does not settle. Carrying both and reporting the spread is the defensible position. The practical consequence is that the CAP-600 discrepancy is smaller than Section III-D makes it look, that part of it is attributable to a choice of estimator rather than to biology, and that the conclusions this paper actually draws survive either choice.</w:t>
      </w:r>
    </w:p>
    <w:p>
      <w:pPr>
        <w:spacing w:after="60" w:before="0" w:line="240" w:lineRule="auto"/>
        <w:ind w:firstLine="288"/>
        <w:jc w:val="both"/>
      </w:pPr>
      <w:r>
        <w:rPr>
          <w:rFonts w:ascii="Times New Roman" w:hAnsi="Times New Roman" w:cs="Times New Roman"/>
          <w:b w:val="0"/>
          <w:i w:val="0"/>
          <w:caps w:val="0"/>
          <w:sz w:val="20"/>
        </w:rPr>
        <w:t>This is also an unresolved tension in the published literature rather than only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 12B), and a post-mortem series with enough cases spread across the CAP range would separate them without needing any new technique.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73347"/>
            <wp:docPr id="6" name="Picture 6"/>
            <wp:cNvGraphicFramePr>
              <a:graphicFrameLocks noChangeAspect="1"/>
            </wp:cNvGraphicFramePr>
            <a:graphic>
              <a:graphicData uri="http://schemas.openxmlformats.org/drawingml/2006/picture">
                <pic:pic>
                  <pic:nvPicPr>
                    <pic:cNvPr id="0" name="fig5_reconciliation.png"/>
                    <pic:cNvPicPr/>
                  </pic:nvPicPr>
                  <pic:blipFill>
                    <a:blip r:embed="rId14"/>
                    <a:stretch>
                      <a:fillRect/>
                    </a:stretch>
                  </pic:blipFill>
                  <pic:spPr>
                    <a:xfrm>
                      <a:off x="0" y="0"/>
                      <a:ext cx="6492240" cy="3273347"/>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6.  </w:t>
      </w:r>
      <w:r>
        <w:rPr>
          <w:rFonts w:ascii="Times New Roman" w:hAnsi="Times New Roman" w:cs="Times New Roman"/>
          <w:b/>
          <w:i w:val="0"/>
          <w:caps w:val="0"/>
          <w:sz w:val="16"/>
        </w:rPr>
        <w:t>Reconciling two published constraints.</w:t>
      </w:r>
      <w:r>
        <w:rPr>
          <w:rFonts w:ascii="Times New Roman" w:hAnsi="Times New Roman" w:cs="Times New Roman"/>
          <w:b w:val="0"/>
          <w:i w:val="0"/>
          <w:caps w:val="0"/>
          <w:sz w:val="16"/>
        </w:rPr>
        <w:t xml:space="preserve"> (A) Mean neuron loss at CAP 600 across expansion-rate multipliers and commitment lengths. Only a roughly two-fold faster clock reaches the reported range. (B) Survival under the two bracketing parameterisations.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F.  A held-out prediction: which neurons go first, and by how much</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spacing w:after="60" w:before="0" w:line="240" w:lineRule="auto"/>
        <w:ind w:firstLine="288"/>
        <w:jc w:val="both"/>
      </w:pPr>
      <w:r>
        <w:rPr>
          <w:rFonts w:ascii="Times New Roman" w:hAnsi="Times New Roman" w:cs="Times New Roman"/>
          <w:b w:val="0"/>
          <w:i w:val="0"/>
          <w:caps w:val="0"/>
          <w:sz w:val="20"/>
        </w:rPr>
        <w:t xml:space="preserve">The prediction is that the depletion is real, orderly, and modest (Fig. 7; </w:t>
      </w:r>
      <w:r>
        <w:rPr>
          <w:rFonts w:ascii="Consolas" w:hAnsi="Consolas" w:cs="Consolas"/>
          <w:b w:val="0"/>
          <w:i w:val="0"/>
          <w:caps w:val="0"/>
          <w:sz w:val="20"/>
        </w:rPr>
        <w:t>results/subtype_trajectory.csv</w:t>
      </w:r>
      <w:r>
        <w:rPr>
          <w:rFonts w:ascii="Times New Roman" w:hAnsi="Times New Roman" w:cs="Times New Roman"/>
          <w:b w:val="0"/>
          <w:i w:val="0"/>
          <w:caps w:val="0"/>
          <w:sz w:val="20"/>
        </w:rP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 </w:t>
      </w:r>
      <w:r>
        <w:rPr>
          <w:rFonts w:ascii="Times New Roman" w:hAnsi="Times New Roman" w:cs="Times New Roman"/>
          <w:b/>
          <w:i w:val="0"/>
          <w:caps w:val="0"/>
          <w:sz w:val="20"/>
        </w:rPr>
        <w:t>subtype depletion tracks total neuron loss, not age and not inherited CAG length.</w:t>
      </w:r>
      <w:r>
        <w:rPr>
          <w:rFonts w:ascii="Times New Roman" w:hAnsi="Times New Roman" w:cs="Times New Roman"/>
          <w:b w:val="0"/>
          <w:i w:val="0"/>
          <w:caps w:val="0"/>
          <w:sz w:val="20"/>
        </w:rPr>
        <w:t xml:space="preserve"> It is a readout of disease stage rather than of genotype.</w:t>
      </w:r>
    </w:p>
    <w:p>
      <w:pPr>
        <w:spacing w:after="60" w:before="0" w:line="240" w:lineRule="auto"/>
        <w:ind w:firstLine="288"/>
        <w:jc w:val="both"/>
      </w:pPr>
      <w:r>
        <w:rPr>
          <w:rFonts w:ascii="Times New Roman" w:hAnsi="Times New Roman" w:cs="Times New Roman"/>
          <w:b w:val="0"/>
          <w:i w:val="0"/>
          <w:caps w:val="0"/>
          <w:sz w:val="20"/>
        </w:rPr>
        <w:t>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spacing w:after="60" w:before="0" w:line="240" w:lineRule="auto"/>
        <w:ind w:firstLine="288"/>
        <w:jc w:val="both"/>
      </w:pPr>
      <w:r>
        <w:rPr>
          <w:rFonts w:ascii="Times New Roman" w:hAnsi="Times New Roman" w:cs="Times New Roman"/>
          <w:b w:val="0"/>
          <w:i w:val="0"/>
          <w:caps w:val="0"/>
          <w:sz w:val="20"/>
        </w:rPr>
        <w:t xml:space="preserve">Second, the inverse scan puts bounds on the rate difference (Fig. 7C; </w:t>
      </w:r>
      <w:r>
        <w:rPr>
          <w:rFonts w:ascii="Consolas" w:hAnsi="Consolas" w:cs="Consolas"/>
          <w:b w:val="0"/>
          <w:i w:val="0"/>
          <w:caps w:val="0"/>
          <w:sz w:val="20"/>
        </w:rPr>
        <w:t>results/subtype_rate_scan.csv</w:t>
      </w:r>
      <w:r>
        <w:rPr>
          <w:rFonts w:ascii="Times New Roman" w:hAnsi="Times New Roman" w:cs="Times New Roman"/>
          <w:b w:val="0"/>
          <w:i w:val="0"/>
          <w:caps w:val="0"/>
          <w:sz w:val="20"/>
        </w:rPr>
        <w:t>).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3004"/>
            <wp:docPr id="7" name="Picture 7"/>
            <wp:cNvGraphicFramePr>
              <a:graphicFrameLocks noChangeAspect="1"/>
            </wp:cNvGraphicFramePr>
            <a:graphic>
              <a:graphicData uri="http://schemas.openxmlformats.org/drawingml/2006/picture">
                <pic:pic>
                  <pic:nvPicPr>
                    <pic:cNvPr id="0" name="fig12_subtypes.png"/>
                    <pic:cNvPicPr/>
                  </pic:nvPicPr>
                  <pic:blipFill>
                    <a:blip r:embed="rId15"/>
                    <a:stretch>
                      <a:fillRect/>
                    </a:stretch>
                  </pic:blipFill>
                  <pic:spPr>
                    <a:xfrm>
                      <a:off x="0" y="0"/>
                      <a:ext cx="6492240" cy="229300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7.  </w:t>
      </w:r>
      <w:r>
        <w:rPr>
          <w:rFonts w:ascii="Times New Roman" w:hAnsi="Times New Roman" w:cs="Times New Roman"/>
          <w:b/>
          <w:i w:val="0"/>
          <w:caps w:val="0"/>
          <w:sz w:val="16"/>
        </w:rPr>
        <w:t>Predicted subtype composition.</w:t>
      </w:r>
      <w:r>
        <w:rPr>
          <w:rFonts w:ascii="Times New Roman" w:hAnsi="Times New Roman" w:cs="Times New Roman"/>
          <w:b w:val="0"/>
          <w:i w:val="0"/>
          <w:caps w:val="0"/>
          <w:sz w:val="16"/>
        </w:rPr>
        <w:t xml:space="preserve"> (A)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G.  Genetic modifiers land on three different parameters, and only one of them is druggable</w:t>
      </w:r>
    </w:p>
    <w:p>
      <w:pPr>
        <w:spacing w:after="60" w:before="0" w:line="240" w:lineRule="auto"/>
        <w:ind w:firstLine="288"/>
        <w:jc w:val="both"/>
      </w:pPr>
      <w:r>
        <w:rPr>
          <w:rFonts w:ascii="Times New Roman" w:hAnsi="Times New Roman" w:cs="Times New Roman"/>
          <w:b w:val="0"/>
          <w:i w:val="0"/>
          <w:caps w:val="0"/>
          <w:sz w:val="20"/>
        </w:rP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 8; </w:t>
      </w:r>
      <w:r>
        <w:rPr>
          <w:rFonts w:ascii="Consolas" w:hAnsi="Consolas" w:cs="Consolas"/>
          <w:b w:val="0"/>
          <w:i w:val="0"/>
          <w:caps w:val="0"/>
          <w:sz w:val="20"/>
        </w:rPr>
        <w:t>results/modifier_effects.csv</w:t>
      </w:r>
      <w:r>
        <w:rPr>
          <w:rFonts w:ascii="Times New Roman" w:hAnsi="Times New Roman" w:cs="Times New Roman"/>
          <w:b w:val="0"/>
          <w:i w:val="0"/>
          <w:caps w:val="0"/>
          <w:sz w:val="20"/>
        </w:rPr>
        <w:t>). Baseline for a 42-repeat carrier is age 51.8 at 25% neuron loss.</w:t>
      </w:r>
    </w:p>
    <w:p>
      <w:pPr>
        <w:spacing w:after="60" w:before="0" w:line="240" w:lineRule="auto"/>
        <w:ind w:firstLine="288"/>
        <w:jc w:val="both"/>
      </w:pPr>
      <w:r>
        <w:rPr>
          <w:rFonts w:ascii="Times New Roman" w:hAnsi="Times New Roman" w:cs="Times New Roman"/>
          <w:b/>
          <w:i w:val="0"/>
          <w:caps w:val="0"/>
          <w:sz w:val="20"/>
        </w:rPr>
        <w:t>MSH3 expression</w:t>
      </w:r>
      <w:r>
        <w:rPr>
          <w:rFonts w:ascii="Times New Roman" w:hAnsi="Times New Roman" w:cs="Times New Roman"/>
          <w:b w:val="0"/>
          <w:i w:val="0"/>
          <w:caps w:val="0"/>
          <w:sz w:val="20"/>
        </w:rPr>
        <w:t xml:space="preserve"> 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spacing w:after="60" w:before="0" w:line="240" w:lineRule="auto"/>
        <w:ind w:firstLine="288"/>
        <w:jc w:val="both"/>
      </w:pPr>
      <w:r>
        <w:rPr>
          <w:rFonts w:ascii="Times New Roman" w:hAnsi="Times New Roman" w:cs="Times New Roman"/>
          <w:b/>
          <w:i w:val="0"/>
          <w:caps w:val="0"/>
          <w:sz w:val="20"/>
        </w:rPr>
        <w:t>FAN1 activity</w:t>
      </w:r>
      <w:r>
        <w:rPr>
          <w:rFonts w:ascii="Times New Roman" w:hAnsi="Times New Roman" w:cs="Times New Roman"/>
          <w:b w:val="0"/>
          <w:i w:val="0"/>
          <w:caps w:val="0"/>
          <w:sz w:val="20"/>
        </w:rPr>
        <w:t xml:space="preserve"> 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spacing w:after="60" w:before="0" w:line="240" w:lineRule="auto"/>
        <w:ind w:firstLine="288"/>
        <w:jc w:val="both"/>
      </w:pPr>
      <w:r>
        <w:rPr>
          <w:rFonts w:ascii="Times New Roman" w:hAnsi="Times New Roman" w:cs="Times New Roman"/>
          <w:b/>
          <w:i w:val="0"/>
          <w:caps w:val="0"/>
          <w:sz w:val="20"/>
        </w:rPr>
        <w:t>Loss of a CAA interruption</w:t>
      </w:r>
      <w:r>
        <w:rPr>
          <w:rFonts w:ascii="Times New Roman" w:hAnsi="Times New Roman" w:cs="Times New Roman"/>
          <w:b w:val="0"/>
          <w:i w:val="0"/>
          <w:caps w:val="0"/>
          <w:sz w:val="20"/>
        </w:rPr>
        <w:t xml:space="preserve"> enters as a downward shift in the clustering switch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spacing w:after="60" w:before="0" w:line="240" w:lineRule="auto"/>
        <w:ind w:firstLine="288"/>
        <w:jc w:val="both"/>
      </w:pPr>
      <w:r>
        <w:rPr>
          <w:rFonts w:ascii="Times New Roman" w:hAnsi="Times New Roman" w:cs="Times New Roman"/>
          <w:b w:val="0"/>
          <w:i w:val="0"/>
          <w:caps w:val="0"/>
          <w:sz w:val="20"/>
        </w:rPr>
        <w:t>All three of these are predictions rather than fits. No modifier effect size entered the calibration, and the model was never shown a single human onset age.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21353"/>
            <wp:docPr id="8" name="Picture 8"/>
            <wp:cNvGraphicFramePr>
              <a:graphicFrameLocks noChangeAspect="1"/>
            </wp:cNvGraphicFramePr>
            <a:graphic>
              <a:graphicData uri="http://schemas.openxmlformats.org/drawingml/2006/picture">
                <pic:pic>
                  <pic:nvPicPr>
                    <pic:cNvPr id="0" name="fig13_modifiers.png"/>
                    <pic:cNvPicPr/>
                  </pic:nvPicPr>
                  <pic:blipFill>
                    <a:blip r:embed="rId16"/>
                    <a:stretch>
                      <a:fillRect/>
                    </a:stretch>
                  </pic:blipFill>
                  <pic:spPr>
                    <a:xfrm>
                      <a:off x="0" y="0"/>
                      <a:ext cx="6492240" cy="2321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8.  </w:t>
      </w:r>
      <w:r>
        <w:rPr>
          <w:rFonts w:ascii="Times New Roman" w:hAnsi="Times New Roman" w:cs="Times New Roman"/>
          <w:b/>
          <w:i w:val="0"/>
          <w:caps w:val="0"/>
          <w:sz w:val="16"/>
        </w:rPr>
        <w:t>Genetic modifiers as perturbations of one rate law.</w:t>
      </w:r>
      <w:r>
        <w:rPr>
          <w:rFonts w:ascii="Times New Roman" w:hAnsi="Times New Roman" w:cs="Times New Roman"/>
          <w:b w:val="0"/>
          <w:i w:val="0"/>
          <w:caps w:val="0"/>
          <w:sz w:val="16"/>
        </w:rPr>
        <w:t xml:space="preserve"> Shift in age at 25% neuron loss for a 42-repeat carrier when (A) MSH3 expression, (B) FAN1 activity, or (C) the clustering switch position is perturbed. Zero on each vertical axis is the unperturbed baseline.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H.  Delivery: the striatum is the wrong place to reach from cerebrospinal fluid</w:t>
      </w:r>
    </w:p>
    <w:p>
      <w:pPr>
        <w:spacing w:after="60" w:before="0" w:line="240" w:lineRule="auto"/>
        <w:ind w:firstLine="288"/>
        <w:jc w:val="both"/>
      </w:pPr>
      <w:r>
        <w:rPr>
          <w:rFonts w:ascii="Times New Roman" w:hAnsi="Times New Roman" w:cs="Times New Roman"/>
          <w:b w:val="0"/>
          <w:i w:val="0"/>
          <w:caps w:val="0"/>
          <w:sz w:val="20"/>
        </w:rPr>
        <w:t>Converting the measured primate target engagement through the fitted exposure-response relationship (Fig. 9A) gives what an intrathecal oligonucleotide actually achieves in the structure that matters:</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w:t>
      </w:r>
    </w:p>
    <w:p>
      <w:pPr>
        <w:spacing w:after="60" w:before="0" w:line="240" w:lineRule="auto"/>
        <w:ind w:firstLine="0"/>
        <w:jc w:val="center"/>
      </w:pPr>
      <w:r>
        <w:rPr>
          <w:rFonts w:ascii="Times New Roman" w:hAnsi="Times New Roman" w:cs="Times New Roman"/>
          <w:b w:val="0"/>
          <w:i w:val="0"/>
          <w:caps/>
          <w:sz w:val="16"/>
        </w:rPr>
        <w:t>Target knockdown achieved by intrathecal delivery in primate striatum, measured on a reporter transcript rather than on MSH3, and the expansion suppression it implies if MSH3 behaves the same way.</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Region</w:t>
            </w:r>
          </w:p>
        </w:tc>
        <w:tc>
          <w:tcPr>
            <w:tcW w:type="dxa" w:w="2610"/>
          </w:tcPr>
          <w:p>
            <w:pPr>
              <w:spacing w:after="0"/>
            </w:pPr>
            <w:r/>
            <w:r>
              <w:rPr>
                <w:rFonts w:ascii="Times New Roman" w:hAnsi="Times New Roman" w:cs="Times New Roman"/>
                <w:b/>
                <w:i w:val="0"/>
                <w:caps w:val="0"/>
                <w:sz w:val="16"/>
              </w:rPr>
              <w:t>Target knockdown measured in primate</w:t>
            </w:r>
          </w:p>
        </w:tc>
        <w:tc>
          <w:tcPr>
            <w:tcW w:type="dxa" w:w="2610"/>
          </w:tcPr>
          <w:p>
            <w:pPr>
              <w:spacing w:after="0"/>
            </w:pPr>
            <w:r/>
            <w:r>
              <w:rPr>
                <w:rFonts w:ascii="Times New Roman" w:hAnsi="Times New Roman" w:cs="Times New Roman"/>
                <w:b/>
                <w:i w:val="0"/>
                <w:caps w:val="0"/>
                <w:sz w:val="16"/>
              </w:rPr>
              <w:t>Implied exposure</w:t>
            </w:r>
          </w:p>
        </w:tc>
        <w:tc>
          <w:tcPr>
            <w:tcW w:type="dxa" w:w="2610"/>
          </w:tcPr>
          <w:p>
            <w:pPr>
              <w:spacing w:after="0"/>
            </w:pPr>
            <w:r/>
            <w:r>
              <w:rPr>
                <w:rFonts w:ascii="Times New Roman" w:hAnsi="Times New Roman" w:cs="Times New Roman"/>
                <w:b/>
                <w:i w:val="0"/>
                <w:caps w:val="0"/>
                <w:sz w:val="16"/>
              </w:rPr>
              <w:t>Predicted expansion suppression if MSH3 behaves the same</w:t>
            </w:r>
          </w:p>
        </w:tc>
      </w:tr>
      <w:tr>
        <w:tc>
          <w:tcPr>
            <w:tcW w:type="dxa" w:w="2610"/>
          </w:tcPr>
          <w:p>
            <w:pPr>
              <w:spacing w:after="0"/>
            </w:pPr>
            <w:r>
              <w:rPr>
                <w:rFonts w:ascii="Times New Roman" w:hAnsi="Times New Roman" w:cs="Times New Roman"/>
                <w:b w:val="0"/>
                <w:i w:val="0"/>
                <w:caps w:val="0"/>
                <w:sz w:val="16"/>
              </w:rPr>
              <w:t>Putamen, projection neurons</w:t>
            </w:r>
          </w:p>
        </w:tc>
        <w:tc>
          <w:tcPr>
            <w:tcW w:type="dxa" w:w="2610"/>
          </w:tcPr>
          <w:p>
            <w:pPr>
              <w:spacing w:after="0"/>
            </w:pPr>
            <w:r>
              <w:rPr>
                <w:rFonts w:ascii="Times New Roman" w:hAnsi="Times New Roman" w:cs="Times New Roman"/>
                <w:b w:val="0"/>
                <w:i w:val="0"/>
                <w:caps w:val="0"/>
                <w:sz w:val="16"/>
              </w:rPr>
              <w:t>29%</w:t>
            </w:r>
          </w:p>
        </w:tc>
        <w:tc>
          <w:tcPr>
            <w:tcW w:type="dxa" w:w="2610"/>
          </w:tcPr>
          <w:p>
            <w:pPr>
              <w:spacing w:after="0"/>
            </w:pPr>
            <w:r>
              <w:rPr>
                <w:rFonts w:ascii="Times New Roman" w:hAnsi="Times New Roman" w:cs="Times New Roman"/>
                <w:b w:val="0"/>
                <w:i w:val="0"/>
                <w:caps w:val="0"/>
                <w:sz w:val="16"/>
              </w:rPr>
              <w:t>4.8 nmol per g</w:t>
            </w:r>
          </w:p>
        </w:tc>
        <w:tc>
          <w:tcPr>
            <w:tcW w:type="dxa" w:w="2610"/>
          </w:tcPr>
          <w:p>
            <w:pPr>
              <w:spacing w:after="0"/>
            </w:pPr>
            <w:r>
              <w:rPr>
                <w:rFonts w:ascii="Times New Roman" w:hAnsi="Times New Roman" w:cs="Times New Roman"/>
                <w:b/>
                <w:i w:val="0"/>
                <w:caps w:val="0"/>
                <w:sz w:val="16"/>
              </w:rPr>
              <w:t>33%</w:t>
            </w:r>
          </w:p>
        </w:tc>
      </w:tr>
      <w:tr>
        <w:tc>
          <w:tcPr>
            <w:tcW w:type="dxa" w:w="2610"/>
          </w:tcPr>
          <w:p>
            <w:pPr>
              <w:spacing w:after="0"/>
            </w:pPr>
            <w:r>
              <w:rPr>
                <w:rFonts w:ascii="Times New Roman" w:hAnsi="Times New Roman" w:cs="Times New Roman"/>
                <w:b w:val="0"/>
                <w:i w:val="0"/>
                <w:caps w:val="0"/>
                <w:sz w:val="16"/>
              </w:rPr>
              <w:t>Putamen, bulk tissue</w:t>
            </w:r>
          </w:p>
        </w:tc>
        <w:tc>
          <w:tcPr>
            <w:tcW w:type="dxa" w:w="2610"/>
          </w:tcPr>
          <w:p>
            <w:pPr>
              <w:spacing w:after="0"/>
            </w:pPr>
            <w:r>
              <w:rPr>
                <w:rFonts w:ascii="Times New Roman" w:hAnsi="Times New Roman" w:cs="Times New Roman"/>
                <w:b w:val="0"/>
                <w:i w:val="0"/>
                <w:caps w:val="0"/>
                <w:sz w:val="16"/>
              </w:rPr>
              <w:t>25%</w:t>
            </w:r>
          </w:p>
        </w:tc>
        <w:tc>
          <w:tcPr>
            <w:tcW w:type="dxa" w:w="2610"/>
          </w:tcPr>
          <w:p>
            <w:pPr>
              <w:spacing w:after="0"/>
            </w:pPr>
            <w:r>
              <w:rPr>
                <w:rFonts w:ascii="Times New Roman" w:hAnsi="Times New Roman" w:cs="Times New Roman"/>
                <w:b w:val="0"/>
                <w:i w:val="0"/>
                <w:caps w:val="0"/>
                <w:sz w:val="16"/>
              </w:rPr>
              <w:t>4.1 nmol per g</w:t>
            </w:r>
          </w:p>
        </w:tc>
        <w:tc>
          <w:tcPr>
            <w:tcW w:type="dxa" w:w="2610"/>
          </w:tcPr>
          <w:p>
            <w:pPr>
              <w:spacing w:after="0"/>
            </w:pPr>
            <w:r>
              <w:rPr>
                <w:rFonts w:ascii="Times New Roman" w:hAnsi="Times New Roman" w:cs="Times New Roman"/>
                <w:b w:val="0"/>
                <w:i w:val="0"/>
                <w:caps w:val="0"/>
                <w:sz w:val="16"/>
              </w:rPr>
              <w:t>30%</w:t>
            </w:r>
          </w:p>
        </w:tc>
      </w:tr>
      <w:tr>
        <w:tc>
          <w:tcPr>
            <w:tcW w:type="dxa" w:w="2610"/>
          </w:tcPr>
          <w:p>
            <w:pPr>
              <w:spacing w:after="0"/>
            </w:pPr>
            <w:r>
              <w:rPr>
                <w:rFonts w:ascii="Times New Roman" w:hAnsi="Times New Roman" w:cs="Times New Roman"/>
                <w:b w:val="0"/>
                <w:i w:val="0"/>
                <w:caps w:val="0"/>
                <w:sz w:val="16"/>
              </w:rPr>
              <w:t>Caudate, single-nucleus RNA sequencing</w:t>
            </w:r>
          </w:p>
        </w:tc>
        <w:tc>
          <w:tcPr>
            <w:tcW w:type="dxa" w:w="2610"/>
          </w:tcPr>
          <w:p>
            <w:pPr>
              <w:spacing w:after="0"/>
            </w:pPr>
            <w:r>
              <w:rPr>
                <w:rFonts w:ascii="Times New Roman" w:hAnsi="Times New Roman" w:cs="Times New Roman"/>
                <w:b w:val="0"/>
                <w:i w:val="0"/>
                <w:caps w:val="0"/>
                <w:sz w:val="16"/>
              </w:rPr>
              <w:t>43%</w:t>
            </w:r>
          </w:p>
        </w:tc>
        <w:tc>
          <w:tcPr>
            <w:tcW w:type="dxa" w:w="2610"/>
          </w:tcPr>
          <w:p>
            <w:pPr>
              <w:spacing w:after="0"/>
            </w:pPr>
            <w:r>
              <w:rPr>
                <w:rFonts w:ascii="Times New Roman" w:hAnsi="Times New Roman" w:cs="Times New Roman"/>
                <w:b w:val="0"/>
                <w:i w:val="0"/>
                <w:caps w:val="0"/>
                <w:sz w:val="16"/>
              </w:rPr>
              <w:t>8.0 nmol per g</w:t>
            </w:r>
          </w:p>
        </w:tc>
        <w:tc>
          <w:tcPr>
            <w:tcW w:type="dxa" w:w="2610"/>
          </w:tcPr>
          <w:p>
            <w:pPr>
              <w:spacing w:after="0"/>
            </w:pPr>
            <w:r>
              <w:rPr>
                <w:rFonts w:ascii="Times New Roman" w:hAnsi="Times New Roman" w:cs="Times New Roman"/>
                <w:b w:val="0"/>
                <w:i w:val="0"/>
                <w:caps w:val="0"/>
                <w:sz w:val="16"/>
              </w:rPr>
              <w:t>45%</w:t>
            </w:r>
          </w:p>
        </w:tc>
      </w:tr>
      <w:tr>
        <w:tc>
          <w:tcPr>
            <w:tcW w:type="dxa" w:w="2610"/>
          </w:tcPr>
          <w:p>
            <w:pPr>
              <w:spacing w:after="0"/>
            </w:pPr>
            <w:r>
              <w:rPr>
                <w:rFonts w:ascii="Times New Roman" w:hAnsi="Times New Roman" w:cs="Times New Roman"/>
                <w:b w:val="0"/>
                <w:i w:val="0"/>
                <w:caps w:val="0"/>
                <w:sz w:val="16"/>
              </w:rPr>
              <w:t>Caudate, quantitative PCR</w:t>
            </w:r>
          </w:p>
        </w:tc>
        <w:tc>
          <w:tcPr>
            <w:tcW w:type="dxa" w:w="2610"/>
          </w:tcPr>
          <w:p>
            <w:pPr>
              <w:spacing w:after="0"/>
            </w:pPr>
            <w:r>
              <w:rPr>
                <w:rFonts w:ascii="Times New Roman" w:hAnsi="Times New Roman" w:cs="Times New Roman"/>
                <w:b w:val="0"/>
                <w:i w:val="0"/>
                <w:caps w:val="0"/>
                <w:sz w:val="16"/>
              </w:rPr>
              <w:t>55%</w:t>
            </w:r>
          </w:p>
        </w:tc>
        <w:tc>
          <w:tcPr>
            <w:tcW w:type="dxa" w:w="2610"/>
          </w:tcPr>
          <w:p>
            <w:pPr>
              <w:spacing w:after="0"/>
            </w:pPr>
            <w:r>
              <w:rPr>
                <w:rFonts w:ascii="Times New Roman" w:hAnsi="Times New Roman" w:cs="Times New Roman"/>
                <w:b w:val="0"/>
                <w:i w:val="0"/>
                <w:caps w:val="0"/>
                <w:sz w:val="16"/>
              </w:rPr>
              <w:t>11.9 nmol per g</w:t>
            </w:r>
          </w:p>
        </w:tc>
        <w:tc>
          <w:tcPr>
            <w:tcW w:type="dxa" w:w="2610"/>
          </w:tcPr>
          <w:p>
            <w:pPr>
              <w:spacing w:after="0"/>
            </w:pPr>
            <w:r>
              <w:rPr>
                <w:rFonts w:ascii="Times New Roman" w:hAnsi="Times New Roman" w:cs="Times New Roman"/>
                <w:b w:val="0"/>
                <w:i w:val="0"/>
                <w:caps w:val="0"/>
                <w:sz w:val="16"/>
              </w:rPr>
              <w:t>55%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 xml:space="preserve">Three cautions belong with that table, and the first is the heaviest. The primate measurement is not an MSH3 measurement. The study used an oligonucleotide against </w:t>
      </w:r>
      <w:r>
        <w:rPr>
          <w:rFonts w:ascii="Times New Roman" w:hAnsi="Times New Roman" w:cs="Times New Roman"/>
          <w:b w:val="0"/>
          <w:i/>
          <w:caps w:val="0"/>
          <w:sz w:val="20"/>
        </w:rPr>
        <w:t>Malat1</w:t>
      </w:r>
      <w:r>
        <w:rPr>
          <w:rFonts w:ascii="Times New Roman" w:hAnsi="Times New Roman" w:cs="Times New Roman"/>
          <w:b w:val="0"/>
          <w:i w:val="0"/>
          <w:caps w:val="0"/>
          <w:sz w:val="20"/>
        </w:rPr>
        <w:t>, a nuclear long non-coding RNA, as a reporter of where an intrathecally delivered gapmer is active, and it reports residual target RNA rather than residual protein [7]. The numbers are used here as a property of the route and the cell type, which is what they were measured to establish, and MSH3 is assumed to respond the same way to the same chemistry in the same neurons. That assumption is conventional, it is the best available, and it is the load-bearing step in the whole delivery argument, so no reader should be left to infer it. The right-hand column is labelled accordingly: it is what the model predicts if the assumption holds, not a measured suppression of expansion. These figures come from 25 mg given intrathecally three times in macaques, a regimen the original authors themselves note likely exceeds what clinical dosing would deliver [7]. And the inferred tissue penetration length is 3.9 mm, which is short against the depth of the human putamen.</w:t>
      </w:r>
    </w:p>
    <w:p>
      <w:pPr>
        <w:spacing w:after="60" w:before="0" w:line="240" w:lineRule="auto"/>
        <w:ind w:firstLine="288"/>
        <w:jc w:val="both"/>
      </w:pPr>
      <w:r>
        <w:rPr>
          <w:rFonts w:ascii="Times New Roman" w:hAnsi="Times New Roman" w:cs="Times New Roman"/>
          <w:b w:val="0"/>
          <w:i w:val="0"/>
          <w:caps w:val="0"/>
          <w:sz w:val="20"/>
        </w:rPr>
        <w:t>How much worse the human case is depends entirely on how deep the human putamen is taken to be, and that single assumed number swings the answer by more than an order of magnitude, so it is reported as a range rather than as a figure (</w:t>
      </w:r>
      <w:r>
        <w:rPr>
          <w:rFonts w:ascii="Consolas" w:hAnsi="Consolas" w:cs="Consolas"/>
          <w:b w:val="0"/>
          <w:i w:val="0"/>
          <w:caps w:val="0"/>
          <w:sz w:val="20"/>
        </w:rPr>
        <w:t>results/depth_attenuation.csv</w:t>
      </w:r>
      <w:r>
        <w:rPr>
          <w:rFonts w:ascii="Times New Roman" w:hAnsi="Times New Roman" w:cs="Times New Roman"/>
          <w:b w:val="0"/>
          <w:i w:val="0"/>
          <w:caps w:val="0"/>
          <w:sz w:val="20"/>
        </w:rPr>
        <w:t>). Against the 10 mm assumed for the macaque, a human depth of 12 mm costs a further 1.7-fold, 16 mm costs 4.6-fold and 20 mm costs 12.9-fold. Scaling linear dimensions by the cube root of brain mass, from a roughly 90 g macaque brain to a roughly 1,300 g human one, gives 24.4 mm and a 40-fold penalty, but that is almost certainly too pessimistic: the putamen does not sit at a fixed fraction of brain radius, and in a human the lateral ventricle runs alongside it. The middle anatomical scenario, a 4.6-fold further attenuation at 16 mm, is the figure carried forward, and it should be read as the midpoint of a two to forty-fold range rather than as a result.</w:t>
      </w:r>
    </w:p>
    <w:p>
      <w:pPr>
        <w:spacing w:after="60" w:before="0" w:line="240" w:lineRule="auto"/>
        <w:ind w:firstLine="288"/>
        <w:jc w:val="both"/>
      </w:pPr>
      <w:r>
        <w:rPr>
          <w:rFonts w:ascii="Times New Roman" w:hAnsi="Times New Roman" w:cs="Times New Roman"/>
          <w:b w:val="0"/>
          <w:i w:val="0"/>
          <w:caps w:val="0"/>
          <w:sz w:val="20"/>
        </w:rPr>
        <w:t>What is not in doubt is the direction and the reason for it. A diffusion-limited route into a deep structure gets worse, not better, when the brain gets bigger, and with a penetration length of 3.9 mm every additional four millimetres of depth costs roughly another factor of e.</w:t>
      </w:r>
    </w:p>
    <w:p>
      <w:pPr>
        <w:spacing w:after="60" w:before="0" w:line="240" w:lineRule="auto"/>
        <w:ind w:firstLine="288"/>
        <w:jc w:val="both"/>
      </w:pPr>
      <w:r>
        <w:rPr>
          <w:rFonts w:ascii="Times New Roman" w:hAnsi="Times New Roman" w:cs="Times New Roman"/>
          <w:b w:val="0"/>
          <w:i w:val="0"/>
          <w:caps w:val="0"/>
          <w:sz w:val="20"/>
        </w:rPr>
        <w:t>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61090"/>
            <wp:docPr id="9" name="Picture 9"/>
            <wp:cNvGraphicFramePr>
              <a:graphicFrameLocks noChangeAspect="1"/>
            </wp:cNvGraphicFramePr>
            <a:graphic>
              <a:graphicData uri="http://schemas.openxmlformats.org/drawingml/2006/picture">
                <pic:pic>
                  <pic:nvPicPr>
                    <pic:cNvPr id="0" name="fig6_delivery.png"/>
                    <pic:cNvPicPr/>
                  </pic:nvPicPr>
                  <pic:blipFill>
                    <a:blip r:embed="rId17"/>
                    <a:stretch>
                      <a:fillRect/>
                    </a:stretch>
                  </pic:blipFill>
                  <pic:spPr>
                    <a:xfrm>
                      <a:off x="0" y="0"/>
                      <a:ext cx="6492240" cy="226109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9.  </w:t>
      </w:r>
      <w:r>
        <w:rPr>
          <w:rFonts w:ascii="Times New Roman" w:hAnsi="Times New Roman" w:cs="Times New Roman"/>
          <w:b/>
          <w:i w:val="0"/>
          <w:caps w:val="0"/>
          <w:sz w:val="16"/>
        </w:rPr>
        <w:t>The delivery problem.</w:t>
      </w:r>
      <w:r>
        <w:rPr>
          <w:rFonts w:ascii="Times New Roman" w:hAnsi="Times New Roman" w:cs="Times New Roman"/>
          <w:b w:val="0"/>
          <w:i w:val="0"/>
          <w:caps w:val="0"/>
          <w:sz w:val="16"/>
        </w:rPr>
        <w:t xml:space="preserve"> (A)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I.  A systemic nanocarrier has an affinity optimum, and the optimum is not enough</w:t>
      </w:r>
    </w:p>
    <w:p>
      <w:pPr>
        <w:spacing w:after="60" w:before="0" w:line="240" w:lineRule="auto"/>
        <w:ind w:firstLine="288"/>
        <w:jc w:val="both"/>
      </w:pPr>
      <w:r>
        <w:rPr>
          <w:rFonts w:ascii="Times New Roman" w:hAnsi="Times New Roman" w:cs="Times New Roman"/>
          <w:b w:val="0"/>
          <w:i w:val="0"/>
          <w:caps w:val="0"/>
          <w:sz w:val="20"/>
        </w:rPr>
        <w:t xml:space="preserve">Fitting the two-step capture and release model to the published anti-transferrin-receptor gold nanoparticle affinity series gives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286 nM for luminal capture and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 64 nM for abluminal release, so parenchymal accumulation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of about 135 nM (Fig. 10A). That is an order of magnitude weaker than the high-affinity variants that are usually engineered. Valency matters more than affinity over the measured range: the ratio of monovalent to bivalent accumulation at matched affinity is 5.7-fold, which is read straight off the measurements rather than fitted.</w:t>
      </w:r>
    </w:p>
    <w:p>
      <w:pPr>
        <w:spacing w:after="60" w:before="0" w:line="240" w:lineRule="auto"/>
        <w:ind w:firstLine="288"/>
        <w:jc w:val="both"/>
      </w:pPr>
      <w:r>
        <w:rPr>
          <w:rFonts w:ascii="Times New Roman" w:hAnsi="Times New Roman" w:cs="Times New Roman"/>
          <w:b w:val="0"/>
          <w:i w:val="0"/>
          <w:caps w:val="0"/>
          <w:sz w:val="20"/>
        </w:rPr>
        <w:t>The same caution that applies to the exposure-response curve applies here, and for the same reason. Two parameters were fitted to two bivalent data points, so the curve passes through both by construction and the fit has nothing left over to be tested against. That means the existence of an interior optimum is a property of the assumed product form, not something these data demonstrate: any two points can be threaded by a capture-times-release curve, and such a curve always has a maximum. What the data do supply is where that maximum sits if the form is right, and the fact that accumulation falls between 21 and 149 nM, which at least establishes that tighter binding is not monotonically better over the measured range. The mechanism itself, that binding tighter captures more carrier at the luminal face and releases less of it on the far side, is taken from the transcytosis literature rather than derived here.</w:t>
      </w:r>
    </w:p>
    <w:p>
      <w:pPr>
        <w:spacing w:after="60" w:before="0" w:line="240" w:lineRule="auto"/>
        <w:ind w:firstLine="288"/>
        <w:jc w:val="both"/>
      </w:pPr>
      <w:r>
        <w:rPr>
          <w:rFonts w:ascii="Times New Roman" w:hAnsi="Times New Roman" w:cs="Times New Roman"/>
          <w:b w:val="0"/>
          <w:i w:val="0"/>
          <w:caps w:val="0"/>
          <w:sz w:val="20"/>
        </w:rPr>
        <w:t>The optimum is real and it is small. Moving from the best measured monovalent design, at 0.230% of injected dose per gram, to the modelled optimum gives 2.0-fold more drug in the parenchyma. Set against the dose requirement, that is not close to sufficient (</w:t>
      </w:r>
      <w:r>
        <w:rPr>
          <w:rFonts w:ascii="Consolas" w:hAnsi="Consolas" w:cs="Consolas"/>
          <w:b w:val="0"/>
          <w:i w:val="0"/>
          <w:caps w:val="0"/>
          <w:sz w:val="20"/>
        </w:rPr>
        <w:t>results/translation.csv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w:t>
      </w:r>
    </w:p>
    <w:p>
      <w:pPr>
        <w:spacing w:after="60" w:before="0" w:line="240" w:lineRule="auto"/>
        <w:ind w:firstLine="0"/>
        <w:jc w:val="center"/>
      </w:pPr>
      <w:r>
        <w:rPr>
          <w:rFonts w:ascii="Times New Roman" w:hAnsi="Times New Roman" w:cs="Times New Roman"/>
          <w:b w:val="0"/>
          <w:i w:val="0"/>
          <w:caps/>
          <w:sz w:val="16"/>
        </w:rPr>
        <w:t>Systemic dose required for 75% striatal MSH3 lowering, by nanocarrier design.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Design</w:t>
            </w:r>
          </w:p>
        </w:tc>
        <w:tc>
          <w:tcPr>
            <w:tcW w:type="dxa" w:w="3480"/>
          </w:tcPr>
          <w:p>
            <w:pPr>
              <w:spacing w:after="0"/>
            </w:pPr>
            <w:r/>
            <w:r>
              <w:rPr>
                <w:rFonts w:ascii="Times New Roman" w:hAnsi="Times New Roman" w:cs="Times New Roman"/>
                <w:b/>
                <w:i w:val="0"/>
                <w:caps w:val="0"/>
                <w:sz w:val="16"/>
              </w:rPr>
              <w:t>Dose for 75% striatal MSH3 lowering</w:t>
            </w:r>
          </w:p>
        </w:tc>
        <w:tc>
          <w:tcPr>
            <w:tcW w:type="dxa" w:w="3480"/>
          </w:tcPr>
          <w:p>
            <w:pPr>
              <w:spacing w:after="0"/>
            </w:pPr>
            <w:r/>
            <w:r>
              <w:rPr>
                <w:rFonts w:ascii="Times New Roman" w:hAnsi="Times New Roman" w:cs="Times New Roman"/>
                <w:b/>
                <w:i w:val="0"/>
                <w:caps w:val="0"/>
                <w:sz w:val="16"/>
              </w:rPr>
              <w:t>Improvement needed against 3 mg per kg</w:t>
            </w:r>
          </w:p>
        </w:tc>
      </w:tr>
      <w:tr>
        <w:tc>
          <w:tcPr>
            <w:tcW w:type="dxa" w:w="3480"/>
          </w:tcPr>
          <w:p>
            <w:pPr>
              <w:spacing w:after="0"/>
            </w:pPr>
            <w:r>
              <w:rPr>
                <w:rFonts w:ascii="Times New Roman" w:hAnsi="Times New Roman" w:cs="Times New Roman"/>
                <w:b w:val="0"/>
                <w:i w:val="0"/>
                <w:caps w:val="0"/>
                <w:sz w:val="16"/>
              </w:rPr>
              <w:t xml:space="preserve">Bivalent,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21 nM</w:t>
            </w:r>
          </w:p>
        </w:tc>
        <w:tc>
          <w:tcPr>
            <w:tcW w:type="dxa" w:w="3480"/>
          </w:tcPr>
          <w:p>
            <w:pPr>
              <w:spacing w:after="0"/>
            </w:pPr>
            <w:r>
              <w:rPr>
                <w:rFonts w:ascii="Times New Roman" w:hAnsi="Times New Roman" w:cs="Times New Roman"/>
                <w:b w:val="0"/>
                <w:i w:val="0"/>
                <w:caps w:val="0"/>
                <w:sz w:val="16"/>
              </w:rPr>
              <w:t>625 mg per kg</w:t>
            </w:r>
          </w:p>
        </w:tc>
        <w:tc>
          <w:tcPr>
            <w:tcW w:type="dxa" w:w="3480"/>
          </w:tcPr>
          <w:p>
            <w:pPr>
              <w:spacing w:after="0"/>
            </w:pPr>
            <w:r>
              <w:rPr>
                <w:rFonts w:ascii="Times New Roman" w:hAnsi="Times New Roman" w:cs="Times New Roman"/>
                <w:b w:val="0"/>
                <w:i w:val="0"/>
                <w:caps w:val="0"/>
                <w:sz w:val="16"/>
              </w:rPr>
              <w:t>208-fold</w:t>
            </w:r>
          </w:p>
        </w:tc>
      </w:tr>
      <w:tr>
        <w:tc>
          <w:tcPr>
            <w:tcW w:type="dxa" w:w="3480"/>
          </w:tcPr>
          <w:p>
            <w:pPr>
              <w:spacing w:after="0"/>
            </w:pPr>
            <w:r>
              <w:rPr>
                <w:rFonts w:ascii="Times New Roman" w:hAnsi="Times New Roman" w:cs="Times New Roman"/>
                <w:b w:val="0"/>
                <w:i w:val="0"/>
                <w:caps w:val="0"/>
                <w:sz w:val="16"/>
              </w:rPr>
              <w:t xml:space="preserve">Monovalent,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22 nM (best measured)</w:t>
            </w:r>
          </w:p>
        </w:tc>
        <w:tc>
          <w:tcPr>
            <w:tcW w:type="dxa" w:w="3480"/>
          </w:tcPr>
          <w:p>
            <w:pPr>
              <w:spacing w:after="0"/>
            </w:pPr>
            <w:r>
              <w:rPr>
                <w:rFonts w:ascii="Times New Roman" w:hAnsi="Times New Roman" w:cs="Times New Roman"/>
                <w:b w:val="0"/>
                <w:i w:val="0"/>
                <w:caps w:val="0"/>
                <w:sz w:val="16"/>
              </w:rPr>
              <w:t>109 mg per kg</w:t>
            </w:r>
          </w:p>
        </w:tc>
        <w:tc>
          <w:tcPr>
            <w:tcW w:type="dxa" w:w="3480"/>
          </w:tcPr>
          <w:p>
            <w:pPr>
              <w:spacing w:after="0"/>
            </w:pPr>
            <w:r>
              <w:rPr>
                <w:rFonts w:ascii="Times New Roman" w:hAnsi="Times New Roman" w:cs="Times New Roman"/>
                <w:b w:val="0"/>
                <w:i w:val="0"/>
                <w:caps w:val="0"/>
                <w:sz w:val="16"/>
              </w:rPr>
              <w:t>36-fold</w:t>
            </w:r>
          </w:p>
        </w:tc>
      </w:tr>
      <w:tr>
        <w:tc>
          <w:tcPr>
            <w:tcW w:type="dxa" w:w="3480"/>
          </w:tcPr>
          <w:p>
            <w:pPr>
              <w:spacing w:after="0"/>
            </w:pPr>
            <w:r>
              <w:rPr>
                <w:rFonts w:ascii="Times New Roman" w:hAnsi="Times New Roman" w:cs="Times New Roman"/>
                <w:b w:val="0"/>
                <w:i w:val="0"/>
                <w:caps w:val="0"/>
                <w:sz w:val="16"/>
              </w:rPr>
              <w:t>Monovalent, at the modelled optimum</w:t>
            </w:r>
          </w:p>
        </w:tc>
        <w:tc>
          <w:tcPr>
            <w:tcW w:type="dxa" w:w="3480"/>
          </w:tcPr>
          <w:p>
            <w:pPr>
              <w:spacing w:after="0"/>
            </w:pPr>
            <w:r>
              <w:rPr>
                <w:rFonts w:ascii="Times New Roman" w:hAnsi="Times New Roman" w:cs="Times New Roman"/>
                <w:b w:val="0"/>
                <w:i w:val="0"/>
                <w:caps w:val="0"/>
                <w:sz w:val="16"/>
              </w:rPr>
              <w:t>54 mg per kg</w:t>
            </w:r>
          </w:p>
        </w:tc>
        <w:tc>
          <w:tcPr>
            <w:tcW w:type="dxa" w:w="3480"/>
          </w:tcPr>
          <w:p>
            <w:pPr>
              <w:spacing w:after="0"/>
            </w:pPr>
            <w:r>
              <w:rPr>
                <w:rFonts w:ascii="Times New Roman" w:hAnsi="Times New Roman" w:cs="Times New Roman"/>
                <w:b w:val="0"/>
                <w:i w:val="0"/>
                <w:caps w:val="0"/>
                <w:sz w:val="16"/>
              </w:rPr>
              <w:t>18-fold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Every figure in that table is in milligrams, so it carries an assumed molecular weight, and since the paper quotes these numbers more than any others the assumption belongs next to them rather than in a result file. The model works in nanomoles; converting to mass needs a molecular weight, taken here as 14 kDa, roughly a divalent siRNA. The script sweeps 7, 14 and 28 kDa, which covers a single strand through to a heavily conjugated construct, and every milligram figure scales in direct proportion, so the quoted doses halve or double at the ends of that range. The fold improvements do not, because the 3 mg per kg ceiling they are measured against is itself a mass.</w:t>
      </w:r>
    </w:p>
    <w:p>
      <w:pPr>
        <w:spacing w:after="60" w:before="0" w:line="240" w:lineRule="auto"/>
        <w:ind w:firstLine="288"/>
        <w:jc w:val="both"/>
      </w:pPr>
      <w:r>
        <w:rPr>
          <w:rFonts w:ascii="Times New Roman" w:hAnsi="Times New Roman" w:cs="Times New Roman"/>
          <w:b w:val="0"/>
          <w:i w:val="0"/>
          <w:caps w:val="0"/>
          <w:sz w:val="20"/>
        </w:rPr>
        <w:t>The contrast that makes the point is this. Seven milligrams of oligonucleotide inside a 20 g human striatum would achieve 75% MSH3 lowering, taking 14 kDa for the payload.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198800"/>
            <wp:docPr id="10" name="Picture 10"/>
            <wp:cNvGraphicFramePr>
              <a:graphicFrameLocks noChangeAspect="1"/>
            </wp:cNvGraphicFramePr>
            <a:graphic>
              <a:graphicData uri="http://schemas.openxmlformats.org/drawingml/2006/picture">
                <pic:pic>
                  <pic:nvPicPr>
                    <pic:cNvPr id="0" name="fig7_rmt_design.png"/>
                    <pic:cNvPicPr/>
                  </pic:nvPicPr>
                  <pic:blipFill>
                    <a:blip r:embed="rId18"/>
                    <a:stretch>
                      <a:fillRect/>
                    </a:stretch>
                  </pic:blipFill>
                  <pic:spPr>
                    <a:xfrm>
                      <a:off x="0" y="0"/>
                      <a:ext cx="6492240" cy="319880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10.  </w:t>
      </w:r>
      <w:r>
        <w:rPr>
          <w:rFonts w:ascii="Times New Roman" w:hAnsi="Times New Roman" w:cs="Times New Roman"/>
          <w:b/>
          <w:i w:val="0"/>
          <w:caps w:val="0"/>
          <w:sz w:val="16"/>
        </w:rPr>
        <w:t>Nanocarrier design space.</w:t>
      </w:r>
      <w:r>
        <w:rPr>
          <w:rFonts w:ascii="Times New Roman" w:hAnsi="Times New Roman" w:cs="Times New Roman"/>
          <w:b w:val="0"/>
          <w:i w:val="0"/>
          <w:caps w:val="0"/>
          <w:sz w:val="16"/>
        </w:rPr>
        <w:t xml:space="preserve"> (A) Fitted affinity and valency response against the measured gold nanoparticle data, with the optimum at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of about 135 nM. (B) Systemic dose required for 75% MSH3 lowering as a function of parenchymal accumulation, for three endosomal escape fractions.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J.  In silico trial: a real benefit, sublinear in dose, and dominated by timing</w:t>
      </w:r>
    </w:p>
    <w:p>
      <w:pPr>
        <w:spacing w:after="60" w:before="0" w:line="240" w:lineRule="auto"/>
        <w:ind w:firstLine="288"/>
        <w:jc w:val="both"/>
      </w:pPr>
      <w:r>
        <w:rPr>
          <w:rFonts w:ascii="Times New Roman" w:hAnsi="Times New Roman" w:cs="Times New Roman"/>
          <w:b w:val="0"/>
          <w:i w:val="0"/>
          <w:caps w:val="0"/>
          <w:sz w:val="20"/>
        </w:rPr>
        <w:t xml:space="preserve">For a 42-repeat carrier, 47.3% of projection neurons are lost by age 70 without treatment. With lifelong treatment starting at age 30 (Fig. 11A; </w:t>
      </w:r>
      <w:r>
        <w:rPr>
          <w:rFonts w:ascii="Consolas" w:hAnsi="Consolas" w:cs="Consolas"/>
          <w:b w:val="0"/>
          <w:i w:val="0"/>
          <w:caps w:val="0"/>
          <w:sz w:val="20"/>
        </w:rPr>
        <w:t>results/trial_grid.csv</w:t>
      </w:r>
      <w:r>
        <w:rPr>
          <w:rFonts w:ascii="Times New Roman" w:hAnsi="Times New Roman" w:cs="Times New Roman"/>
          <w:b w:val="0"/>
          <w:i w:val="0"/>
          <w:caps w:val="0"/>
          <w:sz w:val="20"/>
        </w:rPr>
        <w:t>):</w:t>
      </w:r>
    </w:p>
    <w:p>
      <w:pPr>
        <w:spacing w:after="20" w:before="120" w:line="240" w:lineRule="auto"/>
        <w:ind w:firstLine="0"/>
        <w:jc w:val="center"/>
      </w:pPr>
      <w:r>
        <w:rPr>
          <w:rFonts w:ascii="Times New Roman" w:hAnsi="Times New Roman" w:cs="Times New Roman"/>
          <w:b w:val="0"/>
          <w:i w:val="0"/>
          <w:caps w:val="0"/>
          <w:sz w:val="16"/>
        </w:rPr>
        <w:t>TABLE VII</w:t>
      </w:r>
    </w:p>
    <w:p>
      <w:pPr>
        <w:spacing w:after="60" w:before="0" w:line="240" w:lineRule="auto"/>
        <w:ind w:firstLine="0"/>
        <w:jc w:val="center"/>
      </w:pPr>
      <w:r>
        <w:rPr>
          <w:rFonts w:ascii="Times New Roman" w:hAnsi="Times New Roman" w:cs="Times New Roman"/>
          <w:b w:val="0"/>
          <w:i w:val="0"/>
          <w:caps/>
          <w:sz w:val="16"/>
        </w:rPr>
        <w:t>Predicted outcome of lifelong treatment from age 30 in a 42-repeat carrier. Censored entries are lower bounds set by the simulated lifespan.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Striatal MSH3 knockdown</w:t>
            </w:r>
          </w:p>
        </w:tc>
        <w:tc>
          <w:tcPr>
            <w:tcW w:type="dxa" w:w="3480"/>
          </w:tcPr>
          <w:p>
            <w:pPr>
              <w:spacing w:after="0"/>
            </w:pPr>
            <w:r/>
            <w:r>
              <w:rPr>
                <w:rFonts w:ascii="Times New Roman" w:hAnsi="Times New Roman" w:cs="Times New Roman"/>
                <w:b/>
                <w:i w:val="0"/>
                <w:caps w:val="0"/>
                <w:sz w:val="16"/>
              </w:rPr>
              <w:t>Neuron loss at 70</w:t>
            </w:r>
          </w:p>
        </w:tc>
        <w:tc>
          <w:tcPr>
            <w:tcW w:type="dxa" w:w="3480"/>
          </w:tcPr>
          <w:p>
            <w:pPr>
              <w:spacing w:after="0"/>
            </w:pPr>
            <w:r/>
            <w:r>
              <w:rPr>
                <w:rFonts w:ascii="Times New Roman" w:hAnsi="Times New Roman" w:cs="Times New Roman"/>
                <w:b/>
                <w:i w:val="0"/>
                <w:caps w:val="0"/>
                <w:sz w:val="16"/>
              </w:rPr>
              <w:t>Delay to 25% loss</w:t>
            </w:r>
          </w:p>
        </w:tc>
      </w:tr>
      <w:tr>
        <w:tc>
          <w:tcPr>
            <w:tcW w:type="dxa" w:w="3480"/>
          </w:tcPr>
          <w:p>
            <w:pPr>
              <w:spacing w:after="0"/>
            </w:pPr>
            <w:r>
              <w:rPr>
                <w:rFonts w:ascii="Times New Roman" w:hAnsi="Times New Roman" w:cs="Times New Roman"/>
                <w:b w:val="0"/>
                <w:i w:val="0"/>
                <w:caps w:val="0"/>
                <w:sz w:val="16"/>
              </w:rPr>
              <w:t>0% (control arm)</w:t>
            </w:r>
          </w:p>
        </w:tc>
        <w:tc>
          <w:tcPr>
            <w:tcW w:type="dxa" w:w="3480"/>
          </w:tcPr>
          <w:p>
            <w:pPr>
              <w:spacing w:after="0"/>
            </w:pPr>
            <w:r>
              <w:rPr>
                <w:rFonts w:ascii="Times New Roman" w:hAnsi="Times New Roman" w:cs="Times New Roman"/>
                <w:b w:val="0"/>
                <w:i w:val="0"/>
                <w:caps w:val="0"/>
                <w:sz w:val="16"/>
              </w:rPr>
              <w:t>47.2%</w:t>
            </w:r>
          </w:p>
        </w:tc>
        <w:tc>
          <w:tcPr>
            <w:tcW w:type="dxa" w:w="3480"/>
          </w:tcPr>
          <w:p>
            <w:pPr>
              <w:spacing w:after="0"/>
            </w:pPr>
            <w:r>
              <w:rPr>
                <w:rFonts w:ascii="Times New Roman" w:hAnsi="Times New Roman" w:cs="Times New Roman"/>
                <w:b w:val="0"/>
                <w:i w:val="0"/>
                <w:caps w:val="0"/>
                <w:sz w:val="16"/>
              </w:rPr>
              <w:t>−0.4 y (Monte Carlo noise)</w:t>
            </w:r>
          </w:p>
        </w:tc>
      </w:tr>
      <w:tr>
        <w:tc>
          <w:tcPr>
            <w:tcW w:type="dxa" w:w="3480"/>
          </w:tcPr>
          <w:p>
            <w:pPr>
              <w:spacing w:after="0"/>
            </w:pPr>
            <w:r>
              <w:rPr>
                <w:rFonts w:ascii="Times New Roman" w:hAnsi="Times New Roman" w:cs="Times New Roman"/>
                <w:b/>
                <w:i w:val="0"/>
                <w:caps w:val="0"/>
                <w:sz w:val="16"/>
              </w:rPr>
              <w:t>29% (measured, putaminal neurons)</w:t>
            </w:r>
          </w:p>
        </w:tc>
        <w:tc>
          <w:tcPr>
            <w:tcW w:type="dxa" w:w="3480"/>
          </w:tcPr>
          <w:p>
            <w:pPr>
              <w:spacing w:after="0"/>
            </w:pPr>
            <w:r>
              <w:rPr>
                <w:rFonts w:ascii="Times New Roman" w:hAnsi="Times New Roman" w:cs="Times New Roman"/>
                <w:b/>
                <w:i w:val="0"/>
                <w:caps w:val="0"/>
                <w:sz w:val="16"/>
              </w:rPr>
              <w:t>33.6%</w:t>
            </w:r>
          </w:p>
        </w:tc>
        <w:tc>
          <w:tcPr>
            <w:tcW w:type="dxa" w:w="3480"/>
          </w:tcPr>
          <w:p>
            <w:pPr>
              <w:spacing w:after="0"/>
            </w:pPr>
            <w:r>
              <w:rPr>
                <w:rFonts w:ascii="Times New Roman" w:hAnsi="Times New Roman" w:cs="Times New Roman"/>
                <w:b/>
                <w:i w:val="0"/>
                <w:caps w:val="0"/>
                <w:sz w:val="16"/>
              </w:rPr>
              <w:t>8.2 y</w:t>
            </w:r>
          </w:p>
        </w:tc>
      </w:tr>
      <w:tr>
        <w:tc>
          <w:tcPr>
            <w:tcW w:type="dxa" w:w="3480"/>
          </w:tcPr>
          <w:p>
            <w:pPr>
              <w:spacing w:after="0"/>
            </w:pPr>
            <w:r>
              <w:rPr>
                <w:rFonts w:ascii="Times New Roman" w:hAnsi="Times New Roman" w:cs="Times New Roman"/>
                <w:b w:val="0"/>
                <w:i w:val="0"/>
                <w:caps w:val="0"/>
                <w:sz w:val="16"/>
              </w:rPr>
              <w:t>43% (caudate, sequencing)</w:t>
            </w:r>
          </w:p>
        </w:tc>
        <w:tc>
          <w:tcPr>
            <w:tcW w:type="dxa" w:w="3480"/>
          </w:tcPr>
          <w:p>
            <w:pPr>
              <w:spacing w:after="0"/>
            </w:pPr>
            <w:r>
              <w:rPr>
                <w:rFonts w:ascii="Times New Roman" w:hAnsi="Times New Roman" w:cs="Times New Roman"/>
                <w:b w:val="0"/>
                <w:i w:val="0"/>
                <w:caps w:val="0"/>
                <w:sz w:val="16"/>
              </w:rPr>
              <w:t>26.2%</w:t>
            </w:r>
          </w:p>
        </w:tc>
        <w:tc>
          <w:tcPr>
            <w:tcW w:type="dxa" w:w="3480"/>
          </w:tcPr>
          <w:p>
            <w:pPr>
              <w:spacing w:after="0"/>
            </w:pPr>
            <w:r>
              <w:rPr>
                <w:rFonts w:ascii="Times New Roman" w:hAnsi="Times New Roman" w:cs="Times New Roman"/>
                <w:b w:val="0"/>
                <w:i w:val="0"/>
                <w:caps w:val="0"/>
                <w:sz w:val="16"/>
              </w:rPr>
              <w:t>15.7 y</w:t>
            </w:r>
          </w:p>
        </w:tc>
      </w:tr>
      <w:tr>
        <w:tc>
          <w:tcPr>
            <w:tcW w:type="dxa" w:w="3480"/>
          </w:tcPr>
          <w:p>
            <w:pPr>
              <w:spacing w:after="0"/>
            </w:pPr>
            <w:r>
              <w:rPr>
                <w:rFonts w:ascii="Times New Roman" w:hAnsi="Times New Roman" w:cs="Times New Roman"/>
                <w:b w:val="0"/>
                <w:i w:val="0"/>
                <w:caps w:val="0"/>
                <w:sz w:val="16"/>
              </w:rPr>
              <w:t>55% (caudate, PCR)</w:t>
            </w:r>
          </w:p>
        </w:tc>
        <w:tc>
          <w:tcPr>
            <w:tcW w:type="dxa" w:w="3480"/>
          </w:tcPr>
          <w:p>
            <w:pPr>
              <w:spacing w:after="0"/>
            </w:pPr>
            <w:r>
              <w:rPr>
                <w:rFonts w:ascii="Times New Roman" w:hAnsi="Times New Roman" w:cs="Times New Roman"/>
                <w:b w:val="0"/>
                <w:i w:val="0"/>
                <w:caps w:val="0"/>
                <w:sz w:val="16"/>
              </w:rPr>
              <w:t>21.1%</w:t>
            </w:r>
          </w:p>
        </w:tc>
        <w:tc>
          <w:tcPr>
            <w:tcW w:type="dxa" w:w="3480"/>
          </w:tcPr>
          <w:p>
            <w:pPr>
              <w:spacing w:after="0"/>
            </w:pPr>
            <w:r>
              <w:rPr>
                <w:rFonts w:ascii="Times New Roman" w:hAnsi="Times New Roman" w:cs="Times New Roman"/>
                <w:b w:val="0"/>
                <w:i w:val="0"/>
                <w:caps w:val="0"/>
                <w:sz w:val="16"/>
              </w:rPr>
              <w:t>25.0 y</w:t>
            </w:r>
          </w:p>
        </w:tc>
      </w:tr>
      <w:tr>
        <w:tc>
          <w:tcPr>
            <w:tcW w:type="dxa" w:w="3480"/>
          </w:tcPr>
          <w:p>
            <w:pPr>
              <w:spacing w:after="0"/>
            </w:pPr>
            <w:r>
              <w:rPr>
                <w:rFonts w:ascii="Times New Roman" w:hAnsi="Times New Roman" w:cs="Times New Roman"/>
                <w:b w:val="0"/>
                <w:i w:val="0"/>
                <w:caps w:val="0"/>
                <w:sz w:val="16"/>
              </w:rPr>
              <w:t>75% (aspirational)</w:t>
            </w:r>
          </w:p>
        </w:tc>
        <w:tc>
          <w:tcPr>
            <w:tcW w:type="dxa" w:w="3480"/>
          </w:tcPr>
          <w:p>
            <w:pPr>
              <w:spacing w:after="0"/>
            </w:pPr>
            <w:r>
              <w:rPr>
                <w:rFonts w:ascii="Times New Roman" w:hAnsi="Times New Roman" w:cs="Times New Roman"/>
                <w:b w:val="0"/>
                <w:i w:val="0"/>
                <w:caps w:val="0"/>
                <w:sz w:val="16"/>
              </w:rPr>
              <w:t>12.6%</w:t>
            </w:r>
          </w:p>
        </w:tc>
        <w:tc>
          <w:tcPr>
            <w:tcW w:type="dxa" w:w="3480"/>
          </w:tcPr>
          <w:p>
            <w:pPr>
              <w:spacing w:after="0"/>
            </w:pPr>
            <w:r>
              <w:rPr>
                <w:rFonts w:ascii="Times New Roman" w:hAnsi="Times New Roman" w:cs="Times New Roman"/>
                <w:b w:val="0"/>
                <w:i w:val="0"/>
                <w:caps w:val="0"/>
                <w:sz w:val="16"/>
              </w:rPr>
              <w:t>over 57.5 y (censored)</w:t>
            </w:r>
          </w:p>
        </w:tc>
      </w:tr>
      <w:tr>
        <w:tc>
          <w:tcPr>
            <w:tcW w:type="dxa" w:w="3480"/>
          </w:tcPr>
          <w:p>
            <w:pPr>
              <w:spacing w:after="0"/>
            </w:pPr>
            <w:r>
              <w:rPr>
                <w:rFonts w:ascii="Times New Roman" w:hAnsi="Times New Roman" w:cs="Times New Roman"/>
                <w:b w:val="0"/>
                <w:i w:val="0"/>
                <w:caps w:val="0"/>
                <w:sz w:val="16"/>
              </w:rPr>
              <w:t>95%</w:t>
            </w:r>
          </w:p>
        </w:tc>
        <w:tc>
          <w:tcPr>
            <w:tcW w:type="dxa" w:w="3480"/>
          </w:tcPr>
          <w:p>
            <w:pPr>
              <w:spacing w:after="0"/>
            </w:pPr>
            <w:r>
              <w:rPr>
                <w:rFonts w:ascii="Times New Roman" w:hAnsi="Times New Roman" w:cs="Times New Roman"/>
                <w:b w:val="0"/>
                <w:i w:val="0"/>
                <w:caps w:val="0"/>
                <w:sz w:val="16"/>
              </w:rPr>
              <w:t>6.6%</w:t>
            </w:r>
          </w:p>
        </w:tc>
        <w:tc>
          <w:tcPr>
            <w:tcW w:type="dxa" w:w="3480"/>
          </w:tcPr>
          <w:p>
            <w:pPr>
              <w:spacing w:after="0"/>
            </w:pPr>
            <w:r>
              <w:rPr>
                <w:rFonts w:ascii="Times New Roman" w:hAnsi="Times New Roman" w:cs="Times New Roman"/>
                <w:b w:val="0"/>
                <w:i w:val="0"/>
                <w:caps w:val="0"/>
                <w:sz w:val="16"/>
              </w:rPr>
              <w:t>over 57.5 y (censored)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spacing w:after="60" w:before="0" w:line="240" w:lineRule="auto"/>
        <w:ind w:firstLine="288"/>
        <w:jc w:val="both"/>
      </w:pPr>
      <w:r>
        <w:rPr>
          <w:rFonts w:ascii="Times New Roman" w:hAnsi="Times New Roman" w:cs="Times New Roman"/>
          <w:b w:val="0"/>
          <w:i w:val="0"/>
          <w:caps w:val="0"/>
          <w:sz w:val="20"/>
        </w:rPr>
        <w:t>Three features of this table matter clinically.</w:t>
      </w:r>
    </w:p>
    <w:p>
      <w:pPr>
        <w:spacing w:after="60" w:before="0" w:line="240" w:lineRule="auto"/>
        <w:ind w:firstLine="288"/>
        <w:jc w:val="both"/>
      </w:pPr>
      <w:r>
        <w:rPr>
          <w:rFonts w:ascii="Times New Roman" w:hAnsi="Times New Roman" w:cs="Times New Roman"/>
          <w:b/>
          <w:i w:val="0"/>
          <w:caps w:val="0"/>
          <w:sz w:val="20"/>
        </w:rPr>
        <w:t>Timing dominates everything.</w:t>
      </w:r>
      <w:r>
        <w:rPr>
          <w:rFonts w:ascii="Times New Roman" w:hAnsi="Times New Roman" w:cs="Times New Roman"/>
          <w:b w:val="0"/>
          <w:i w:val="0"/>
          <w:caps w:val="0"/>
          <w:sz w:val="20"/>
        </w:rPr>
        <w:t xml:space="preserve"> The same 29% knockdown delays 25% loss by 12.6 years if started at age 20, 8.2 years at 30, 3.8 years at 40 and 0.0 years at 50 (Fig. 12A). Loss at 70 still falls from 47.3% to 40.0% in the age-50 arm, so the drug is doing something, but the clinically meaningful endpoint has already gone past. This is Section III-D in therapeutic clothing: the drug acts only on the pre-threshold clock, and by age 50 a substantial share of neurons have already committed and cannot be recalled.</w:t>
      </w:r>
    </w:p>
    <w:p>
      <w:pPr>
        <w:spacing w:after="60" w:before="0" w:line="240" w:lineRule="auto"/>
        <w:ind w:firstLine="288"/>
        <w:jc w:val="both"/>
      </w:pPr>
      <w:r>
        <w:rPr>
          <w:rFonts w:ascii="Times New Roman" w:hAnsi="Times New Roman" w:cs="Times New Roman"/>
          <w:b/>
          <w:i w:val="0"/>
          <w:caps w:val="0"/>
          <w:sz w:val="20"/>
        </w:rPr>
        <w:t>A longer inherited allele compresses the window.</w:t>
      </w:r>
      <w:r>
        <w:rPr>
          <w:rFonts w:ascii="Times New Roman" w:hAnsi="Times New Roman" w:cs="Times New Roman"/>
          <w:b w:val="0"/>
          <w:i w:val="0"/>
          <w:caps w:val="0"/>
          <w:sz w:val="20"/>
        </w:rPr>
        <w:t xml:space="preserve"> The same intervention from age 30 delays 25% loss by 10.8 years at 40 repeats, 8.6 at 42, 4.8 at 45 and 2.9 at 48 (</w:t>
      </w:r>
      <w:r>
        <w:rPr>
          <w:rFonts w:ascii="Consolas" w:hAnsi="Consolas" w:cs="Consolas"/>
          <w:b w:val="0"/>
          <w:i w:val="0"/>
          <w:caps w:val="0"/>
          <w:sz w:val="20"/>
        </w:rPr>
        <w:t>results/trial_scenarios.csv</w:t>
      </w:r>
      <w:r>
        <w:rPr>
          <w:rFonts w:ascii="Times New Roman" w:hAnsi="Times New Roman" w:cs="Times New Roman"/>
          <w:b w:val="0"/>
          <w:i w:val="0"/>
          <w:caps w:val="0"/>
          <w:sz w:val="20"/>
        </w:rPr>
        <w:t>;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spacing w:after="60" w:before="0" w:line="240" w:lineRule="auto"/>
        <w:ind w:firstLine="288"/>
        <w:jc w:val="both"/>
      </w:pPr>
      <w:r>
        <w:rPr>
          <w:rFonts w:ascii="Times New Roman" w:hAnsi="Times New Roman" w:cs="Times New Roman"/>
          <w:b/>
          <w:i w:val="0"/>
          <w:caps w:val="0"/>
          <w:sz w:val="20"/>
        </w:rPr>
        <w:t>Returns rise steeply with knockdown.</w:t>
      </w:r>
      <w:r>
        <w:rPr>
          <w:rFonts w:ascii="Times New Roman" w:hAnsi="Times New Roman" w:cs="Times New Roman"/>
          <w:b w:val="0"/>
          <w:i w:val="0"/>
          <w:caps w:val="0"/>
          <w:sz w:val="20"/>
        </w:rPr>
        <w:t xml:space="preserve"> 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43266"/>
            <wp:docPr id="11" name="Picture 11"/>
            <wp:cNvGraphicFramePr>
              <a:graphicFrameLocks noChangeAspect="1"/>
            </wp:cNvGraphicFramePr>
            <a:graphic>
              <a:graphicData uri="http://schemas.openxmlformats.org/drawingml/2006/picture">
                <pic:pic>
                  <pic:nvPicPr>
                    <pic:cNvPr id="0" name="fig8_trial.png"/>
                    <pic:cNvPicPr/>
                  </pic:nvPicPr>
                  <pic:blipFill>
                    <a:blip r:embed="rId19"/>
                    <a:stretch>
                      <a:fillRect/>
                    </a:stretch>
                  </pic:blipFill>
                  <pic:spPr>
                    <a:xfrm>
                      <a:off x="0" y="0"/>
                      <a:ext cx="6492240" cy="2443266"/>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11.  </w:t>
      </w:r>
      <w:r>
        <w:rPr>
          <w:rFonts w:ascii="Times New Roman" w:hAnsi="Times New Roman" w:cs="Times New Roman"/>
          <w:b/>
          <w:i w:val="0"/>
          <w:caps w:val="0"/>
          <w:sz w:val="16"/>
        </w:rPr>
        <w:t>In silico trial.</w:t>
      </w:r>
      <w:r>
        <w:rPr>
          <w:rFonts w:ascii="Times New Roman" w:hAnsi="Times New Roman" w:cs="Times New Roman"/>
          <w:b w:val="0"/>
          <w:i w:val="0"/>
          <w:caps w:val="0"/>
          <w:sz w:val="16"/>
        </w:rPr>
        <w:t xml:space="preserve"> (A) Neuron survival for a 42-repeat carrier treated from age 30. (B) Delay to 25% loss against knockdown and start age; the shaded band is the measured intrathecal range and triangles mark censored lower bounds. (C) Dependence on inherited CAG length.</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05030"/>
            <wp:docPr id="12" name="Picture 12"/>
            <wp:cNvGraphicFramePr>
              <a:graphicFrameLocks noChangeAspect="1"/>
            </wp:cNvGraphicFramePr>
            <a:graphic>
              <a:graphicData uri="http://schemas.openxmlformats.org/drawingml/2006/picture">
                <pic:pic>
                  <pic:nvPicPr>
                    <pic:cNvPr id="0" name="fig9_start_age.png"/>
                    <pic:cNvPicPr/>
                  </pic:nvPicPr>
                  <pic:blipFill>
                    <a:blip r:embed="rId20"/>
                    <a:stretch>
                      <a:fillRect/>
                    </a:stretch>
                  </pic:blipFill>
                  <pic:spPr>
                    <a:xfrm>
                      <a:off x="0" y="0"/>
                      <a:ext cx="6492240" cy="320503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12.  </w:t>
      </w:r>
      <w:r>
        <w:rPr>
          <w:rFonts w:ascii="Times New Roman" w:hAnsi="Times New Roman" w:cs="Times New Roman"/>
          <w:b/>
          <w:i w:val="0"/>
          <w:caps w:val="0"/>
          <w:sz w:val="16"/>
        </w:rPr>
        <w:t>Timing, and the outstanding constraint.</w:t>
      </w:r>
      <w:r>
        <w:rPr>
          <w:rFonts w:ascii="Times New Roman" w:hAnsi="Times New Roman" w:cs="Times New Roman"/>
          <w:b w:val="0"/>
          <w:i w:val="0"/>
          <w:caps w:val="0"/>
          <w:sz w:val="16"/>
        </w:rPr>
        <w:t xml:space="preserve"> (A) Benefit against age at treatment start. (B) Neuron loss against CAP score for both bracketing models, with the reported end-stage range shaded.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K.  From an idealised step to a real dosing schedule</w:t>
      </w:r>
    </w:p>
    <w:p>
      <w:pPr>
        <w:spacing w:after="60" w:before="0" w:line="240" w:lineRule="auto"/>
        <w:ind w:firstLine="288"/>
        <w:jc w:val="both"/>
      </w:pPr>
      <w:r>
        <w:rPr>
          <w:rFonts w:ascii="Times New Roman" w:hAnsi="Times New Roman" w:cs="Times New Roman"/>
          <w:b w:val="0"/>
          <w:i w:val="0"/>
          <w:caps w:val="0"/>
          <w:sz w:val="20"/>
        </w:rPr>
        <w:t>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spacing w:after="60" w:before="0" w:line="240" w:lineRule="auto"/>
        <w:ind w:firstLine="288"/>
        <w:jc w:val="both"/>
      </w:pPr>
      <w:r>
        <w:rPr>
          <w:rFonts w:ascii="Times New Roman" w:hAnsi="Times New Roman" w:cs="Times New Roman"/>
          <w:b w:val="0"/>
          <w:i w:val="0"/>
          <w:caps w:val="0"/>
          <w:sz w:val="20"/>
        </w:rPr>
        <w:t>Because the rate law is first-order in MSH3 (Section III-B), this correction is exact rather than approximate, with the conditionality set out in Section II-J: the data constrain the order to the neighbourhood of one rather than to one precisely, and at an order of 1.2 the shortcut would understate the cost of a peaky schedule. If the order is exactly one, the cumulative effect over decades depends only on the time-averaged MSH3 level and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spacing w:after="60" w:before="0" w:line="240" w:lineRule="auto"/>
        <w:ind w:firstLine="288"/>
        <w:jc w:val="both"/>
      </w:pPr>
      <w:r>
        <w:rPr>
          <w:rFonts w:ascii="Times New Roman" w:hAnsi="Times New Roman" w:cs="Times New Roman"/>
          <w:b w:val="0"/>
          <w:i w:val="0"/>
          <w:caps w:val="0"/>
          <w:sz w:val="20"/>
        </w:rPr>
        <w:t xml:space="preserve">Neither the central-nervous-system half-life of a stabilised oligonucleotide nor the eventual dosing interval is settled, so both were swept rather than assumed (Fig. 13B; </w:t>
      </w:r>
      <w:r>
        <w:rPr>
          <w:rFonts w:ascii="Consolas" w:hAnsi="Consolas" w:cs="Consolas"/>
          <w:b w:val="0"/>
          <w:i w:val="0"/>
          <w:caps w:val="0"/>
          <w:sz w:val="20"/>
        </w:rPr>
        <w:t>results/dosing_timeaverage.csv</w:t>
      </w:r>
      <w:r>
        <w:rPr>
          <w:rFonts w:ascii="Times New Roman" w:hAnsi="Times New Roman" w:cs="Times New Roman"/>
          <w:b w:val="0"/>
          <w:i w:val="0"/>
          <w:caps w:val="0"/>
          <w:sz w:val="20"/>
        </w:rPr>
        <w:t>).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spacing w:after="60" w:before="0" w:line="240" w:lineRule="auto"/>
        <w:ind w:firstLine="288"/>
        <w:jc w:val="both"/>
      </w:pPr>
      <w:r>
        <w:rPr>
          <w:rFonts w:ascii="Times New Roman" w:hAnsi="Times New Roman" w:cs="Times New Roman"/>
          <w:b w:val="0"/>
          <w:i w:val="0"/>
          <w:caps w:val="0"/>
          <w:sz w:val="20"/>
        </w:rPr>
        <w:t>Running representative schedules back through the lifetime model, for a 42-repeat carrier treated from age 30 against 48.3% untreated loss at age 70 (</w:t>
      </w:r>
      <w:r>
        <w:rPr>
          <w:rFonts w:ascii="Consolas" w:hAnsi="Consolas" w:cs="Consolas"/>
          <w:b w:val="0"/>
          <w:i w:val="0"/>
          <w:caps w:val="0"/>
          <w:sz w:val="20"/>
        </w:rPr>
        <w:t>results/dosing_benefit.csv</w:t>
      </w:r>
      <w:r>
        <w:rPr>
          <w:rFonts w:ascii="Times New Roman" w:hAnsi="Times New Roman" w:cs="Times New Roman"/>
          <w:b w:val="0"/>
          <w:i w:val="0"/>
          <w:caps w:val="0"/>
          <w:sz w:val="20"/>
        </w:rPr>
        <w:t>; this script seeds its populations independently of the grid in Section III-J, which gives 47.3% for the same untreated carrier, so the one-point difference is Monte Carlo spread rather than a change of model):</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VIII</w:t>
      </w:r>
    </w:p>
    <w:p>
      <w:pPr>
        <w:spacing w:after="60" w:before="0" w:line="240" w:lineRule="auto"/>
        <w:ind w:firstLine="0"/>
        <w:jc w:val="center"/>
      </w:pPr>
      <w:r>
        <w:rPr>
          <w:rFonts w:ascii="Times New Roman" w:hAnsi="Times New Roman" w:cs="Times New Roman"/>
          <w:b w:val="0"/>
          <w:i w:val="0"/>
          <w:caps/>
          <w:sz w:val="16"/>
        </w:rPr>
        <w:t>Lifetime effect of representative dosing regimens, against the idealised step change, for a 42-repeat carrier treated from age 30.</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Regimen</w:t>
            </w:r>
          </w:p>
        </w:tc>
        <w:tc>
          <w:tcPr>
            <w:tcW w:type="dxa" w:w="2610"/>
          </w:tcPr>
          <w:p>
            <w:pPr>
              <w:spacing w:after="0"/>
            </w:pPr>
            <w:r/>
            <w:r>
              <w:rPr>
                <w:rFonts w:ascii="Times New Roman" w:hAnsi="Times New Roman" w:cs="Times New Roman"/>
                <w:b/>
                <w:i w:val="0"/>
                <w:caps w:val="0"/>
                <w:sz w:val="16"/>
              </w:rPr>
              <w:t>Effective knockdown</w:t>
            </w:r>
          </w:p>
        </w:tc>
        <w:tc>
          <w:tcPr>
            <w:tcW w:type="dxa" w:w="2610"/>
          </w:tcPr>
          <w:p>
            <w:pPr>
              <w:spacing w:after="0"/>
            </w:pPr>
            <w:r/>
            <w:r>
              <w:rPr>
                <w:rFonts w:ascii="Times New Roman" w:hAnsi="Times New Roman" w:cs="Times New Roman"/>
                <w:b/>
                <w:i w:val="0"/>
                <w:caps w:val="0"/>
                <w:sz w:val="16"/>
              </w:rPr>
              <w:t>Loss at 70</w:t>
            </w:r>
          </w:p>
        </w:tc>
        <w:tc>
          <w:tcPr>
            <w:tcW w:type="dxa" w:w="2610"/>
          </w:tcPr>
          <w:p>
            <w:pPr>
              <w:spacing w:after="0"/>
            </w:pPr>
            <w:r/>
            <w:r>
              <w:rPr>
                <w:rFonts w:ascii="Times New Roman" w:hAnsi="Times New Roman" w:cs="Times New Roman"/>
                <w:b/>
                <w:i w:val="0"/>
                <w:caps w:val="0"/>
                <w:sz w:val="16"/>
              </w:rPr>
              <w:t>Benefit</w:t>
            </w:r>
          </w:p>
        </w:tc>
      </w:tr>
      <w:tr>
        <w:tc>
          <w:tcPr>
            <w:tcW w:type="dxa" w:w="2610"/>
          </w:tcPr>
          <w:p>
            <w:pPr>
              <w:spacing w:after="0"/>
            </w:pPr>
            <w:r>
              <w:rPr>
                <w:rFonts w:ascii="Times New Roman" w:hAnsi="Times New Roman" w:cs="Times New Roman"/>
                <w:b w:val="0"/>
                <w:i w:val="0"/>
                <w:caps w:val="0"/>
                <w:sz w:val="16"/>
              </w:rPr>
              <w:t>Idealised step, 75% lowering</w:t>
            </w:r>
          </w:p>
        </w:tc>
        <w:tc>
          <w:tcPr>
            <w:tcW w:type="dxa" w:w="2610"/>
          </w:tcPr>
          <w:p>
            <w:pPr>
              <w:spacing w:after="0"/>
            </w:pPr>
            <w:r>
              <w:rPr>
                <w:rFonts w:ascii="Times New Roman" w:hAnsi="Times New Roman" w:cs="Times New Roman"/>
                <w:b w:val="0"/>
                <w:i w:val="0"/>
                <w:caps w:val="0"/>
                <w:sz w:val="16"/>
              </w:rPr>
              <w:t>75.0%</w:t>
            </w:r>
          </w:p>
        </w:tc>
        <w:tc>
          <w:tcPr>
            <w:tcW w:type="dxa" w:w="2610"/>
          </w:tcPr>
          <w:p>
            <w:pPr>
              <w:spacing w:after="0"/>
            </w:pPr>
            <w:r>
              <w:rPr>
                <w:rFonts w:ascii="Times New Roman" w:hAnsi="Times New Roman" w:cs="Times New Roman"/>
                <w:b w:val="0"/>
                <w:i w:val="0"/>
                <w:caps w:val="0"/>
                <w:sz w:val="16"/>
              </w:rPr>
              <w:t>13.2%</w:t>
            </w:r>
          </w:p>
        </w:tc>
        <w:tc>
          <w:tcPr>
            <w:tcW w:type="dxa" w:w="2610"/>
          </w:tcPr>
          <w:p>
            <w:pPr>
              <w:spacing w:after="0"/>
            </w:pPr>
            <w:r>
              <w:rPr>
                <w:rFonts w:ascii="Times New Roman" w:hAnsi="Times New Roman" w:cs="Times New Roman"/>
                <w:b w:val="0"/>
                <w:i w:val="0"/>
                <w:caps w:val="0"/>
                <w:sz w:val="16"/>
              </w:rPr>
              <w:t>35.2 points</w:t>
            </w:r>
          </w:p>
        </w:tc>
      </w:tr>
      <w:tr>
        <w:tc>
          <w:tcPr>
            <w:tcW w:type="dxa" w:w="2610"/>
          </w:tcPr>
          <w:p>
            <w:pPr>
              <w:spacing w:after="0"/>
            </w:pPr>
            <w:r>
              <w:rPr>
                <w:rFonts w:ascii="Times New Roman" w:hAnsi="Times New Roman" w:cs="Times New Roman"/>
                <w:b w:val="0"/>
                <w:i w:val="0"/>
                <w:caps w:val="0"/>
                <w:sz w:val="16"/>
              </w:rPr>
              <w:t>Six-monthly, six-month half-life</w:t>
            </w:r>
          </w:p>
        </w:tc>
        <w:tc>
          <w:tcPr>
            <w:tcW w:type="dxa" w:w="2610"/>
          </w:tcPr>
          <w:p>
            <w:pPr>
              <w:spacing w:after="0"/>
            </w:pPr>
            <w:r>
              <w:rPr>
                <w:rFonts w:ascii="Times New Roman" w:hAnsi="Times New Roman" w:cs="Times New Roman"/>
                <w:b w:val="0"/>
                <w:i w:val="0"/>
                <w:caps w:val="0"/>
                <w:sz w:val="16"/>
              </w:rPr>
              <w:t>81.8%</w:t>
            </w:r>
          </w:p>
        </w:tc>
        <w:tc>
          <w:tcPr>
            <w:tcW w:type="dxa" w:w="2610"/>
          </w:tcPr>
          <w:p>
            <w:pPr>
              <w:spacing w:after="0"/>
            </w:pPr>
            <w:r>
              <w:rPr>
                <w:rFonts w:ascii="Times New Roman" w:hAnsi="Times New Roman" w:cs="Times New Roman"/>
                <w:b w:val="0"/>
                <w:i w:val="0"/>
                <w:caps w:val="0"/>
                <w:sz w:val="16"/>
              </w:rPr>
              <w:t>10.6%</w:t>
            </w:r>
          </w:p>
        </w:tc>
        <w:tc>
          <w:tcPr>
            <w:tcW w:type="dxa" w:w="2610"/>
          </w:tcPr>
          <w:p>
            <w:pPr>
              <w:spacing w:after="0"/>
            </w:pPr>
            <w:r>
              <w:rPr>
                <w:rFonts w:ascii="Times New Roman" w:hAnsi="Times New Roman" w:cs="Times New Roman"/>
                <w:b w:val="0"/>
                <w:i w:val="0"/>
                <w:caps w:val="0"/>
                <w:sz w:val="16"/>
              </w:rPr>
              <w:t>37.7 points</w:t>
            </w:r>
          </w:p>
        </w:tc>
      </w:tr>
      <w:tr>
        <w:tc>
          <w:tcPr>
            <w:tcW w:type="dxa" w:w="2610"/>
          </w:tcPr>
          <w:p>
            <w:pPr>
              <w:spacing w:after="0"/>
            </w:pPr>
            <w:r>
              <w:rPr>
                <w:rFonts w:ascii="Times New Roman" w:hAnsi="Times New Roman" w:cs="Times New Roman"/>
                <w:b w:val="0"/>
                <w:i w:val="0"/>
                <w:caps w:val="0"/>
                <w:sz w:val="16"/>
              </w:rPr>
              <w:t>Six-monthly, three-month half-life</w:t>
            </w:r>
          </w:p>
        </w:tc>
        <w:tc>
          <w:tcPr>
            <w:tcW w:type="dxa" w:w="2610"/>
          </w:tcPr>
          <w:p>
            <w:pPr>
              <w:spacing w:after="0"/>
            </w:pPr>
            <w:r>
              <w:rPr>
                <w:rFonts w:ascii="Times New Roman" w:hAnsi="Times New Roman" w:cs="Times New Roman"/>
                <w:b w:val="0"/>
                <w:i w:val="0"/>
                <w:caps w:val="0"/>
                <w:sz w:val="16"/>
              </w:rPr>
              <w:t>64.0%</w:t>
            </w:r>
          </w:p>
        </w:tc>
        <w:tc>
          <w:tcPr>
            <w:tcW w:type="dxa" w:w="2610"/>
          </w:tcPr>
          <w:p>
            <w:pPr>
              <w:spacing w:after="0"/>
            </w:pPr>
            <w:r>
              <w:rPr>
                <w:rFonts w:ascii="Times New Roman" w:hAnsi="Times New Roman" w:cs="Times New Roman"/>
                <w:b w:val="0"/>
                <w:i w:val="0"/>
                <w:caps w:val="0"/>
                <w:sz w:val="16"/>
              </w:rPr>
              <w:t>16.9%</w:t>
            </w:r>
          </w:p>
        </w:tc>
        <w:tc>
          <w:tcPr>
            <w:tcW w:type="dxa" w:w="2610"/>
          </w:tcPr>
          <w:p>
            <w:pPr>
              <w:spacing w:after="0"/>
            </w:pPr>
            <w:r>
              <w:rPr>
                <w:rFonts w:ascii="Times New Roman" w:hAnsi="Times New Roman" w:cs="Times New Roman"/>
                <w:b w:val="0"/>
                <w:i w:val="0"/>
                <w:caps w:val="0"/>
                <w:sz w:val="16"/>
              </w:rPr>
              <w:t>31.4 points</w:t>
            </w:r>
          </w:p>
        </w:tc>
      </w:tr>
      <w:tr>
        <w:tc>
          <w:tcPr>
            <w:tcW w:type="dxa" w:w="2610"/>
          </w:tcPr>
          <w:p>
            <w:pPr>
              <w:spacing w:after="0"/>
            </w:pPr>
            <w:r>
              <w:rPr>
                <w:rFonts w:ascii="Times New Roman" w:hAnsi="Times New Roman" w:cs="Times New Roman"/>
                <w:b w:val="0"/>
                <w:i w:val="0"/>
                <w:caps w:val="0"/>
                <w:sz w:val="16"/>
              </w:rPr>
              <w:t>Twelve-monthly, three-month half-life</w:t>
            </w:r>
          </w:p>
        </w:tc>
        <w:tc>
          <w:tcPr>
            <w:tcW w:type="dxa" w:w="2610"/>
          </w:tcPr>
          <w:p>
            <w:pPr>
              <w:spacing w:after="0"/>
            </w:pPr>
            <w:r>
              <w:rPr>
                <w:rFonts w:ascii="Times New Roman" w:hAnsi="Times New Roman" w:cs="Times New Roman"/>
                <w:b w:val="0"/>
                <w:i w:val="0"/>
                <w:caps w:val="0"/>
                <w:sz w:val="16"/>
              </w:rPr>
              <w:t>39.8%</w:t>
            </w:r>
          </w:p>
        </w:tc>
        <w:tc>
          <w:tcPr>
            <w:tcW w:type="dxa" w:w="2610"/>
          </w:tcPr>
          <w:p>
            <w:pPr>
              <w:spacing w:after="0"/>
            </w:pPr>
            <w:r>
              <w:rPr>
                <w:rFonts w:ascii="Times New Roman" w:hAnsi="Times New Roman" w:cs="Times New Roman"/>
                <w:b w:val="0"/>
                <w:i w:val="0"/>
                <w:caps w:val="0"/>
                <w:sz w:val="16"/>
              </w:rPr>
              <w:t>28.2%</w:t>
            </w:r>
          </w:p>
        </w:tc>
        <w:tc>
          <w:tcPr>
            <w:tcW w:type="dxa" w:w="2610"/>
          </w:tcPr>
          <w:p>
            <w:pPr>
              <w:spacing w:after="0"/>
            </w:pPr>
            <w:r>
              <w:rPr>
                <w:rFonts w:ascii="Times New Roman" w:hAnsi="Times New Roman" w:cs="Times New Roman"/>
                <w:b w:val="0"/>
                <w:i w:val="0"/>
                <w:caps w:val="0"/>
                <w:sz w:val="16"/>
              </w:rPr>
              <w:t>20.1 points</w:t>
            </w:r>
          </w:p>
        </w:tc>
      </w:tr>
      <w:tr>
        <w:tc>
          <w:tcPr>
            <w:tcW w:type="dxa" w:w="2610"/>
          </w:tcPr>
          <w:p>
            <w:pPr>
              <w:spacing w:after="0"/>
            </w:pPr>
            <w:r>
              <w:rPr>
                <w:rFonts w:ascii="Times New Roman" w:hAnsi="Times New Roman" w:cs="Times New Roman"/>
                <w:b w:val="0"/>
                <w:i w:val="0"/>
                <w:caps w:val="0"/>
                <w:sz w:val="16"/>
              </w:rPr>
              <w:t>Four-monthly, nine-month half-life</w:t>
            </w:r>
          </w:p>
        </w:tc>
        <w:tc>
          <w:tcPr>
            <w:tcW w:type="dxa" w:w="2610"/>
          </w:tcPr>
          <w:p>
            <w:pPr>
              <w:spacing w:after="0"/>
            </w:pPr>
            <w:r>
              <w:rPr>
                <w:rFonts w:ascii="Times New Roman" w:hAnsi="Times New Roman" w:cs="Times New Roman"/>
                <w:b w:val="0"/>
                <w:i w:val="0"/>
                <w:caps w:val="0"/>
                <w:sz w:val="16"/>
              </w:rPr>
              <w:t>92.6%</w:t>
            </w:r>
          </w:p>
        </w:tc>
        <w:tc>
          <w:tcPr>
            <w:tcW w:type="dxa" w:w="2610"/>
          </w:tcPr>
          <w:p>
            <w:pPr>
              <w:spacing w:after="0"/>
            </w:pPr>
            <w:r>
              <w:rPr>
                <w:rFonts w:ascii="Times New Roman" w:hAnsi="Times New Roman" w:cs="Times New Roman"/>
                <w:b w:val="0"/>
                <w:i w:val="0"/>
                <w:caps w:val="0"/>
                <w:sz w:val="16"/>
              </w:rPr>
              <w:t>7.9%</w:t>
            </w:r>
          </w:p>
        </w:tc>
        <w:tc>
          <w:tcPr>
            <w:tcW w:type="dxa" w:w="2610"/>
          </w:tcPr>
          <w:p>
            <w:pPr>
              <w:spacing w:after="0"/>
            </w:pPr>
            <w:r>
              <w:rPr>
                <w:rFonts w:ascii="Times New Roman" w:hAnsi="Times New Roman" w:cs="Times New Roman"/>
                <w:b w:val="0"/>
                <w:i w:val="0"/>
                <w:caps w:val="0"/>
                <w:sz w:val="16"/>
              </w:rPr>
              <w:t>40.4 points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 </w:t>
      </w:r>
      <w:r>
        <w:rPr>
          <w:rFonts w:ascii="Times New Roman" w:hAnsi="Times New Roman" w:cs="Times New Roman"/>
          <w:b/>
          <w:i w:val="0"/>
          <w:caps w:val="0"/>
          <w:sz w:val="20"/>
        </w:rPr>
        <w:t>The dosing interval is a therapeutic variable of the same order as the dose itself</w:t>
      </w:r>
      <w:r>
        <w:rPr>
          <w:rFonts w:ascii="Times New Roman" w:hAnsi="Times New Roman" w:cs="Times New Roman"/>
          <w:b w:val="0"/>
          <w:i w:val="0"/>
          <w:caps w:val="0"/>
          <w:sz w:val="20"/>
        </w:rPr>
        <w:t>, and it is one that can be optimised without any new chemistry.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15502"/>
            <wp:docPr id="13" name="Picture 13"/>
            <wp:cNvGraphicFramePr>
              <a:graphicFrameLocks noChangeAspect="1"/>
            </wp:cNvGraphicFramePr>
            <a:graphic>
              <a:graphicData uri="http://schemas.openxmlformats.org/drawingml/2006/picture">
                <pic:pic>
                  <pic:nvPicPr>
                    <pic:cNvPr id="0" name="fig14_dosing.png"/>
                    <pic:cNvPicPr/>
                  </pic:nvPicPr>
                  <pic:blipFill>
                    <a:blip r:embed="rId21"/>
                    <a:stretch>
                      <a:fillRect/>
                    </a:stretch>
                  </pic:blipFill>
                  <pic:spPr>
                    <a:xfrm>
                      <a:off x="0" y="0"/>
                      <a:ext cx="6492240" cy="2415502"/>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13.  </w:t>
      </w:r>
      <w:r>
        <w:rPr>
          <w:rFonts w:ascii="Times New Roman" w:hAnsi="Times New Roman" w:cs="Times New Roman"/>
          <w:b/>
          <w:i w:val="0"/>
          <w:caps w:val="0"/>
          <w:sz w:val="16"/>
        </w:rPr>
        <w:t>What an intermittent schedule actually delivers.</w:t>
      </w:r>
      <w:r>
        <w:rPr>
          <w:rFonts w:ascii="Times New Roman" w:hAnsi="Times New Roman" w:cs="Times New Roman"/>
          <w:b w:val="0"/>
          <w:i w:val="0"/>
          <w:caps w:val="0"/>
          <w:sz w:val="16"/>
        </w:rPr>
        <w:t xml:space="preserve"> (A) Achieved knockdown through one steady-state cycle of six-monthly dosing, for three tissue half-lives. (B) Time-averaged knockdown across half-life and interval, at 75% peak knockdown per dose. (C) Lifetime benefit for representative schedules against the idealised step change.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L.  Could a trial of plausible size and length see the effect?</w:t>
      </w:r>
    </w:p>
    <w:p>
      <w:pPr>
        <w:spacing w:after="60" w:before="0" w:line="240" w:lineRule="auto"/>
        <w:ind w:firstLine="288"/>
        <w:jc w:val="both"/>
      </w:pPr>
      <w:r>
        <w:rPr>
          <w:rFonts w:ascii="Times New Roman" w:hAnsi="Times New Roman" w:cs="Times New Roman"/>
          <w:b w:val="0"/>
          <w:i w:val="0"/>
          <w:caps w:val="0"/>
          <w:sz w:val="20"/>
        </w:rP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 14; </w:t>
      </w:r>
      <w:r>
        <w:rPr>
          <w:rFonts w:ascii="Consolas" w:hAnsi="Consolas" w:cs="Consolas"/>
          <w:b w:val="0"/>
          <w:i w:val="0"/>
          <w:caps w:val="0"/>
          <w:sz w:val="20"/>
        </w:rPr>
        <w:t>results/trial_power.csv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IX</w:t>
      </w:r>
    </w:p>
    <w:p>
      <w:pPr>
        <w:spacing w:after="60" w:before="0" w:line="240" w:lineRule="auto"/>
        <w:ind w:firstLine="0"/>
        <w:jc w:val="center"/>
      </w:pPr>
      <w:r>
        <w:rPr>
          <w:rFonts w:ascii="Times New Roman" w:hAnsi="Times New Roman" w:cs="Times New Roman"/>
          <w:b w:val="0"/>
          <w:i w:val="0"/>
          <w:caps/>
          <w:sz w:val="16"/>
        </w:rPr>
        <w:t>Participants per arm for 80% power at alpha = 0.05, enrolling at age 40 with 2-point imaging measurement noise.</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Arm</w:t>
            </w:r>
          </w:p>
        </w:tc>
        <w:tc>
          <w:tcPr>
            <w:tcW w:type="dxa" w:w="2610"/>
          </w:tcPr>
          <w:p>
            <w:pPr>
              <w:spacing w:after="0"/>
            </w:pPr>
            <w:r/>
            <w:r>
              <w:rPr>
                <w:rFonts w:ascii="Times New Roman" w:hAnsi="Times New Roman" w:cs="Times New Roman"/>
                <w:b/>
                <w:i w:val="0"/>
                <w:caps w:val="0"/>
                <w:sz w:val="16"/>
              </w:rPr>
              <w:t>2-year trial</w:t>
            </w:r>
          </w:p>
        </w:tc>
        <w:tc>
          <w:tcPr>
            <w:tcW w:type="dxa" w:w="2610"/>
          </w:tcPr>
          <w:p>
            <w:pPr>
              <w:spacing w:after="0"/>
            </w:pPr>
            <w:r/>
            <w:r>
              <w:rPr>
                <w:rFonts w:ascii="Times New Roman" w:hAnsi="Times New Roman" w:cs="Times New Roman"/>
                <w:b/>
                <w:i w:val="0"/>
                <w:caps w:val="0"/>
                <w:sz w:val="16"/>
              </w:rPr>
              <w:t>3-year trial</w:t>
            </w:r>
          </w:p>
        </w:tc>
        <w:tc>
          <w:tcPr>
            <w:tcW w:type="dxa" w:w="2610"/>
          </w:tcPr>
          <w:p>
            <w:pPr>
              <w:spacing w:after="0"/>
            </w:pPr>
            <w:r/>
            <w:r>
              <w:rPr>
                <w:rFonts w:ascii="Times New Roman" w:hAnsi="Times New Roman" w:cs="Times New Roman"/>
                <w:b/>
                <w:i w:val="0"/>
                <w:caps w:val="0"/>
                <w:sz w:val="16"/>
              </w:rPr>
              <w:t>5-year trial</w:t>
            </w:r>
          </w:p>
        </w:tc>
      </w:tr>
      <w:tr>
        <w:tc>
          <w:tcPr>
            <w:tcW w:type="dxa" w:w="2610"/>
          </w:tcPr>
          <w:p>
            <w:pPr>
              <w:spacing w:after="0"/>
            </w:pPr>
            <w:r>
              <w:rPr>
                <w:rFonts w:ascii="Times New Roman" w:hAnsi="Times New Roman" w:cs="Times New Roman"/>
                <w:b w:val="0"/>
                <w:i w:val="0"/>
                <w:caps w:val="0"/>
                <w:sz w:val="16"/>
              </w:rPr>
              <w:t>29% knockdown (measured achievable)</w:t>
            </w:r>
          </w:p>
        </w:tc>
        <w:tc>
          <w:tcPr>
            <w:tcW w:type="dxa" w:w="2610"/>
          </w:tcPr>
          <w:p>
            <w:pPr>
              <w:spacing w:after="0"/>
            </w:pPr>
            <w:r>
              <w:rPr>
                <w:rFonts w:ascii="Times New Roman" w:hAnsi="Times New Roman" w:cs="Times New Roman"/>
                <w:b w:val="0"/>
                <w:i w:val="0"/>
                <w:caps w:val="0"/>
                <w:sz w:val="16"/>
              </w:rPr>
              <w:t>417 per arm</w:t>
            </w:r>
          </w:p>
        </w:tc>
        <w:tc>
          <w:tcPr>
            <w:tcW w:type="dxa" w:w="2610"/>
          </w:tcPr>
          <w:p>
            <w:pPr>
              <w:spacing w:after="0"/>
            </w:pPr>
            <w:r>
              <w:rPr>
                <w:rFonts w:ascii="Times New Roman" w:hAnsi="Times New Roman" w:cs="Times New Roman"/>
                <w:b w:val="0"/>
                <w:i w:val="0"/>
                <w:caps w:val="0"/>
                <w:sz w:val="16"/>
              </w:rPr>
              <w:t>133 per arm</w:t>
            </w:r>
          </w:p>
        </w:tc>
        <w:tc>
          <w:tcPr>
            <w:tcW w:type="dxa" w:w="2610"/>
          </w:tcPr>
          <w:p>
            <w:pPr>
              <w:spacing w:after="0"/>
            </w:pPr>
            <w:r>
              <w:rPr>
                <w:rFonts w:ascii="Times New Roman" w:hAnsi="Times New Roman" w:cs="Times New Roman"/>
                <w:b w:val="0"/>
                <w:i w:val="0"/>
                <w:caps w:val="0"/>
                <w:sz w:val="16"/>
              </w:rPr>
              <w:t>47 per arm</w:t>
            </w:r>
          </w:p>
        </w:tc>
      </w:tr>
      <w:tr>
        <w:tc>
          <w:tcPr>
            <w:tcW w:type="dxa" w:w="2610"/>
          </w:tcPr>
          <w:p>
            <w:pPr>
              <w:spacing w:after="0"/>
            </w:pPr>
            <w:r>
              <w:rPr>
                <w:rFonts w:ascii="Times New Roman" w:hAnsi="Times New Roman" w:cs="Times New Roman"/>
                <w:b w:val="0"/>
                <w:i w:val="0"/>
                <w:caps w:val="0"/>
                <w:sz w:val="16"/>
              </w:rPr>
              <w:t>55% knockdown (best caudate figure)</w:t>
            </w:r>
          </w:p>
        </w:tc>
        <w:tc>
          <w:tcPr>
            <w:tcW w:type="dxa" w:w="2610"/>
          </w:tcPr>
          <w:p>
            <w:pPr>
              <w:spacing w:after="0"/>
            </w:pPr>
            <w:r>
              <w:rPr>
                <w:rFonts w:ascii="Times New Roman" w:hAnsi="Times New Roman" w:cs="Times New Roman"/>
                <w:b w:val="0"/>
                <w:i w:val="0"/>
                <w:caps w:val="0"/>
                <w:sz w:val="16"/>
              </w:rPr>
              <w:t>150 per arm</w:t>
            </w:r>
          </w:p>
        </w:tc>
        <w:tc>
          <w:tcPr>
            <w:tcW w:type="dxa" w:w="2610"/>
          </w:tcPr>
          <w:p>
            <w:pPr>
              <w:spacing w:after="0"/>
            </w:pPr>
            <w:r>
              <w:rPr>
                <w:rFonts w:ascii="Times New Roman" w:hAnsi="Times New Roman" w:cs="Times New Roman"/>
                <w:b w:val="0"/>
                <w:i w:val="0"/>
                <w:caps w:val="0"/>
                <w:sz w:val="16"/>
              </w:rPr>
              <w:t>47 per arm</w:t>
            </w:r>
          </w:p>
        </w:tc>
        <w:tc>
          <w:tcPr>
            <w:tcW w:type="dxa" w:w="2610"/>
          </w:tcPr>
          <w:p>
            <w:pPr>
              <w:spacing w:after="0"/>
            </w:pPr>
            <w:r>
              <w:rPr>
                <w:rFonts w:ascii="Times New Roman" w:hAnsi="Times New Roman" w:cs="Times New Roman"/>
                <w:b w:val="0"/>
                <w:i w:val="0"/>
                <w:caps w:val="0"/>
                <w:sz w:val="16"/>
              </w:rPr>
              <w:t>14 per arm</w:t>
            </w:r>
          </w:p>
        </w:tc>
      </w:tr>
      <w:tr>
        <w:tc>
          <w:tcPr>
            <w:tcW w:type="dxa" w:w="2610"/>
          </w:tcPr>
          <w:p>
            <w:pPr>
              <w:spacing w:after="0"/>
            </w:pPr>
            <w:r>
              <w:rPr>
                <w:rFonts w:ascii="Times New Roman" w:hAnsi="Times New Roman" w:cs="Times New Roman"/>
                <w:b w:val="0"/>
                <w:i w:val="0"/>
                <w:caps w:val="0"/>
                <w:sz w:val="16"/>
              </w:rPr>
              <w:t>75% knockdown (aspirational)</w:t>
            </w:r>
          </w:p>
        </w:tc>
        <w:tc>
          <w:tcPr>
            <w:tcW w:type="dxa" w:w="2610"/>
          </w:tcPr>
          <w:p>
            <w:pPr>
              <w:spacing w:after="0"/>
            </w:pPr>
            <w:r>
              <w:rPr>
                <w:rFonts w:ascii="Times New Roman" w:hAnsi="Times New Roman" w:cs="Times New Roman"/>
                <w:b w:val="0"/>
                <w:i w:val="0"/>
                <w:caps w:val="0"/>
                <w:sz w:val="16"/>
              </w:rPr>
              <w:t>86 per arm</w:t>
            </w:r>
          </w:p>
        </w:tc>
        <w:tc>
          <w:tcPr>
            <w:tcW w:type="dxa" w:w="2610"/>
          </w:tcPr>
          <w:p>
            <w:pPr>
              <w:spacing w:after="0"/>
            </w:pPr>
            <w:r>
              <w:rPr>
                <w:rFonts w:ascii="Times New Roman" w:hAnsi="Times New Roman" w:cs="Times New Roman"/>
                <w:b w:val="0"/>
                <w:i w:val="0"/>
                <w:caps w:val="0"/>
                <w:sz w:val="16"/>
              </w:rPr>
              <w:t>28 per arm</w:t>
            </w:r>
          </w:p>
        </w:tc>
        <w:tc>
          <w:tcPr>
            <w:tcW w:type="dxa" w:w="2610"/>
          </w:tcPr>
          <w:p>
            <w:pPr>
              <w:spacing w:after="0"/>
            </w:pPr>
            <w:r>
              <w:rPr>
                <w:rFonts w:ascii="Times New Roman" w:hAnsi="Times New Roman" w:cs="Times New Roman"/>
                <w:b w:val="0"/>
                <w:i w:val="0"/>
                <w:caps w:val="0"/>
                <w:sz w:val="16"/>
              </w:rPr>
              <w:t>9 per arm</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spacing w:after="60" w:before="0" w:line="240" w:lineRule="auto"/>
        <w:ind w:firstLine="288"/>
        <w:jc w:val="both"/>
      </w:pPr>
      <w:r>
        <w:rPr>
          <w:rFonts w:ascii="Times New Roman" w:hAnsi="Times New Roman" w:cs="Times New Roman"/>
          <w:b w:val="0"/>
          <w:i w:val="0"/>
          <w:caps w:val="0"/>
          <w:sz w:val="20"/>
        </w:rPr>
        <w:t xml:space="preserve">What dominates the sample size is not biology but imaging precision. Holding everything else fixed and sweeping the measurement standard deviation from 0 to 4 points moves the required sample size from 12 to 498 per arm, a forty-fold range (Fig. 14C). The biological effect is the same in every one of those cases. </w:t>
      </w:r>
      <w:r>
        <w:rPr>
          <w:rFonts w:ascii="Times New Roman" w:hAnsi="Times New Roman" w:cs="Times New Roman"/>
          <w:b/>
          <w:i w:val="0"/>
          <w:caps w:val="0"/>
          <w:sz w:val="20"/>
        </w:rPr>
        <w:t>Measurement error is the binding constraint on trial size, not the strength of the drug effect</w:t>
      </w:r>
      <w:r>
        <w:rPr>
          <w:rFonts w:ascii="Times New Roman" w:hAnsi="Times New Roman" w:cs="Times New Roman"/>
          <w:b w:val="0"/>
          <w:i w:val="0"/>
          <w:caps w:val="0"/>
          <w:sz w:val="20"/>
        </w:rPr>
        <w:t>, and improving the reproducibility of the imaging endpoint is worth as much as improving target engagement.</w:t>
      </w:r>
    </w:p>
    <w:p>
      <w:pPr>
        <w:spacing w:after="60" w:before="0" w:line="240" w:lineRule="auto"/>
        <w:ind w:firstLine="288"/>
        <w:jc w:val="both"/>
      </w:pPr>
      <w:r>
        <w:rPr>
          <w:rFonts w:ascii="Times New Roman" w:hAnsi="Times New Roman" w:cs="Times New Roman"/>
          <w:b w:val="0"/>
          <w:i w:val="0"/>
          <w:caps w:val="0"/>
          <w:sz w:val="20"/>
        </w:rPr>
        <w:t>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spacing w:after="60" w:before="0" w:line="240" w:lineRule="auto"/>
        <w:ind w:firstLine="288"/>
        <w:jc w:val="both"/>
      </w:pPr>
      <w:r>
        <w:rPr>
          <w:rFonts w:ascii="Times New Roman" w:hAnsi="Times New Roman" w:cs="Times New Roman"/>
          <w:b w:val="0"/>
          <w:i w:val="0"/>
          <w:caps w:val="0"/>
          <w:sz w:val="20"/>
        </w:rPr>
        <w:t>The enrolment-age result is less clean and worth flagging as a caution. Enrolling at 50 rather than 40 makes the shorter trials harder, not easier: the required sample size rises from 417 to 523 at two years and from 133 to 165 at three, because the treatment effect itself is smaller in the older cohort (0.89 against 1.02 percentage points at three years). At five years the ordering reverses and 45 participants per arm suffice against 47, and the reason is variance rather than effect size. The between-subject spread contributed by the inherited CAG distribution falls from 1.33 to 0.72 points over a five-year window when enrolment is at 50, because by that age the faster-expanding carriers have already lost the neurons that would have separated them from the slower ones, so the cohort is more homogeneous in what remains to be lost. That is a real statistical effect and it is also a trap. A five-year trial enrolling at 50 is marginally easier to power and, per Section III-J,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spacing w:after="60" w:before="0" w:line="240" w:lineRule="auto"/>
        <w:ind w:firstLine="288"/>
        <w:jc w:val="both"/>
      </w:pPr>
      <w:r>
        <w:rPr>
          <w:rFonts w:ascii="Times New Roman" w:hAnsi="Times New Roman" w:cs="Times New Roman"/>
          <w:b w:val="0"/>
          <w:i w:val="0"/>
          <w:caps w:val="0"/>
          <w:sz w:val="20"/>
        </w:rPr>
        <w:t>One source of between-subject variation is missing from all of these numbers and it is worth quantifying rather than only confessing. The spread above comes from the enrolled CAG distribution and from imaging noise; real participants also differ in the modifier genotypes of Section III-G, which this simulation does not sample. That variance adds in quadrature to the standard deviation in the sample-size formula, so its cost can be read off without re-simulating anything (</w:t>
      </w:r>
      <w:r>
        <w:rPr>
          <w:rFonts w:ascii="Consolas" w:hAnsi="Consolas" w:cs="Consolas"/>
          <w:b w:val="0"/>
          <w:i w:val="0"/>
          <w:caps w:val="0"/>
          <w:sz w:val="20"/>
        </w:rPr>
        <w:t>results/modifier_variance_power.csv</w:t>
      </w:r>
      <w:r>
        <w:rPr>
          <w:rFonts w:ascii="Times New Roman" w:hAnsi="Times New Roman" w:cs="Times New Roman"/>
          <w:b w:val="0"/>
          <w:i w:val="0"/>
          <w:caps w:val="0"/>
          <w:sz w:val="20"/>
        </w:rPr>
        <w:t>): an extra between-subject standard deviation of one percentage point over the three-year window raises the achievable-dose requirement from 133 to 148 per arm, and two points raises it to 193. The sample sizes quoted here are therefore floors in a second sense, on top of the dropout point made in the limitations.</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7815"/>
            <wp:docPr id="14" name="Picture 14"/>
            <wp:cNvGraphicFramePr>
              <a:graphicFrameLocks noChangeAspect="1"/>
            </wp:cNvGraphicFramePr>
            <a:graphic>
              <a:graphicData uri="http://schemas.openxmlformats.org/drawingml/2006/picture">
                <pic:pic>
                  <pic:nvPicPr>
                    <pic:cNvPr id="0" name="fig15_power.png"/>
                    <pic:cNvPicPr/>
                  </pic:nvPicPr>
                  <pic:blipFill>
                    <a:blip r:embed="rId22"/>
                    <a:stretch>
                      <a:fillRect/>
                    </a:stretch>
                  </pic:blipFill>
                  <pic:spPr>
                    <a:xfrm>
                      <a:off x="0" y="0"/>
                      <a:ext cx="6492240" cy="229781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14.  </w:t>
      </w:r>
      <w:r>
        <w:rPr>
          <w:rFonts w:ascii="Times New Roman" w:hAnsi="Times New Roman" w:cs="Times New Roman"/>
          <w:b/>
          <w:i w:val="0"/>
          <w:caps w:val="0"/>
          <w:sz w:val="16"/>
        </w:rPr>
        <w:t>Trial feasibility.</w:t>
      </w:r>
      <w:r>
        <w:rPr>
          <w:rFonts w:ascii="Times New Roman" w:hAnsi="Times New Roman" w:cs="Times New Roman"/>
          <w:b w:val="0"/>
          <w:i w:val="0"/>
          <w:caps w:val="0"/>
          <w:sz w:val="16"/>
        </w:rPr>
        <w:t xml:space="preserve"> (A) Effect size against trial duration for three knockdown levels, treated from age 40. (B) Required sample size per arm for 80% power. (C) Sample size against imaging measurement error for a three-year trial at the achievable dose, for three enrolment ages.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M.  The sign of the conclusion survives the uncertainty that was propagated</w:t>
      </w:r>
    </w:p>
    <w:p>
      <w:pPr>
        <w:spacing w:after="60" w:before="0" w:line="240" w:lineRule="auto"/>
        <w:ind w:firstLine="288"/>
        <w:jc w:val="both"/>
      </w:pPr>
      <w:r>
        <w:rPr>
          <w:rFonts w:ascii="Times New Roman" w:hAnsi="Times New Roman" w:cs="Times New Roman"/>
          <w:b w:val="0"/>
          <w:i w:val="0"/>
          <w:caps w:val="0"/>
          <w:sz w:val="20"/>
        </w:rPr>
        <w:t xml:space="preserve">Across 160 Latin hypercube samples, with the rate law recalibrated inside every single sample so that calibration uncertainty is propagated rather than frozen at the central fit (Fig. 15; </w:t>
      </w:r>
      <w:r>
        <w:rPr>
          <w:rFonts w:ascii="Consolas" w:hAnsi="Consolas" w:cs="Consolas"/>
          <w:b w:val="0"/>
          <w:i w:val="0"/>
          <w:caps w:val="0"/>
          <w:sz w:val="20"/>
        </w:rPr>
        <w:t>results/sensitivity_prcc.csv</w:t>
      </w:r>
      <w:r>
        <w:rPr>
          <w:rFonts w:ascii="Times New Roman" w:hAnsi="Times New Roman" w:cs="Times New Roman"/>
          <w:b w:val="0"/>
          <w:i w:val="0"/>
          <w:caps w:val="0"/>
          <w:sz w:val="20"/>
        </w:rPr>
        <w:t xml:space="preserve">), the benefit of the measured achievable knockdown of 29% starting at age 30 has a median of 11.5 percentage points of striatum preserved at age 70, and the central 95% of samples fall between 7.4 and 17.5 points. Untreated loss at 70 ranges from 20.6% to 54.9% and treated loss from 11.4% to 41.3%, </w:t>
      </w:r>
      <w:r>
        <w:rPr>
          <w:rFonts w:ascii="Times New Roman" w:hAnsi="Times New Roman" w:cs="Times New Roman"/>
          <w:b/>
          <w:i w:val="0"/>
          <w:caps w:val="0"/>
          <w:sz w:val="20"/>
        </w:rPr>
        <w:t>but the benefit is positive in every one of the 160 samples.</w:t>
      </w:r>
      <w:r>
        <w:rPr>
          <w:rFonts w:ascii="Times New Roman" w:hAnsi="Times New Roman" w:cs="Times New Roman"/>
          <w:b w:val="0"/>
          <w:i w:val="0"/>
          <w:caps w:val="0"/>
          <w:sz w:val="20"/>
        </w:rPr>
        <w:t xml:space="preserve"> That last clause is the result of this section, and it is a stronger statement than the interval, for reasons worth being explicit about.</w:t>
      </w:r>
    </w:p>
    <w:p>
      <w:pPr>
        <w:spacing w:after="60" w:before="0" w:line="240" w:lineRule="auto"/>
        <w:ind w:firstLine="288"/>
        <w:jc w:val="both"/>
      </w:pPr>
      <w:r>
        <w:rPr>
          <w:rFonts w:ascii="Times New Roman" w:hAnsi="Times New Roman" w:cs="Times New Roman"/>
          <w:b w:val="0"/>
          <w:i w:val="0"/>
          <w:caps w:val="0"/>
          <w:sz w:val="20"/>
        </w:rPr>
        <w:t xml:space="preserve">What that 7.4-to-17.5 range is, and is not, needs stating plainly. The sixteen inputs listed in Section II-M and Table III are drawn </w:t>
      </w:r>
      <w:r>
        <w:rPr>
          <w:rFonts w:ascii="Times New Roman" w:hAnsi="Times New Roman" w:cs="Times New Roman"/>
          <w:b/>
          <w:i w:val="0"/>
          <w:caps w:val="0"/>
          <w:sz w:val="20"/>
        </w:rPr>
        <w:t>uniformly and independently</w:t>
      </w:r>
      <w:r>
        <w:rPr>
          <w:rFonts w:ascii="Times New Roman" w:hAnsi="Times New Roman" w:cs="Times New Roman"/>
          <w:b w:val="0"/>
          <w:i w:val="0"/>
          <w:caps w:val="0"/>
          <w:sz w:val="20"/>
        </w:rPr>
        <w:t xml:space="preserve"> over ranges chosen by judgement, so the spread of the output is a sensitivity range conditional on those ranges. It is not a confidence interval and not a credible interval: there is no likelihood here and no prior, and calling it a "95% interval" would imply a probability statement the sampling design does not license. The result files record it as </w:t>
      </w:r>
      <w:r>
        <w:rPr>
          <w:rFonts w:ascii="Consolas" w:hAnsi="Consolas" w:cs="Consolas"/>
          <w:b w:val="0"/>
          <w:i w:val="0"/>
          <w:caps w:val="0"/>
          <w:sz w:val="20"/>
        </w:rPr>
        <w:t>p2.5</w:t>
      </w:r>
      <w:r>
        <w:rPr>
          <w:rFonts w:ascii="Times New Roman" w:hAnsi="Times New Roman" w:cs="Times New Roman"/>
          <w:b w:val="0"/>
          <w:i w:val="0"/>
          <w:caps w:val="0"/>
          <w:sz w:val="20"/>
        </w:rPr>
        <w:t xml:space="preserve"> and </w:t>
      </w:r>
      <w:r>
        <w:rPr>
          <w:rFonts w:ascii="Consolas" w:hAnsi="Consolas" w:cs="Consolas"/>
          <w:b w:val="0"/>
          <w:i w:val="0"/>
          <w:caps w:val="0"/>
          <w:sz w:val="20"/>
        </w:rPr>
        <w:t>p97.5</w:t>
      </w:r>
      <w:r>
        <w:rPr>
          <w:rFonts w:ascii="Times New Roman" w:hAnsi="Times New Roman" w:cs="Times New Roman"/>
          <w:b w:val="0"/>
          <w:i w:val="0"/>
          <w:caps w:val="0"/>
          <w:sz w:val="20"/>
        </w:rPr>
        <w:t xml:space="preserve">, which is the honest label, and this paper uses the same language throughout. Nor does the range cover </w:t>
      </w:r>
      <w:r>
        <w:rPr>
          <w:rFonts w:ascii="Times New Roman" w:hAnsi="Times New Roman" w:cs="Times New Roman"/>
          <w:b w:val="0"/>
          <w:i/>
          <w:caps w:val="0"/>
          <w:sz w:val="20"/>
        </w:rPr>
        <w:t>all</w:t>
      </w:r>
      <w:r>
        <w:rPr>
          <w:rFonts w:ascii="Times New Roman" w:hAnsi="Times New Roman" w:cs="Times New Roman"/>
          <w:b w:val="0"/>
          <w:i w:val="0"/>
          <w:caps w:val="0"/>
          <w:sz w:val="20"/>
        </w:rPr>
        <w:t xml:space="preserve"> parameter uncertainty: the delivery and translation constants (brain and striatum mass, putaminal depth, body weight, plasma volume, and the EC₅₀ and Hill coefficient of the exposure-response curve) are not in this ensemble. They are varied separately and one at a time, in Section III-H, 3.9 and 3.14, and Section II-A says why.</w:t>
      </w:r>
    </w:p>
    <w:p>
      <w:pPr>
        <w:spacing w:after="60" w:before="0" w:line="240" w:lineRule="auto"/>
        <w:ind w:firstLine="288"/>
        <w:jc w:val="both"/>
      </w:pPr>
      <w:r>
        <w:rPr>
          <w:rFonts w:ascii="Times New Roman" w:hAnsi="Times New Roman" w:cs="Times New Roman"/>
          <w:b w:val="0"/>
          <w:i w:val="0"/>
          <w:caps w:val="0"/>
          <w:sz w:val="20"/>
        </w:rPr>
        <w:t>One further caveat belongs here because no reviewer should have to find it. The three dwell-time anchors are sampled independently although all three come from the same study on the same post-mortem cohort, so a systematic error in that study's clock would move all three together and could not cancel the way independent sampling allows. Section III-O measures what that assumption costs.</w:t>
      </w:r>
    </w:p>
    <w:p>
      <w:pPr>
        <w:spacing w:after="60" w:before="0" w:line="240" w:lineRule="auto"/>
        <w:ind w:firstLine="288"/>
        <w:jc w:val="both"/>
      </w:pPr>
      <w:r>
        <w:rPr>
          <w:rFonts w:ascii="Times New Roman" w:hAnsi="Times New Roman" w:cs="Times New Roman"/>
          <w:b w:val="0"/>
          <w:i w:val="0"/>
          <w:caps w:val="0"/>
          <w:sz w:val="20"/>
        </w:rPr>
        <w:t>The strongest drivers are the pharmacodynamic order, with a partial rank correlation of +0.70, the contraction rate at −0.66, the expansion step size at −0.66 and the basal transit time at −0.54. It is reassuring that the top driver is the pharmacodynamic order, because that is the quantity most directly constrained by independent data (Section III-B) rather than the one most freely assumed.</w:t>
      </w:r>
    </w:p>
    <w:p>
      <w:pPr>
        <w:spacing w:after="60" w:before="0" w:line="240" w:lineRule="auto"/>
        <w:ind w:firstLine="288"/>
        <w:jc w:val="both"/>
      </w:pPr>
      <w:r>
        <w:rPr>
          <w:rFonts w:ascii="Times New Roman" w:hAnsi="Times New Roman" w:cs="Times New Roman"/>
          <w:b w:val="0"/>
          <w:i w:val="0"/>
          <w:caps w:val="0"/>
          <w:sz w:val="20"/>
        </w:rPr>
        <w:t>It is less reassuring that three of the six strongest drivers are assumed rather than measured, and the point should be made in the prose and not left to the colours in Fig. 15B. The contraction rate at −0.66, the switch width at −0.45 and the contraction step size at −0.42 are all values this work chose, they occupy the second, fifth and sixth places in the ranking, and all three sit well above every elimination constant. Their presence near the top is the main reason the sampled range of the benefit is as wide as 7.4 to 17.5 points. The reassuring version of this observation is that all three act in the same direction and that the benefit stays positive across the whole sampled range; the honest version is that the central estimate of 11.5 points would move if better measurements of somatic contraction became available, and contraction in human projection neurons is measured hardly at all.</w:t>
      </w:r>
    </w:p>
    <w:p>
      <w:pPr>
        <w:spacing w:after="60" w:before="0" w:line="240" w:lineRule="auto"/>
        <w:ind w:firstLine="288"/>
        <w:jc w:val="both"/>
      </w:pPr>
      <w:r>
        <w:rPr>
          <w:rFonts w:ascii="Times New Roman" w:hAnsi="Times New Roman" w:cs="Times New Roman"/>
          <w:b w:val="0"/>
          <w:i w:val="0"/>
          <w:caps w:val="0"/>
          <w:sz w:val="20"/>
        </w:rPr>
        <w:t>The reassurance that can be given is narrower and applies to the elimination submodel specifically. The three constants that set how a neuron dies once it passes the threshold have partial rank correlations of −0.15, +0.14 and −0.11, all below the weakest of the drivers above, which is the quantitative form of the argument in Section III-D: what happens after the threshold has almost no leverage on when the striatum is lost. The numerical ceiling on tract length, swept here from 600 to 1,400 repeats, comes out at +0.09 and is likewise immaterial to the benefit, which confirms that the narrow terminal tail in Section III-C is a presentational limit rather than something the therapeutic conclusion depends on.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637035"/>
            <wp:docPr id="15" name="Picture 15"/>
            <wp:cNvGraphicFramePr>
              <a:graphicFrameLocks noChangeAspect="1"/>
            </wp:cNvGraphicFramePr>
            <a:graphic>
              <a:graphicData uri="http://schemas.openxmlformats.org/drawingml/2006/picture">
                <pic:pic>
                  <pic:nvPicPr>
                    <pic:cNvPr id="0" name="fig10_sensitivity.png"/>
                    <pic:cNvPicPr/>
                  </pic:nvPicPr>
                  <pic:blipFill>
                    <a:blip r:embed="rId23"/>
                    <a:stretch>
                      <a:fillRect/>
                    </a:stretch>
                  </pic:blipFill>
                  <pic:spPr>
                    <a:xfrm>
                      <a:off x="0" y="0"/>
                      <a:ext cx="6492240" cy="263703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15.  </w:t>
      </w:r>
      <w:r>
        <w:rPr>
          <w:rFonts w:ascii="Times New Roman" w:hAnsi="Times New Roman" w:cs="Times New Roman"/>
          <w:b/>
          <w:i w:val="0"/>
          <w:caps w:val="0"/>
          <w:sz w:val="16"/>
        </w:rPr>
        <w:t>Global sensitivity.</w:t>
      </w:r>
      <w:r>
        <w:rPr>
          <w:rFonts w:ascii="Times New Roman" w:hAnsi="Times New Roman" w:cs="Times New Roman"/>
          <w:b w:val="0"/>
          <w:i w:val="0"/>
          <w:caps w:val="0"/>
          <w:sz w:val="16"/>
        </w:rPr>
        <w:t xml:space="preserve"> (A) Distribution of the predicted benefit across 160 recalibrated samples. (B) Partial rank correlation of each input against benefit; blue inputs are published anchors, red are assumed constants. (C) Response to the strongest driver.</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N.  How much do two mouse doses constrain the delivery arithmetic?</w:t>
      </w:r>
    </w:p>
    <w:p>
      <w:pPr>
        <w:spacing w:after="60" w:before="0" w:line="240" w:lineRule="auto"/>
        <w:ind w:firstLine="288"/>
        <w:jc w:val="both"/>
      </w:pPr>
      <w:r>
        <w:rPr>
          <w:rFonts w:ascii="Times New Roman" w:hAnsi="Times New Roman" w:cs="Times New Roman"/>
          <w:b w:val="0"/>
          <w:i w:val="0"/>
          <w:caps w:val="0"/>
          <w:sz w:val="20"/>
        </w:rPr>
        <w:t>Everything in Section III-H to 3.11 passes through one exposure-response curve with two free parameters fitted to exactly two published mouse doses. Two parameters on two points is an exact interpolation with no residual to minimise, so the fitted Hill coefficient of 1.215 is not a measurement of cooperativity: it is whatever value makes the curve pass through both points. Limitation 5 says so. What it does not say is how much that matters, and the question is answerable with the same profile logic used on the rate law in Section III-A.</w:t>
      </w:r>
    </w:p>
    <w:p>
      <w:pPr>
        <w:spacing w:after="60" w:before="0" w:line="240" w:lineRule="auto"/>
        <w:ind w:firstLine="288"/>
        <w:jc w:val="both"/>
      </w:pPr>
      <w:r>
        <w:rPr>
          <w:rFonts w:ascii="Times New Roman" w:hAnsi="Times New Roman" w:cs="Times New Roman"/>
          <w:b w:val="0"/>
          <w:i w:val="0"/>
          <w:caps w:val="0"/>
          <w:sz w:val="20"/>
        </w:rPr>
        <w:t xml:space="preserve">Fixing the Hill coefficient at each of a grid of values and refitting EC₅₀ through the two measured points gives the answer (Fig. 16A; </w:t>
      </w:r>
      <w:r>
        <w:rPr>
          <w:rFonts w:ascii="Consolas" w:hAnsi="Consolas" w:cs="Consolas"/>
          <w:b w:val="0"/>
          <w:i w:val="0"/>
          <w:caps w:val="0"/>
          <w:sz w:val="20"/>
        </w:rPr>
        <w:t>results/hill_profile.csv</w:t>
      </w:r>
      <w:r>
        <w:rPr>
          <w:rFonts w:ascii="Times New Roman" w:hAnsi="Times New Roman" w:cs="Times New Roman"/>
          <w:b w:val="0"/>
          <w:i w:val="0"/>
          <w:caps w:val="0"/>
          <w:sz w:val="20"/>
        </w:rPr>
        <w:t xml:space="preserve">). The two doses turn out to constrain the curve better than the zero degrees of freedom suggest: at the same 10% tolerance used for the rate-law profiles, the admissible Hill window is </w:t>
      </w:r>
      <w:r>
        <w:rPr>
          <w:rFonts w:ascii="Times New Roman" w:hAnsi="Times New Roman" w:cs="Times New Roman"/>
          <w:b/>
          <w:i w:val="0"/>
          <w:caps w:val="0"/>
          <w:sz w:val="20"/>
        </w:rPr>
        <w:t>1.05 to 1.35</w:t>
      </w:r>
      <w:r>
        <w:rPr>
          <w:rFonts w:ascii="Times New Roman" w:hAnsi="Times New Roman" w:cs="Times New Roman"/>
          <w:b w:val="0"/>
          <w:i w:val="0"/>
          <w:caps w:val="0"/>
          <w:sz w:val="20"/>
        </w:rPr>
        <w:t>, with EC₅₀ moving only from 9.85 to 10.26 nmol g⁻¹. The reason is geometric rather than lucky: the two doses sit at 7.5 and 25 nmol g⁻¹, which straddle the fitted EC₅₀, so between them they pin both the position of the curve and its steepness.</w:t>
      </w:r>
    </w:p>
    <w:p>
      <w:pPr>
        <w:spacing w:after="60" w:before="0" w:line="240" w:lineRule="auto"/>
        <w:ind w:firstLine="288"/>
        <w:jc w:val="both"/>
      </w:pPr>
      <w:r>
        <w:rPr>
          <w:rFonts w:ascii="Times New Roman" w:hAnsi="Times New Roman" w:cs="Times New Roman"/>
          <w:b w:val="0"/>
          <w:i w:val="0"/>
          <w:caps w:val="0"/>
          <w:sz w:val="20"/>
        </w:rPr>
        <w:t>Propagating that window through the numbers the paper actually quotes (</w:t>
      </w:r>
      <w:r>
        <w:rPr>
          <w:rFonts w:ascii="Consolas" w:hAnsi="Consolas" w:cs="Consolas"/>
          <w:b w:val="0"/>
          <w:i w:val="0"/>
          <w:caps w:val="0"/>
          <w:sz w:val="20"/>
        </w:rPr>
        <w:t>results/exposure_response_band.csv</w:t>
      </w:r>
      <w:r>
        <w:rPr>
          <w:rFonts w:ascii="Times New Roman" w:hAnsi="Times New Roman" w:cs="Times New Roman"/>
          <w:b w:val="0"/>
          <w:i w:val="0"/>
          <w:caps w:val="0"/>
          <w:sz w:val="20"/>
        </w:rPr>
        <w:t>):</w:t>
      </w:r>
    </w:p>
    <w:p>
      <w:pPr>
        <w:spacing w:after="20" w:before="120" w:line="240" w:lineRule="auto"/>
        <w:ind w:firstLine="0"/>
        <w:jc w:val="center"/>
      </w:pPr>
      <w:r>
        <w:rPr>
          <w:rFonts w:ascii="Times New Roman" w:hAnsi="Times New Roman" w:cs="Times New Roman"/>
          <w:b w:val="0"/>
          <w:i w:val="0"/>
          <w:caps w:val="0"/>
          <w:sz w:val="16"/>
        </w:rPr>
        <w:t>TABLE X</w:t>
      </w:r>
    </w:p>
    <w:p>
      <w:pPr>
        <w:spacing w:after="60" w:before="0" w:line="240" w:lineRule="auto"/>
        <w:ind w:firstLine="0"/>
        <w:jc w:val="center"/>
      </w:pPr>
      <w:r>
        <w:rPr>
          <w:rFonts w:ascii="Times New Roman" w:hAnsi="Times New Roman" w:cs="Times New Roman"/>
          <w:b w:val="0"/>
          <w:i w:val="0"/>
          <w:caps/>
          <w:sz w:val="16"/>
        </w:rPr>
        <w:t>Results.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Quantity</w:t>
            </w:r>
          </w:p>
        </w:tc>
        <w:tc>
          <w:tcPr>
            <w:tcW w:type="dxa" w:w="3480"/>
          </w:tcPr>
          <w:p>
            <w:pPr>
              <w:spacing w:after="0"/>
            </w:pPr>
            <w:r/>
            <w:r>
              <w:rPr>
                <w:rFonts w:ascii="Times New Roman" w:hAnsi="Times New Roman" w:cs="Times New Roman"/>
                <w:b/>
                <w:i w:val="0"/>
                <w:caps w:val="0"/>
                <w:sz w:val="16"/>
              </w:rPr>
              <w:t>Point estimate</w:t>
            </w:r>
          </w:p>
        </w:tc>
        <w:tc>
          <w:tcPr>
            <w:tcW w:type="dxa" w:w="3480"/>
          </w:tcPr>
          <w:p>
            <w:pPr>
              <w:spacing w:after="0"/>
            </w:pPr>
            <w:r/>
            <w:r>
              <w:rPr>
                <w:rFonts w:ascii="Times New Roman" w:hAnsi="Times New Roman" w:cs="Times New Roman"/>
                <w:b/>
                <w:i w:val="0"/>
                <w:caps w:val="0"/>
                <w:sz w:val="16"/>
              </w:rPr>
              <w:t>Across the admissible Hill window</w:t>
            </w:r>
          </w:p>
        </w:tc>
      </w:tr>
      <w:tr>
        <w:tc>
          <w:tcPr>
            <w:tcW w:type="dxa" w:w="3480"/>
          </w:tcPr>
          <w:p>
            <w:pPr>
              <w:spacing w:after="0"/>
            </w:pPr>
            <w:r>
              <w:rPr>
                <w:rFonts w:ascii="Times New Roman" w:hAnsi="Times New Roman" w:cs="Times New Roman"/>
                <w:b w:val="0"/>
                <w:i w:val="0"/>
                <w:caps w:val="0"/>
                <w:sz w:val="16"/>
              </w:rPr>
              <w:t>Striatal exposure for 50% MSH3 knockdown</w:t>
            </w:r>
          </w:p>
        </w:tc>
        <w:tc>
          <w:tcPr>
            <w:tcW w:type="dxa" w:w="3480"/>
          </w:tcPr>
          <w:p>
            <w:pPr>
              <w:spacing w:after="0"/>
            </w:pPr>
            <w:r>
              <w:rPr>
                <w:rFonts w:ascii="Times New Roman" w:hAnsi="Times New Roman" w:cs="Times New Roman"/>
                <w:b w:val="0"/>
                <w:i w:val="0"/>
                <w:caps w:val="0"/>
                <w:sz w:val="16"/>
              </w:rPr>
              <w:t>10.1 nmol g⁻¹</w:t>
            </w:r>
          </w:p>
        </w:tc>
        <w:tc>
          <w:tcPr>
            <w:tcW w:type="dxa" w:w="3480"/>
          </w:tcPr>
          <w:p>
            <w:pPr>
              <w:spacing w:after="0"/>
            </w:pPr>
            <w:r>
              <w:rPr>
                <w:rFonts w:ascii="Times New Roman" w:hAnsi="Times New Roman" w:cs="Times New Roman"/>
                <w:b w:val="0"/>
                <w:i w:val="0"/>
                <w:caps w:val="0"/>
                <w:sz w:val="16"/>
              </w:rPr>
              <w:t>9.9 to 10.3</w:t>
            </w:r>
          </w:p>
        </w:tc>
      </w:tr>
      <w:tr>
        <w:tc>
          <w:tcPr>
            <w:tcW w:type="dxa" w:w="3480"/>
          </w:tcPr>
          <w:p>
            <w:pPr>
              <w:spacing w:after="0"/>
            </w:pPr>
            <w:r>
              <w:rPr>
                <w:rFonts w:ascii="Times New Roman" w:hAnsi="Times New Roman" w:cs="Times New Roman"/>
                <w:b w:val="0"/>
                <w:i w:val="0"/>
                <w:caps w:val="0"/>
                <w:sz w:val="16"/>
              </w:rPr>
              <w:t>Striatal exposure for 75% knockdown</w:t>
            </w:r>
          </w:p>
        </w:tc>
        <w:tc>
          <w:tcPr>
            <w:tcW w:type="dxa" w:w="3480"/>
          </w:tcPr>
          <w:p>
            <w:pPr>
              <w:spacing w:after="0"/>
            </w:pPr>
            <w:r>
              <w:rPr>
                <w:rFonts w:ascii="Times New Roman" w:hAnsi="Times New Roman" w:cs="Times New Roman"/>
                <w:b w:val="0"/>
                <w:i w:val="0"/>
                <w:caps w:val="0"/>
                <w:sz w:val="16"/>
              </w:rPr>
              <w:t>25.0 nmol g⁻¹</w:t>
            </w:r>
          </w:p>
        </w:tc>
        <w:tc>
          <w:tcPr>
            <w:tcW w:type="dxa" w:w="3480"/>
          </w:tcPr>
          <w:p>
            <w:pPr>
              <w:spacing w:after="0"/>
            </w:pPr>
            <w:r>
              <w:rPr>
                <w:rFonts w:ascii="Times New Roman" w:hAnsi="Times New Roman" w:cs="Times New Roman"/>
                <w:b/>
                <w:i w:val="0"/>
                <w:caps w:val="0"/>
                <w:sz w:val="16"/>
              </w:rPr>
              <w:t>23.1 to 28.1</w:t>
            </w:r>
          </w:p>
        </w:tc>
      </w:tr>
      <w:tr>
        <w:tc>
          <w:tcPr>
            <w:tcW w:type="dxa" w:w="3480"/>
          </w:tcPr>
          <w:p>
            <w:pPr>
              <w:spacing w:after="0"/>
            </w:pPr>
            <w:r>
              <w:rPr>
                <w:rFonts w:ascii="Times New Roman" w:hAnsi="Times New Roman" w:cs="Times New Roman"/>
                <w:b w:val="0"/>
                <w:i w:val="0"/>
                <w:caps w:val="0"/>
                <w:sz w:val="16"/>
              </w:rPr>
              <w:t>Striatal dose for 75% knockdown, at 14 kDa</w:t>
            </w:r>
          </w:p>
        </w:tc>
        <w:tc>
          <w:tcPr>
            <w:tcW w:type="dxa" w:w="3480"/>
          </w:tcPr>
          <w:p>
            <w:pPr>
              <w:spacing w:after="0"/>
            </w:pPr>
            <w:r>
              <w:rPr>
                <w:rFonts w:ascii="Times New Roman" w:hAnsi="Times New Roman" w:cs="Times New Roman"/>
                <w:b w:val="0"/>
                <w:i w:val="0"/>
                <w:caps w:val="0"/>
                <w:sz w:val="16"/>
              </w:rPr>
              <w:t>7.0 mg</w:t>
            </w:r>
          </w:p>
        </w:tc>
        <w:tc>
          <w:tcPr>
            <w:tcW w:type="dxa" w:w="3480"/>
          </w:tcPr>
          <w:p>
            <w:pPr>
              <w:spacing w:after="0"/>
            </w:pPr>
            <w:r>
              <w:rPr>
                <w:rFonts w:ascii="Times New Roman" w:hAnsi="Times New Roman" w:cs="Times New Roman"/>
                <w:b/>
                <w:i w:val="0"/>
                <w:caps w:val="0"/>
                <w:sz w:val="16"/>
              </w:rPr>
              <w:t>6.5 to 7.8 mg</w:t>
            </w:r>
          </w:p>
        </w:tc>
      </w:tr>
      <w:tr>
        <w:tc>
          <w:tcPr>
            <w:tcW w:type="dxa" w:w="3480"/>
          </w:tcPr>
          <w:p>
            <w:pPr>
              <w:spacing w:after="0"/>
            </w:pPr>
            <w:r>
              <w:rPr>
                <w:rFonts w:ascii="Times New Roman" w:hAnsi="Times New Roman" w:cs="Times New Roman"/>
                <w:b w:val="0"/>
                <w:i w:val="0"/>
                <w:caps w:val="0"/>
                <w:sz w:val="16"/>
              </w:rPr>
              <w:t>Striatal exposure for 90% knockdown</w:t>
            </w:r>
          </w:p>
        </w:tc>
        <w:tc>
          <w:tcPr>
            <w:tcW w:type="dxa" w:w="3480"/>
          </w:tcPr>
          <w:p>
            <w:pPr>
              <w:spacing w:after="0"/>
            </w:pPr>
            <w:r>
              <w:rPr>
                <w:rFonts w:ascii="Times New Roman" w:hAnsi="Times New Roman" w:cs="Times New Roman"/>
                <w:b w:val="0"/>
                <w:i w:val="0"/>
                <w:caps w:val="0"/>
                <w:sz w:val="16"/>
              </w:rPr>
              <w:t>61.7 nmol g⁻¹</w:t>
            </w:r>
          </w:p>
        </w:tc>
        <w:tc>
          <w:tcPr>
            <w:tcW w:type="dxa" w:w="3480"/>
          </w:tcPr>
          <w:p>
            <w:pPr>
              <w:spacing w:after="0"/>
            </w:pPr>
            <w:r>
              <w:rPr>
                <w:rFonts w:ascii="Times New Roman" w:hAnsi="Times New Roman" w:cs="Times New Roman"/>
                <w:b w:val="0"/>
                <w:i w:val="0"/>
                <w:caps w:val="0"/>
                <w:sz w:val="16"/>
              </w:rPr>
              <w:t>52.2 to 79.9</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 xml:space="preserve">The band widens with distance from the calibrated range, exactly as it should: −3 to +1% at 50% knockdown, which sits inside the two measured doses, −7 to +12% at 75% knockdown just outside them, and −15 to +29% at 90% knockdown, well beyond. For scale, a Hill coefficient of 0.5 misses a measured point by 41% and one of 3.0 by 83%, so the window is narrow because the data are informative about steepness, not because the grid was drawn tightly. Because the required systemic dose is strictly proportional to the required striatal exposure, the same relative band carries to the reported shortfall: the 18 to 36-fold figure of Section III-I becomes </w:t>
      </w:r>
      <w:r>
        <w:rPr>
          <w:rFonts w:ascii="Times New Roman" w:hAnsi="Times New Roman" w:cs="Times New Roman"/>
          <w:b/>
          <w:i w:val="0"/>
          <w:caps w:val="0"/>
          <w:sz w:val="20"/>
        </w:rPr>
        <w:t>17 to 40-fold</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 xml:space="preserve">That is the honest result, and it is more favourable to the paper than Limitation 5 implies. The curve's two-point construction is a real weakness of the underlying data and it would matter a great deal if the analysis depended on the far tail of the curve. For the headline requirement of about 25 nmol g⁻¹ and 7 mg it does not: the figure is uncertain by roughly a tenth, not by an order of magnitude, and no conclusion in Section III-H to 3.11 turns on a tenth. The dosing analysis in Section III-K is the exception to flag, since its grid reaches steady-state peaks of up to 388 nmol g⁻¹, fifteen times the highest calibration point and far outside the window tested here; those rows should be read as showing the </w:t>
      </w:r>
      <w:r>
        <w:rPr>
          <w:rFonts w:ascii="Times New Roman" w:hAnsi="Times New Roman" w:cs="Times New Roman"/>
          <w:b w:val="0"/>
          <w:i/>
          <w:caps w:val="0"/>
          <w:sz w:val="20"/>
        </w:rPr>
        <w:t>shape</w:t>
      </w:r>
      <w:r>
        <w:rPr>
          <w:rFonts w:ascii="Times New Roman" w:hAnsi="Times New Roman" w:cs="Times New Roman"/>
          <w:b w:val="0"/>
          <w:i w:val="0"/>
          <w:caps w:val="0"/>
          <w:sz w:val="20"/>
        </w:rPr>
        <w:t xml:space="preserve"> of the half-life-to-interval trade-off rather than as calibrated exposures.</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1766298"/>
            <wp:docPr id="16" name="Picture 16"/>
            <wp:cNvGraphicFramePr>
              <a:graphicFrameLocks noChangeAspect="1"/>
            </wp:cNvGraphicFramePr>
            <a:graphic>
              <a:graphicData uri="http://schemas.openxmlformats.org/drawingml/2006/picture">
                <pic:pic>
                  <pic:nvPicPr>
                    <pic:cNvPr id="0" name="fig17_exposure_response_band.png"/>
                    <pic:cNvPicPr/>
                  </pic:nvPicPr>
                  <pic:blipFill>
                    <a:blip r:embed="rId24"/>
                    <a:stretch>
                      <a:fillRect/>
                    </a:stretch>
                  </pic:blipFill>
                  <pic:spPr>
                    <a:xfrm>
                      <a:off x="0" y="0"/>
                      <a:ext cx="6492240" cy="1766298"/>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16.  </w:t>
      </w:r>
      <w:r>
        <w:rPr>
          <w:rFonts w:ascii="Times New Roman" w:hAnsi="Times New Roman" w:cs="Times New Roman"/>
          <w:b/>
          <w:i w:val="0"/>
          <w:caps w:val="0"/>
          <w:sz w:val="16"/>
        </w:rPr>
        <w:t>What two doses pin down.</w:t>
      </w:r>
      <w:r>
        <w:rPr>
          <w:rFonts w:ascii="Times New Roman" w:hAnsi="Times New Roman" w:cs="Times New Roman"/>
          <w:b w:val="0"/>
          <w:i w:val="0"/>
          <w:caps w:val="0"/>
          <w:sz w:val="16"/>
        </w:rPr>
        <w:t xml:space="preserve"> (A) Worst miss on the two measured points as the Hill coefficient is held at each value and EC₅₀ refitted; shading marks the window meeting the 10% tolerance and the dotted line the free two-point fit. (B) The curves at the free fit and at both edges of the window, with the calibrated exposure range shaded. (C) Required striatal exposure at three knockdown targets: point estimate and the range across the window, on a log scale. The band widens with extrapolation distance.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O.  Correlated calibration anchors widen the loss predictions but not the benefit</w:t>
      </w:r>
    </w:p>
    <w:p>
      <w:pPr>
        <w:spacing w:after="60" w:before="0" w:line="240" w:lineRule="auto"/>
        <w:ind w:firstLine="288"/>
        <w:jc w:val="both"/>
      </w:pPr>
      <w:r>
        <w:rPr>
          <w:rFonts w:ascii="Times New Roman" w:hAnsi="Times New Roman" w:cs="Times New Roman"/>
          <w:b w:val="0"/>
          <w:i w:val="0"/>
          <w:caps w:val="0"/>
          <w:sz w:val="20"/>
        </w:rPr>
        <w:t xml:space="preserve">The sensitivity analysis of Section III-M samples the three dwell-time anchors independently, although all three come from one study on one post-mortem cohort. If that study's clock is systematically fast or slow, all three move together, and independent sampling lets such an error cancel across the ensemble in a way reality would not. Repeating the whole analysis with the three anchors coupled through a Gaussian copula at latent correlations of 0, 0.5 and 0.9 settles what that costs (Fig. 17; </w:t>
      </w:r>
      <w:r>
        <w:rPr>
          <w:rFonts w:ascii="Consolas" w:hAnsi="Consolas" w:cs="Consolas"/>
          <w:b w:val="0"/>
          <w:i w:val="0"/>
          <w:caps w:val="0"/>
          <w:sz w:val="20"/>
        </w:rPr>
        <w:t>results/anchor_correlation.csv</w:t>
      </w:r>
      <w:r>
        <w:rPr>
          <w:rFonts w:ascii="Times New Roman" w:hAnsi="Times New Roman" w:cs="Times New Roman"/>
          <w:b w:val="0"/>
          <w:i w:val="0"/>
          <w:caps w:val="0"/>
          <w:sz w:val="20"/>
        </w:rPr>
        <w:t>). The realised rank correlations among the coupled anchors are −0.05, +0.42 and +0.86 against copula targets of 0, +0.48 and +0.89, so the dependence is being imposed as intended.</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XI</w:t>
      </w:r>
    </w:p>
    <w:p>
      <w:pPr>
        <w:spacing w:after="60" w:before="0" w:line="240" w:lineRule="auto"/>
        <w:ind w:firstLine="0"/>
        <w:jc w:val="center"/>
      </w:pPr>
      <w:r>
        <w:rPr>
          <w:rFonts w:ascii="Times New Roman" w:hAnsi="Times New Roman" w:cs="Times New Roman"/>
          <w:b w:val="0"/>
          <w:i w:val="0"/>
          <w:caps/>
          <w:sz w:val="16"/>
        </w:rPr>
        <w:t>Results.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Outcome</w:t>
            </w:r>
          </w:p>
        </w:tc>
        <w:tc>
          <w:tcPr>
            <w:tcW w:type="dxa" w:w="2610"/>
          </w:tcPr>
          <w:p>
            <w:pPr>
              <w:spacing w:after="0"/>
            </w:pPr>
            <w:r/>
            <w:r>
              <w:rPr>
                <w:rFonts w:ascii="Times New Roman" w:hAnsi="Times New Roman" w:cs="Times New Roman"/>
                <w:b/>
                <w:i w:val="0"/>
                <w:caps w:val="0"/>
                <w:sz w:val="16"/>
              </w:rPr>
              <w:t>ρ = 0</w:t>
            </w:r>
          </w:p>
        </w:tc>
        <w:tc>
          <w:tcPr>
            <w:tcW w:type="dxa" w:w="2610"/>
          </w:tcPr>
          <w:p>
            <w:pPr>
              <w:spacing w:after="0"/>
            </w:pPr>
            <w:r/>
            <w:r>
              <w:rPr>
                <w:rFonts w:ascii="Times New Roman" w:hAnsi="Times New Roman" w:cs="Times New Roman"/>
                <w:b/>
                <w:i w:val="0"/>
                <w:caps w:val="0"/>
                <w:sz w:val="16"/>
              </w:rPr>
              <w:t>ρ = 0.5</w:t>
            </w:r>
          </w:p>
        </w:tc>
        <w:tc>
          <w:tcPr>
            <w:tcW w:type="dxa" w:w="2610"/>
          </w:tcPr>
          <w:p>
            <w:pPr>
              <w:spacing w:after="0"/>
            </w:pPr>
            <w:r/>
            <w:r>
              <w:rPr>
                <w:rFonts w:ascii="Times New Roman" w:hAnsi="Times New Roman" w:cs="Times New Roman"/>
                <w:b/>
                <w:i w:val="0"/>
                <w:caps w:val="0"/>
                <w:sz w:val="16"/>
              </w:rPr>
              <w:t>ρ = 0.9</w:t>
            </w:r>
          </w:p>
        </w:tc>
      </w:tr>
      <w:tr>
        <w:tc>
          <w:tcPr>
            <w:tcW w:type="dxa" w:w="2610"/>
          </w:tcPr>
          <w:p>
            <w:pPr>
              <w:spacing w:after="0"/>
            </w:pPr>
            <w:r>
              <w:rPr>
                <w:rFonts w:ascii="Times New Roman" w:hAnsi="Times New Roman" w:cs="Times New Roman"/>
                <w:b w:val="0"/>
                <w:i w:val="0"/>
                <w:caps w:val="0"/>
                <w:sz w:val="16"/>
              </w:rPr>
              <w:t>Untreated loss at 70, central 95%</w:t>
            </w:r>
          </w:p>
        </w:tc>
        <w:tc>
          <w:tcPr>
            <w:tcW w:type="dxa" w:w="2610"/>
          </w:tcPr>
          <w:p>
            <w:pPr>
              <w:spacing w:after="0"/>
            </w:pPr>
            <w:r>
              <w:rPr>
                <w:rFonts w:ascii="Times New Roman" w:hAnsi="Times New Roman" w:cs="Times New Roman"/>
                <w:b w:val="0"/>
                <w:i w:val="0"/>
                <w:caps w:val="0"/>
                <w:sz w:val="16"/>
              </w:rPr>
              <w:t>19.8 to 56.7</w:t>
            </w:r>
          </w:p>
        </w:tc>
        <w:tc>
          <w:tcPr>
            <w:tcW w:type="dxa" w:w="2610"/>
          </w:tcPr>
          <w:p>
            <w:pPr>
              <w:spacing w:after="0"/>
            </w:pPr>
            <w:r>
              <w:rPr>
                <w:rFonts w:ascii="Times New Roman" w:hAnsi="Times New Roman" w:cs="Times New Roman"/>
                <w:b w:val="0"/>
                <w:i w:val="0"/>
                <w:caps w:val="0"/>
                <w:sz w:val="16"/>
              </w:rPr>
              <w:t>18.8 to 63.4</w:t>
            </w:r>
          </w:p>
        </w:tc>
        <w:tc>
          <w:tcPr>
            <w:tcW w:type="dxa" w:w="2610"/>
          </w:tcPr>
          <w:p>
            <w:pPr>
              <w:spacing w:after="0"/>
            </w:pPr>
            <w:r>
              <w:rPr>
                <w:rFonts w:ascii="Times New Roman" w:hAnsi="Times New Roman" w:cs="Times New Roman"/>
                <w:b w:val="0"/>
                <w:i w:val="0"/>
                <w:caps w:val="0"/>
                <w:sz w:val="16"/>
              </w:rPr>
              <w:t>18.0 to 66.7</w:t>
            </w:r>
          </w:p>
        </w:tc>
      </w:tr>
      <w:tr>
        <w:tc>
          <w:tcPr>
            <w:tcW w:type="dxa" w:w="2610"/>
          </w:tcPr>
          <w:p>
            <w:pPr>
              <w:spacing w:after="0"/>
            </w:pPr>
            <w:r>
              <w:rPr>
                <w:rFonts w:ascii="Times New Roman" w:hAnsi="Times New Roman" w:cs="Times New Roman"/>
                <w:b w:val="0"/>
                <w:i w:val="0"/>
                <w:caps w:val="0"/>
                <w:sz w:val="16"/>
              </w:rPr>
              <w:t>Untreated loss, width</w:t>
            </w:r>
          </w:p>
        </w:tc>
        <w:tc>
          <w:tcPr>
            <w:tcW w:type="dxa" w:w="2610"/>
          </w:tcPr>
          <w:p>
            <w:pPr>
              <w:spacing w:after="0"/>
            </w:pPr>
            <w:r>
              <w:rPr>
                <w:rFonts w:ascii="Times New Roman" w:hAnsi="Times New Roman" w:cs="Times New Roman"/>
                <w:b w:val="0"/>
                <w:i w:val="0"/>
                <w:caps w:val="0"/>
                <w:sz w:val="16"/>
              </w:rPr>
              <w:t>36.9</w:t>
            </w:r>
          </w:p>
        </w:tc>
        <w:tc>
          <w:tcPr>
            <w:tcW w:type="dxa" w:w="2610"/>
          </w:tcPr>
          <w:p>
            <w:pPr>
              <w:spacing w:after="0"/>
            </w:pPr>
            <w:r>
              <w:rPr>
                <w:rFonts w:ascii="Times New Roman" w:hAnsi="Times New Roman" w:cs="Times New Roman"/>
                <w:b w:val="0"/>
                <w:i w:val="0"/>
                <w:caps w:val="0"/>
                <w:sz w:val="16"/>
              </w:rPr>
              <w:t>44.6</w:t>
            </w:r>
          </w:p>
        </w:tc>
        <w:tc>
          <w:tcPr>
            <w:tcW w:type="dxa" w:w="2610"/>
          </w:tcPr>
          <w:p>
            <w:pPr>
              <w:spacing w:after="0"/>
            </w:pPr>
            <w:r>
              <w:rPr>
                <w:rFonts w:ascii="Times New Roman" w:hAnsi="Times New Roman" w:cs="Times New Roman"/>
                <w:b/>
                <w:i w:val="0"/>
                <w:caps w:val="0"/>
                <w:sz w:val="16"/>
              </w:rPr>
              <w:t>48.7</w:t>
            </w:r>
          </w:p>
        </w:tc>
      </w:tr>
      <w:tr>
        <w:tc>
          <w:tcPr>
            <w:tcW w:type="dxa" w:w="2610"/>
          </w:tcPr>
          <w:p>
            <w:pPr>
              <w:spacing w:after="0"/>
            </w:pPr>
            <w:r>
              <w:rPr>
                <w:rFonts w:ascii="Times New Roman" w:hAnsi="Times New Roman" w:cs="Times New Roman"/>
                <w:b w:val="0"/>
                <w:i w:val="0"/>
                <w:caps w:val="0"/>
                <w:sz w:val="16"/>
              </w:rPr>
              <w:t>Benefit, median</w:t>
            </w:r>
          </w:p>
        </w:tc>
        <w:tc>
          <w:tcPr>
            <w:tcW w:type="dxa" w:w="2610"/>
          </w:tcPr>
          <w:p>
            <w:pPr>
              <w:spacing w:after="0"/>
            </w:pPr>
            <w:r>
              <w:rPr>
                <w:rFonts w:ascii="Times New Roman" w:hAnsi="Times New Roman" w:cs="Times New Roman"/>
                <w:b w:val="0"/>
                <w:i w:val="0"/>
                <w:caps w:val="0"/>
                <w:sz w:val="16"/>
              </w:rPr>
              <w:t>11.48</w:t>
            </w:r>
          </w:p>
        </w:tc>
        <w:tc>
          <w:tcPr>
            <w:tcW w:type="dxa" w:w="2610"/>
          </w:tcPr>
          <w:p>
            <w:pPr>
              <w:spacing w:after="0"/>
            </w:pPr>
            <w:r>
              <w:rPr>
                <w:rFonts w:ascii="Times New Roman" w:hAnsi="Times New Roman" w:cs="Times New Roman"/>
                <w:b w:val="0"/>
                <w:i w:val="0"/>
                <w:caps w:val="0"/>
                <w:sz w:val="16"/>
              </w:rPr>
              <w:t>11.43</w:t>
            </w:r>
          </w:p>
        </w:tc>
        <w:tc>
          <w:tcPr>
            <w:tcW w:type="dxa" w:w="2610"/>
          </w:tcPr>
          <w:p>
            <w:pPr>
              <w:spacing w:after="0"/>
            </w:pPr>
            <w:r>
              <w:rPr>
                <w:rFonts w:ascii="Times New Roman" w:hAnsi="Times New Roman" w:cs="Times New Roman"/>
                <w:b w:val="0"/>
                <w:i w:val="0"/>
                <w:caps w:val="0"/>
                <w:sz w:val="16"/>
              </w:rPr>
              <w:t>11.45</w:t>
            </w:r>
          </w:p>
        </w:tc>
      </w:tr>
      <w:tr>
        <w:tc>
          <w:tcPr>
            <w:tcW w:type="dxa" w:w="2610"/>
          </w:tcPr>
          <w:p>
            <w:pPr>
              <w:spacing w:after="0"/>
            </w:pPr>
            <w:r>
              <w:rPr>
                <w:rFonts w:ascii="Times New Roman" w:hAnsi="Times New Roman" w:cs="Times New Roman"/>
                <w:b w:val="0"/>
                <w:i w:val="0"/>
                <w:caps w:val="0"/>
                <w:sz w:val="16"/>
              </w:rPr>
              <w:t>Benefit, central 95%</w:t>
            </w:r>
          </w:p>
        </w:tc>
        <w:tc>
          <w:tcPr>
            <w:tcW w:type="dxa" w:w="2610"/>
          </w:tcPr>
          <w:p>
            <w:pPr>
              <w:spacing w:after="0"/>
            </w:pPr>
            <w:r>
              <w:rPr>
                <w:rFonts w:ascii="Times New Roman" w:hAnsi="Times New Roman" w:cs="Times New Roman"/>
                <w:b w:val="0"/>
                <w:i w:val="0"/>
                <w:caps w:val="0"/>
                <w:sz w:val="16"/>
              </w:rPr>
              <w:t>6.4 to 21.2</w:t>
            </w:r>
          </w:p>
        </w:tc>
        <w:tc>
          <w:tcPr>
            <w:tcW w:type="dxa" w:w="2610"/>
          </w:tcPr>
          <w:p>
            <w:pPr>
              <w:spacing w:after="0"/>
            </w:pPr>
            <w:r>
              <w:rPr>
                <w:rFonts w:ascii="Times New Roman" w:hAnsi="Times New Roman" w:cs="Times New Roman"/>
                <w:b w:val="0"/>
                <w:i w:val="0"/>
                <w:caps w:val="0"/>
                <w:sz w:val="16"/>
              </w:rPr>
              <w:t>6.2 to 19.8</w:t>
            </w:r>
          </w:p>
        </w:tc>
        <w:tc>
          <w:tcPr>
            <w:tcW w:type="dxa" w:w="2610"/>
          </w:tcPr>
          <w:p>
            <w:pPr>
              <w:spacing w:after="0"/>
            </w:pPr>
            <w:r>
              <w:rPr>
                <w:rFonts w:ascii="Times New Roman" w:hAnsi="Times New Roman" w:cs="Times New Roman"/>
                <w:b w:val="0"/>
                <w:i w:val="0"/>
                <w:caps w:val="0"/>
                <w:sz w:val="16"/>
              </w:rPr>
              <w:t>6.1 to 20.8</w:t>
            </w:r>
          </w:p>
        </w:tc>
      </w:tr>
      <w:tr>
        <w:tc>
          <w:tcPr>
            <w:tcW w:type="dxa" w:w="2610"/>
          </w:tcPr>
          <w:p>
            <w:pPr>
              <w:spacing w:after="0"/>
            </w:pPr>
            <w:r>
              <w:rPr>
                <w:rFonts w:ascii="Times New Roman" w:hAnsi="Times New Roman" w:cs="Times New Roman"/>
                <w:b w:val="0"/>
                <w:i w:val="0"/>
                <w:caps w:val="0"/>
                <w:sz w:val="16"/>
              </w:rPr>
              <w:t>Benefit, width</w:t>
            </w:r>
          </w:p>
        </w:tc>
        <w:tc>
          <w:tcPr>
            <w:tcW w:type="dxa" w:w="2610"/>
          </w:tcPr>
          <w:p>
            <w:pPr>
              <w:spacing w:after="0"/>
            </w:pPr>
            <w:r>
              <w:rPr>
                <w:rFonts w:ascii="Times New Roman" w:hAnsi="Times New Roman" w:cs="Times New Roman"/>
                <w:b w:val="0"/>
                <w:i w:val="0"/>
                <w:caps w:val="0"/>
                <w:sz w:val="16"/>
              </w:rPr>
              <w:t>14.8</w:t>
            </w:r>
          </w:p>
        </w:tc>
        <w:tc>
          <w:tcPr>
            <w:tcW w:type="dxa" w:w="2610"/>
          </w:tcPr>
          <w:p>
            <w:pPr>
              <w:spacing w:after="0"/>
            </w:pPr>
            <w:r>
              <w:rPr>
                <w:rFonts w:ascii="Times New Roman" w:hAnsi="Times New Roman" w:cs="Times New Roman"/>
                <w:b w:val="0"/>
                <w:i w:val="0"/>
                <w:caps w:val="0"/>
                <w:sz w:val="16"/>
              </w:rPr>
              <w:t>13.6</w:t>
            </w:r>
          </w:p>
        </w:tc>
        <w:tc>
          <w:tcPr>
            <w:tcW w:type="dxa" w:w="2610"/>
          </w:tcPr>
          <w:p>
            <w:pPr>
              <w:spacing w:after="0"/>
            </w:pPr>
            <w:r>
              <w:rPr>
                <w:rFonts w:ascii="Times New Roman" w:hAnsi="Times New Roman" w:cs="Times New Roman"/>
                <w:b w:val="0"/>
                <w:i w:val="0"/>
                <w:caps w:val="0"/>
                <w:sz w:val="16"/>
              </w:rPr>
              <w:t>14.7</w:t>
            </w:r>
          </w:p>
        </w:tc>
      </w:tr>
      <w:tr>
        <w:tc>
          <w:tcPr>
            <w:tcW w:type="dxa" w:w="2610"/>
          </w:tcPr>
          <w:p>
            <w:pPr>
              <w:spacing w:after="0"/>
            </w:pPr>
            <w:r>
              <w:rPr>
                <w:rFonts w:ascii="Times New Roman" w:hAnsi="Times New Roman" w:cs="Times New Roman"/>
                <w:b w:val="0"/>
                <w:i w:val="0"/>
                <w:caps w:val="0"/>
                <w:sz w:val="16"/>
              </w:rPr>
              <w:t>Benefit, minimum across samples</w:t>
            </w:r>
          </w:p>
        </w:tc>
        <w:tc>
          <w:tcPr>
            <w:tcW w:type="dxa" w:w="2610"/>
          </w:tcPr>
          <w:p>
            <w:pPr>
              <w:spacing w:after="0"/>
            </w:pPr>
            <w:r>
              <w:rPr>
                <w:rFonts w:ascii="Times New Roman" w:hAnsi="Times New Roman" w:cs="Times New Roman"/>
                <w:b w:val="0"/>
                <w:i w:val="0"/>
                <w:caps w:val="0"/>
                <w:sz w:val="16"/>
              </w:rPr>
              <w:t>3.0</w:t>
            </w:r>
          </w:p>
        </w:tc>
        <w:tc>
          <w:tcPr>
            <w:tcW w:type="dxa" w:w="2610"/>
          </w:tcPr>
          <w:p>
            <w:pPr>
              <w:spacing w:after="0"/>
            </w:pPr>
            <w:r>
              <w:rPr>
                <w:rFonts w:ascii="Times New Roman" w:hAnsi="Times New Roman" w:cs="Times New Roman"/>
                <w:b w:val="0"/>
                <w:i w:val="0"/>
                <w:caps w:val="0"/>
                <w:sz w:val="16"/>
              </w:rPr>
              <w:t>3.3</w:t>
            </w:r>
          </w:p>
        </w:tc>
        <w:tc>
          <w:tcPr>
            <w:tcW w:type="dxa" w:w="2610"/>
          </w:tcPr>
          <w:p>
            <w:pPr>
              <w:spacing w:after="0"/>
            </w:pPr>
            <w:r>
              <w:rPr>
                <w:rFonts w:ascii="Times New Roman" w:hAnsi="Times New Roman" w:cs="Times New Roman"/>
                <w:b w:val="0"/>
                <w:i w:val="0"/>
                <w:caps w:val="0"/>
                <w:sz w:val="16"/>
              </w:rPr>
              <w:t>2.8</w:t>
            </w:r>
          </w:p>
        </w:tc>
      </w:tr>
      <w:tr>
        <w:tc>
          <w:tcPr>
            <w:tcW w:type="dxa" w:w="2610"/>
          </w:tcPr>
          <w:p>
            <w:pPr>
              <w:spacing w:after="0"/>
            </w:pPr>
            <w:r>
              <w:rPr>
                <w:rFonts w:ascii="Times New Roman" w:hAnsi="Times New Roman" w:cs="Times New Roman"/>
                <w:b w:val="0"/>
                <w:i w:val="0"/>
                <w:caps w:val="0"/>
                <w:sz w:val="16"/>
              </w:rPr>
              <w:t>Benefit positive in all 160 samples</w:t>
            </w:r>
          </w:p>
        </w:tc>
        <w:tc>
          <w:tcPr>
            <w:tcW w:type="dxa" w:w="2610"/>
          </w:tcPr>
          <w:p>
            <w:pPr>
              <w:spacing w:after="0"/>
            </w:pPr>
            <w:r>
              <w:rPr>
                <w:rFonts w:ascii="Times New Roman" w:hAnsi="Times New Roman" w:cs="Times New Roman"/>
                <w:b w:val="0"/>
                <w:i w:val="0"/>
                <w:caps w:val="0"/>
                <w:sz w:val="16"/>
              </w:rPr>
              <w:t>yes</w:t>
            </w:r>
          </w:p>
        </w:tc>
        <w:tc>
          <w:tcPr>
            <w:tcW w:type="dxa" w:w="2610"/>
          </w:tcPr>
          <w:p>
            <w:pPr>
              <w:spacing w:after="0"/>
            </w:pPr>
            <w:r>
              <w:rPr>
                <w:rFonts w:ascii="Times New Roman" w:hAnsi="Times New Roman" w:cs="Times New Roman"/>
                <w:b w:val="0"/>
                <w:i w:val="0"/>
                <w:caps w:val="0"/>
                <w:sz w:val="16"/>
              </w:rPr>
              <w:t>yes</w:t>
            </w:r>
          </w:p>
        </w:tc>
        <w:tc>
          <w:tcPr>
            <w:tcW w:type="dxa" w:w="2610"/>
          </w:tcPr>
          <w:p>
            <w:pPr>
              <w:spacing w:after="0"/>
            </w:pPr>
            <w:r>
              <w:rPr>
                <w:rFonts w:ascii="Times New Roman" w:hAnsi="Times New Roman" w:cs="Times New Roman"/>
                <w:b w:val="0"/>
                <w:i w:val="0"/>
                <w:caps w:val="0"/>
                <w:sz w:val="16"/>
              </w:rPr>
              <w:t>yes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 xml:space="preserve">The two halves of that table behave differently, and the reason is worth stating because it is the same reason the paper's therapeutic claim is more robust than its epidemiological ones. Correlating the anchors widens the spread of </w:t>
      </w:r>
      <w:r>
        <w:rPr>
          <w:rFonts w:ascii="Times New Roman" w:hAnsi="Times New Roman" w:cs="Times New Roman"/>
          <w:b/>
          <w:i w:val="0"/>
          <w:caps w:val="0"/>
          <w:sz w:val="20"/>
        </w:rPr>
        <w:t>absolute</w:t>
      </w:r>
      <w:r>
        <w:rPr>
          <w:rFonts w:ascii="Times New Roman" w:hAnsi="Times New Roman" w:cs="Times New Roman"/>
          <w:b w:val="0"/>
          <w:i w:val="0"/>
          <w:caps w:val="0"/>
          <w:sz w:val="20"/>
        </w:rPr>
        <w:t xml:space="preserve"> loss substantially, since a common-mode error in the clock moves the whole trajectory: the central 95% range for untreated loss at 70 grows by a third, from 36.9 to 48.7 percentage points. It leaves the </w:t>
      </w:r>
      <w:r>
        <w:rPr>
          <w:rFonts w:ascii="Times New Roman" w:hAnsi="Times New Roman" w:cs="Times New Roman"/>
          <w:b/>
          <w:i w:val="0"/>
          <w:caps w:val="0"/>
          <w:sz w:val="20"/>
        </w:rPr>
        <w:t>benefit</w:t>
      </w:r>
      <w:r>
        <w:rPr>
          <w:rFonts w:ascii="Times New Roman" w:hAnsi="Times New Roman" w:cs="Times New Roman"/>
          <w:b w:val="0"/>
          <w:i w:val="0"/>
          <w:caps w:val="0"/>
          <w:sz w:val="20"/>
        </w:rPr>
        <w:t xml:space="preserve"> essentially untouched: the median moves by 0.05 points across the whole range of coupling, the width does not trend, and the benefit stays positive in every sample at every correlation. The benefit is a difference between two arms simulated with the same sampled parameters and the same seeds, so a systematic error in the clock largely cancels in that difference while surviving in each arm separately.</w:t>
      </w:r>
    </w:p>
    <w:p>
      <w:pPr>
        <w:spacing w:after="60" w:before="0" w:line="240" w:lineRule="auto"/>
        <w:ind w:firstLine="288"/>
        <w:jc w:val="both"/>
      </w:pPr>
      <w:r>
        <w:rPr>
          <w:rFonts w:ascii="Times New Roman" w:hAnsi="Times New Roman" w:cs="Times New Roman"/>
          <w:b w:val="0"/>
          <w:i w:val="0"/>
          <w:caps w:val="0"/>
          <w:sz w:val="20"/>
        </w:rPr>
        <w:t xml:space="preserve">One further comparison belongs here, because it cuts against the paper rather than for it. The ρ = 0 arm of this analysis is the same model and the same ranges as Section III-M, differing only in sampler: copula draws rather than a Latin hypercube. Its median agrees to two decimal places, 11.48 in both, which is the check that the implementation is sound. But its central 95% range is 6.4 to 21.2 points against 7.4 to 17.5 from the Latin hypercube, about 45% wider. Latin hypercube sampling stratifies each margin and so reduces the variance of the ensemble, which means </w:t>
      </w:r>
      <w:r>
        <w:rPr>
          <w:rFonts w:ascii="Times New Roman" w:hAnsi="Times New Roman" w:cs="Times New Roman"/>
          <w:b/>
          <w:i w:val="0"/>
          <w:caps w:val="0"/>
          <w:sz w:val="20"/>
        </w:rPr>
        <w:t>part of the narrowness of the interval reported in Section III-M is a property of the sampler rather than of the model.</w:t>
      </w:r>
      <w:r>
        <w:rPr>
          <w:rFonts w:ascii="Times New Roman" w:hAnsi="Times New Roman" w:cs="Times New Roman"/>
          <w:b w:val="0"/>
          <w:i w:val="0"/>
          <w:caps w:val="0"/>
          <w:sz w:val="20"/>
        </w:rPr>
        <w:t xml:space="preserve"> The wider figure is the more conservative one. Neither is a probability statement, for the reasons given in Section III-M, and the claim that does not depend on the choice is the one to carry: across 640 recalibrated samples drawn four different ways, the benefit of achievable MSH3 lowering was positive in every single one.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439681"/>
            <wp:docPr id="17" name="Picture 17"/>
            <wp:cNvGraphicFramePr>
              <a:graphicFrameLocks noChangeAspect="1"/>
            </wp:cNvGraphicFramePr>
            <a:graphic>
              <a:graphicData uri="http://schemas.openxmlformats.org/drawingml/2006/picture">
                <pic:pic>
                  <pic:nvPicPr>
                    <pic:cNvPr id="0" name="fig16_anchor_correlation.png"/>
                    <pic:cNvPicPr/>
                  </pic:nvPicPr>
                  <pic:blipFill>
                    <a:blip r:embed="rId25"/>
                    <a:stretch>
                      <a:fillRect/>
                    </a:stretch>
                  </pic:blipFill>
                  <pic:spPr>
                    <a:xfrm>
                      <a:off x="0" y="0"/>
                      <a:ext cx="6492240" cy="3439681"/>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17.  </w:t>
      </w:r>
      <w:r>
        <w:rPr>
          <w:rFonts w:ascii="Times New Roman" w:hAnsi="Times New Roman" w:cs="Times New Roman"/>
          <w:b/>
          <w:i w:val="0"/>
          <w:caps w:val="0"/>
          <w:sz w:val="16"/>
        </w:rPr>
        <w:t>Coupling the calibration anchors.</w:t>
      </w:r>
      <w:r>
        <w:rPr>
          <w:rFonts w:ascii="Times New Roman" w:hAnsi="Times New Roman" w:cs="Times New Roman"/>
          <w:b w:val="0"/>
          <w:i w:val="0"/>
          <w:caps w:val="0"/>
          <w:sz w:val="16"/>
        </w:rPr>
        <w:t xml:space="preserve"> (A) Distribution of the predicted benefit at three strengths of correlation among the three dwell-time anchors. (B) Central 95% width and minimum of the benefit against latent correlation. The spread does not trend and the minimum stays well above zero.</w:t>
      </w: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IV.  Discussion</w:t>
      </w:r>
    </w:p>
    <w:p>
      <w:pPr>
        <w:spacing w:after="40" w:before="120" w:line="240" w:lineRule="auto"/>
        <w:ind w:firstLine="0"/>
        <w:jc w:val="left"/>
      </w:pPr>
      <w:r>
        <w:rPr>
          <w:rFonts w:ascii="Times New Roman" w:hAnsi="Times New Roman" w:cs="Times New Roman"/>
          <w:b w:val="0"/>
          <w:i/>
          <w:caps w:val="0"/>
          <w:sz w:val="20"/>
        </w:rPr>
        <w:t>A.  What the model says</w:t>
      </w:r>
    </w:p>
    <w:p>
      <w:pPr>
        <w:spacing w:after="60" w:before="0" w:line="240" w:lineRule="auto"/>
        <w:ind w:firstLine="288"/>
        <w:jc w:val="both"/>
      </w:pPr>
      <w:r>
        <w:rPr>
          <w:rFonts w:ascii="Times New Roman" w:hAnsi="Times New Roman" w:cs="Times New Roman"/>
          <w:b w:val="0"/>
          <w:i w:val="0"/>
          <w:caps w:val="0"/>
          <w:sz w:val="20"/>
        </w:rPr>
        <w:t>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once its width is fixed, and somewhere between about 75 and 99 repeats when the two are read jointly, while the thermodynamic parameter that a more conventional model would have leaned on is not determined at all.</w:t>
      </w:r>
    </w:p>
    <w:p>
      <w:pPr>
        <w:spacing w:after="60" w:before="0" w:line="240" w:lineRule="auto"/>
        <w:ind w:firstLine="288"/>
        <w:jc w:val="both"/>
      </w:pPr>
      <w:r>
        <w:rPr>
          <w:rFonts w:ascii="Times New Roman" w:hAnsi="Times New Roman" w:cs="Times New Roman"/>
          <w:b w:val="0"/>
          <w:i w:val="0"/>
          <w:caps w:val="0"/>
          <w:sz w:val="20"/>
        </w:rPr>
        <w:t>MSH3 lowering acts on the process with an order the data place at or near one, so suppression tracks target engagement close to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spacing w:after="60" w:before="0" w:line="240" w:lineRule="auto"/>
        <w:ind w:firstLine="288"/>
        <w:jc w:val="both"/>
      </w:pPr>
      <w:r>
        <w:rPr>
          <w:rFonts w:ascii="Times New Roman" w:hAnsi="Times New Roman" w:cs="Times New Roman"/>
          <w:b w:val="0"/>
          <w:i w:val="0"/>
          <w:caps w:val="0"/>
          <w:sz w:val="20"/>
        </w:rPr>
        <w:t>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13.7 percentage points of striatum by age 70 at the central fit, or a median of 11.5 points across the recalibrated ensemble of Section III-M. That is a genuine disease-modifying effect, and Section III-L says a trial of ordinary size would see it. But it is a small fraction of what the target can deliver, since 75% knockdown pushes the same cohort past the end of a simulated lifespan.</w:t>
      </w:r>
    </w:p>
    <w:p>
      <w:pPr>
        <w:spacing w:after="40" w:before="120" w:line="240" w:lineRule="auto"/>
        <w:ind w:firstLine="0"/>
        <w:jc w:val="left"/>
      </w:pPr>
      <w:r>
        <w:rPr>
          <w:rFonts w:ascii="Times New Roman" w:hAnsi="Times New Roman" w:cs="Times New Roman"/>
          <w:b w:val="0"/>
          <w:i/>
          <w:caps w:val="0"/>
          <w:sz w:val="20"/>
        </w:rPr>
        <w:t>B.  An engineering specification, written in numbers</w:t>
      </w:r>
    </w:p>
    <w:p>
      <w:pPr>
        <w:spacing w:after="60" w:before="0" w:line="240" w:lineRule="auto"/>
        <w:ind w:firstLine="288"/>
        <w:jc w:val="both"/>
      </w:pPr>
      <w:r>
        <w:rPr>
          <w:rFonts w:ascii="Times New Roman" w:hAnsi="Times New Roman" w:cs="Times New Roman"/>
          <w:b w:val="0"/>
          <w:i w:val="0"/>
          <w:caps w:val="0"/>
          <w:sz w:val="20"/>
        </w:rPr>
        <w:t>The point of building a model like this is that it turns a biological ambition into figures a formulation or device team can work against.</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Target engagement of at least 70% reduction in MSH3 protein in putaminal projection neurons.</w:t>
      </w:r>
      <w:r>
        <w:rPr>
          <w:rFonts w:ascii="Times New Roman" w:hAnsi="Times New Roman" w:cs="Times New Roman"/>
          <w:b w:val="0"/>
          <w:i w:val="0"/>
          <w:caps w:val="0"/>
          <w:sz w:val="20"/>
        </w:rPr>
        <w:t xml:space="preserve"> Not in cerebrospinal fluid, not in cortex, and not in bulk striatal tissue. Bulk measurement underestimates what is needed, because projection neurons are the cells that expand and they are a minority of the tissue.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Begin before age 30</w:t>
      </w:r>
      <w:r>
        <w:rPr>
          <w:rFonts w:ascii="Times New Roman" w:hAnsi="Times New Roman" w:cs="Times New Roman"/>
          <w:b w:val="0"/>
          <w:i w:val="0"/>
          <w:caps w:val="0"/>
          <w:sz w:val="20"/>
        </w:rPr>
        <w:t>, and earlier for carriers above 45 repeats. The delay to 25% loss falls steeply with each decade of delay, from 12.6 years when treatment begins at 20 to 8.2 at 30, 3.8 at 40 and nothing at 50. Striatum preserved at age 70 erodes more gently over the same range, 17.9 to 13.7 to 9.7 to 7.3 percentage points, so late treatment is not useless, it simply stops moving the endpoint that matters clinically.</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Required tissue exposure of about 25 nmol per gram</w:t>
      </w:r>
      <w:r>
        <w:rPr>
          <w:rFonts w:ascii="Times New Roman" w:hAnsi="Times New Roman" w:cs="Times New Roman"/>
          <w:b w:val="0"/>
          <w:i w:val="0"/>
          <w:caps w:val="0"/>
          <w:sz w:val="20"/>
        </w:rPr>
        <w:t>, which is about 7 mg inside a 20 g human striatum at an assumed molecular weight of 14 kDa, and 3.5 to 14 mg across the 7 to 28 kDa range swept.</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Dose at an interval no longer than the tissue half-life.</w:t>
      </w:r>
      <w:r>
        <w:rPr>
          <w:rFonts w:ascii="Times New Roman" w:hAnsi="Times New Roman" w:cs="Times New Roman"/>
          <w:b w:val="0"/>
          <w:i w:val="0"/>
          <w:caps w:val="0"/>
          <w:sz w:val="20"/>
        </w:rPr>
        <w:t xml:space="preserve"> Annual dosing with a three-month half-life throws away 15 of the 35 available percentage points of benefit. This costs nothing to fix and is the cheapest improvement available anywhere in this analysis.</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A systemic transcytosis route needs an 18 to 36-fold improvement</w:t>
      </w:r>
      <w:r>
        <w:rPr>
          <w:rFonts w:ascii="Times New Roman" w:hAnsi="Times New Roman" w:cs="Times New Roman"/>
          <w:b w:val="0"/>
          <w:i w:val="0"/>
          <w:caps w:val="0"/>
          <w:sz w:val="20"/>
        </w:rPr>
        <w:t xml:space="preserve"> in parenchymal delivery over the best measured transferrin-receptor design, or 17 to 40-fold once the uncertainty in the exposure-response curve is carried through (Section III-N). Affinity and valency optimisation, to monovalent binding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near 135 nM, supplies about two-fold of that. Endosomal escape is the dominant remaining term and the most promising place to engineer.</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The trial endpoint must be striatal MSH3 protein</w:t>
      </w:r>
      <w:r>
        <w:rPr>
          <w:rFonts w:ascii="Times New Roman" w:hAnsi="Times New Roman" w:cs="Times New Roman"/>
          <w:b w:val="0"/>
          <w:i w:val="0"/>
          <w:caps w:val="0"/>
          <w:sz w:val="20"/>
        </w:rPr>
        <w:t>,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Invest in imaging reproducibility alongside target engagement.</w:t>
      </w:r>
      <w:r>
        <w:rPr>
          <w:rFonts w:ascii="Times New Roman" w:hAnsi="Times New Roman" w:cs="Times New Roman"/>
          <w:b w:val="0"/>
          <w:i w:val="0"/>
          <w:caps w:val="0"/>
          <w:sz w:val="20"/>
        </w:rPr>
        <w:t xml:space="preserve"> A reduction in endpoint measurement error from 4 to 2 percentage points cuts the required sample size nearly four-fold, which is a larger effect than doubling target engagement.</w:t>
      </w:r>
    </w:p>
    <w:p>
      <w:pPr>
        <w:spacing w:after="40" w:before="120" w:line="240" w:lineRule="auto"/>
        <w:ind w:firstLine="0"/>
        <w:jc w:val="left"/>
      </w:pPr>
      <w:r>
        <w:rPr>
          <w:rFonts w:ascii="Times New Roman" w:hAnsi="Times New Roman" w:cs="Times New Roman"/>
          <w:b w:val="0"/>
          <w:i/>
          <w:caps w:val="0"/>
          <w:sz w:val="20"/>
        </w:rPr>
        <w:t>C.  Predictions that could falsify this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Clinical motor onset should correspond to 18 to 31% projection-neuron loss, rising with inherited CAG length. Much more than that and the dwell-time-faithful model is wrong. Two caveats travel with this number and neither is small. The onset ages it is read against come from a regression that needs a parental age at onset, assumed here to be 45 years, and moving that assumption across 35 to 55 years moves the range from 15 to 24% at the low end to 22 to 38% at the high end (Section III-E). And under the alternative calibration of Section III-E the same prediction becomes 36 to 52%, so a post-mortem series reporting half the striatum gone at diagnosis would not falsify the model, it would select between two parameterisations of it. What would falsify the model is loss substantially above that, or no relationship between loss and CAP score at all.</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The relationship between CAP score and neuron loss should follow the trajectory in Fig. 12B. A well-powered post-mortem series spread across the CAP range would discriminate the two bracketing models immediately, and would resolve the one genuine inconsistency in this work.</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Because the productive MutSβ species is not a cooperative assembly, partial MSH3 lowering should suppress somatic expansion in human striatal neurons with no cooperative threshold to clear: a 50% reduction in MSH3 should buy roughly half the available suppression, not a quarter or an eighth. This is directly testable in patient-derived striatal cultures, where antisense-mediated MSH3 suppression has already been shown to reduce expansion [11]; what has not been done is a dose titration fine enough to separate a first-order dependence from a mildly cooperative one. That titration is the single most informative experiment this model points to, because the therapeutic argument rests on it and because the two measured mouse doses can only exclude strong cooperativity, not pin the order.</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 xml:space="preserve">Expansion rate should rise sharply rather than smoothly as tracts pass eighty repeats, and the rise should be </w:t>
      </w:r>
      <w:r>
        <w:rPr>
          <w:rFonts w:ascii="Times New Roman" w:hAnsi="Times New Roman" w:cs="Times New Roman"/>
          <w:b/>
          <w:i w:val="0"/>
          <w:caps w:val="0"/>
          <w:sz w:val="20"/>
        </w:rPr>
        <w:t>complete within about four to eight repeats</w:t>
      </w:r>
      <w:r>
        <w:rPr>
          <w:rFonts w:ascii="Times New Roman" w:hAnsi="Times New Roman" w:cs="Times New Roman"/>
          <w:b w:val="0"/>
          <w:i w:val="0"/>
          <w:caps w:val="0"/>
          <w:sz w:val="20"/>
        </w:rPr>
        <w:t>. That window is not a modelling choice but what the published dwell times require (Section III-A), and it is the most quantitative version of the switch claim available. A transition measurably more gradual than that would falsify the structure, not merely shift a parameter. The position should also shift with anything that alters slip-out spacing; CAA interruption is the obvious test case, and Section III-G gives the predicted size of the shift in years.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p>
      <w:pPr>
        <w:spacing w:after="40" w:before="120" w:line="240" w:lineRule="auto"/>
        <w:ind w:firstLine="0"/>
        <w:jc w:val="left"/>
      </w:pPr>
      <w:r>
        <w:rPr>
          <w:rFonts w:ascii="Times New Roman" w:hAnsi="Times New Roman" w:cs="Times New Roman"/>
          <w:b w:val="0"/>
          <w:i/>
          <w:caps w:val="0"/>
          <w:sz w:val="20"/>
        </w:rPr>
        <w:t>D.  Where this sits in the field</w:t>
      </w:r>
    </w:p>
    <w:p>
      <w:pPr>
        <w:spacing w:after="60" w:before="0" w:line="240" w:lineRule="auto"/>
        <w:ind w:firstLine="288"/>
        <w:jc w:val="both"/>
      </w:pPr>
      <w:r>
        <w:rPr>
          <w:rFonts w:ascii="Times New Roman" w:hAnsi="Times New Roman" w:cs="Times New Roman"/>
          <w:b w:val="0"/>
          <w:i w:val="0"/>
          <w:caps w:val="0"/>
          <w:sz w:val="20"/>
        </w:rPr>
        <w:t>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III-G quantifies it: FAN1 is the single strongest lever in the model and also the least tractable pharmacologically.</w:t>
      </w:r>
    </w:p>
    <w:p>
      <w:pPr>
        <w:spacing w:after="60" w:before="0" w:line="240" w:lineRule="auto"/>
        <w:ind w:firstLine="288"/>
        <w:jc w:val="both"/>
      </w:pPr>
      <w:r>
        <w:rPr>
          <w:rFonts w:ascii="Times New Roman" w:hAnsi="Times New Roman" w:cs="Times New Roman"/>
          <w:b w:val="0"/>
          <w:i w:val="0"/>
          <w:caps w:val="0"/>
          <w:sz w:val="20"/>
        </w:rPr>
        <w:t>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spacing w:after="60" w:before="0" w:line="240" w:lineRule="auto"/>
        <w:ind w:firstLine="288"/>
        <w:jc w:val="both"/>
      </w:pPr>
      <w:r>
        <w:rPr>
          <w:rFonts w:ascii="Times New Roman" w:hAnsi="Times New Roman" w:cs="Times New Roman"/>
          <w:b w:val="0"/>
          <w:i w:val="0"/>
          <w:caps w:val="0"/>
          <w:sz w:val="20"/>
        </w:rPr>
        <w:t>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That the fit worked is no surprise, since four parameters against four targets should fit. What is worth noticing is how much the fitted structure went on to get right about data it was never shown, and that where it got things wrong, in the fraction of neurons that never expand, in the upper tail of terminal lengths and in end-stage loss, the failures pointed at specific assumptions rather than at the structure as a whole.</w:t>
      </w:r>
    </w:p>
    <w:p>
      <w:pPr>
        <w:spacing w:after="60" w:before="160" w:line="240" w:lineRule="auto"/>
        <w:ind w:firstLine="0"/>
        <w:jc w:val="center"/>
      </w:pPr>
      <w:r>
        <w:rPr>
          <w:rFonts w:ascii="Times New Roman" w:hAnsi="Times New Roman" w:cs="Times New Roman"/>
          <w:b w:val="0"/>
          <w:i w:val="0"/>
          <w:caps/>
          <w:sz w:val="20"/>
        </w:rPr>
        <w:t>V.  Limitations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No primary data.</w:t>
      </w:r>
      <w:r>
        <w:rPr>
          <w:rFonts w:ascii="Times New Roman" w:hAnsi="Times New Roman" w:cs="Times New Roman"/>
          <w:b w:val="0"/>
          <w:i w:val="0"/>
          <w:caps w:val="0"/>
          <w:sz w:val="20"/>
        </w:rPr>
        <w:t xml:space="preserve"> Every calibration target is a published summary statistic, and several of them are themselves model-derived. The transit times in [1] come from a simulation rather than from longitudinal measurement of single cells, so this model inherits the assumptions of that one.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The functional form of the rate law is assumed.</w:t>
      </w:r>
      <w:r>
        <w:rPr>
          <w:rFonts w:ascii="Times New Roman" w:hAnsi="Times New Roman" w:cs="Times New Roman"/>
          <w:b w:val="0"/>
          <w:i w:val="0"/>
          <w:caps w:val="0"/>
          <w:sz w:val="20"/>
        </w:rPr>
        <w:t xml:space="preserve"> Each factor in λ(L) is sourced, but writing them as a product is not: it assumes the steps are independent and sequential. The fit cannot test that assumption, because a different combination rule with its own four free parameters would very likely also reproduce four anchors. What the data constrain is the shape of the length dependence, not the algebra that produces it.</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A key biochemical source is a preprint.</w:t>
      </w:r>
      <w:r>
        <w:rPr>
          <w:rFonts w:ascii="Times New Roman" w:hAnsi="Times New Roman" w:cs="Times New Roman"/>
          <w:b w:val="0"/>
          <w:i w:val="0"/>
          <w:caps w:val="0"/>
          <w:sz w:val="20"/>
        </w:rPr>
        <w:t xml:space="preserve"> The MutSβ footprint and stoichiometry [3] come from a bioRxiv preprint that has not been peer reviewed. The sensitivity analysis shows the footprint is immaterial, for the structural reason given in Section III-M, but the qualitative tandem-binding picture is not independently confirmed here.</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The discrepancy with end-stage autopsy data is only partly resolved</w:t>
      </w:r>
      <w:r>
        <w:rPr>
          <w:rFonts w:ascii="Times New Roman" w:hAnsi="Times New Roman" w:cs="Times New Roman"/>
          <w:b w:val="0"/>
          <w:i w:val="0"/>
          <w:caps w:val="0"/>
          <w:sz w:val="20"/>
        </w:rPr>
        <w:t>, and not explained away. Section III-E shows that refitting against the right transit-time estimator closes more than half of it, which leaves a smaller gap than the raw comparison in Section III-D suggests but does not close it. The remainder is attributed to "CAP above 600" describing a late-stage autopsy population rather than a threshold, which is reasonable and is the least convenient reading for the author's own argument, but is not demonstrated.</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The exposure-response curve has zero degrees of freedom and is used outside its calibrated range.</w:t>
      </w:r>
      <w:r>
        <w:rPr>
          <w:rFonts w:ascii="Times New Roman" w:hAnsi="Times New Roman" w:cs="Times New Roman"/>
          <w:b w:val="0"/>
          <w:i w:val="0"/>
          <w:caps w:val="0"/>
          <w:sz w:val="20"/>
        </w:rPr>
        <w:t xml:space="preserve"> Two parameters fitted to two mouse doses interpolate exactly, so the curve cannot be wrong on its own data and its Hill coefficient of 1.22 is a consequence of the fit rather than a measurement of cooperativity. The two points span 7.5 to 25 nmol g⁻¹ and the curve is applied from 4.1 to 388 nmol g⁻¹. Every number in the delivery and dosing analysis passes through it. Section III-N now quantifies what that costs rather than leaving it as a caution, and the answer is more reassuring than the construction suggests: because the two doses straddle the fitted EC₅₀, they constrain the Hill coefficient to 1.05 to 1.35 at a 10% tolerance, and the headline requirement of 25 nmol g⁻¹ moves only to 23.1 to 28.1 across that window. The limitation that remains is specifically about the top of the range: at 90% knockdown the band is −15 to +29%, and the dosing grid of Section III-K reaches 388 nmol g⁻¹, fifteen times the highest calibration point and far outside anything the two doses can constrain. Those rows show the shape of the half-life-to-interval trade-off, not calibrated exposures. Fig. 9A marks the calibrated interval and Fig. 16 the admissible window.</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The primate engagement figures are not MSH3 and are not protein.</w:t>
      </w:r>
      <w:r>
        <w:rPr>
          <w:rFonts w:ascii="Times New Roman" w:hAnsi="Times New Roman" w:cs="Times New Roman"/>
          <w:b w:val="0"/>
          <w:i w:val="0"/>
          <w:caps w:val="0"/>
          <w:sz w:val="20"/>
        </w:rPr>
        <w:t xml:space="preserve"> They are residual </w:t>
      </w:r>
      <w:r>
        <w:rPr>
          <w:rFonts w:ascii="Times New Roman" w:hAnsi="Times New Roman" w:cs="Times New Roman"/>
          <w:b w:val="0"/>
          <w:i/>
          <w:caps w:val="0"/>
          <w:sz w:val="20"/>
        </w:rPr>
        <w:t>Malat1</w:t>
      </w:r>
      <w:r>
        <w:rPr>
          <w:rFonts w:ascii="Times New Roman" w:hAnsi="Times New Roman" w:cs="Times New Roman"/>
          <w:b w:val="0"/>
          <w:i w:val="0"/>
          <w:caps w:val="0"/>
          <w:sz w:val="20"/>
        </w:rPr>
        <w:t xml:space="preserve"> RNA from a reporter study of intrathecal oligonucleotide distribution [7], used as a property of the route and the cell type. Target equivalence and the substitution of residual RNA for residual protein are both assumed, and the second cannot be checked in the source because the target has no protein product.</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The midpoint of the length switch is conditional on its width.</w:t>
      </w:r>
      <w:r>
        <w:rPr>
          <w:rFonts w:ascii="Times New Roman" w:hAnsi="Times New Roman" w:cs="Times New Roman"/>
          <w:b w:val="0"/>
          <w:i w:val="0"/>
          <w:caps w:val="0"/>
          <w:sz w:val="20"/>
        </w:rPr>
        <w:t xml:space="preserve"> The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was fixed at 6 repeats before fitting, so it began as an input. Section III-A profiles it and the anchors turn out to constrain it: an exact fit exists only between 4.0 and 7.5 repeats. That converts the sharpness from an assumption into a result, and it is reported as one. What remains conditional is the midpoint, because position and width move together: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ranges from 76.4 to 85.3 repeats across the widths that fit, and from 74.6 to 101.6 across the full swept range. The specific figure of 80.2 repeats holds only at a width of exactly 6 and should not be quoted alone.</w:t>
      </w:r>
    </w:p>
    <w:p>
      <w:pPr>
        <w:spacing w:after="40" w:before="0" w:line="240" w:lineRule="auto"/>
        <w:ind w:left="288" w:hanging="173"/>
        <w:jc w:val="both"/>
      </w:pPr>
      <w:r>
        <w:rPr>
          <w:rFonts w:ascii="Times New Roman" w:hAnsi="Times New Roman" w:cs="Times New Roman"/>
          <w:b w:val="0"/>
          <w:i w:val="0"/>
          <w:caps w:val="0"/>
          <w:sz w:val="20"/>
        </w:rPr>
        <w:t xml:space="preserve">8) </w:t>
      </w:r>
      <w:r>
        <w:rPr>
          <w:rFonts w:ascii="Times New Roman" w:hAnsi="Times New Roman" w:cs="Times New Roman"/>
          <w:b/>
          <w:i w:val="0"/>
          <w:caps w:val="0"/>
          <w:sz w:val="20"/>
        </w:rPr>
        <w:t>Calibration fits a mean-field integral, and the stochastic process it stands for is 21 to 50% slower.</w:t>
      </w:r>
      <w:r>
        <w:rPr>
          <w:rFonts w:ascii="Times New Roman" w:hAnsi="Times New Roman" w:cs="Times New Roman"/>
          <w:b w:val="0"/>
          <w:i w:val="0"/>
          <w:caps w:val="0"/>
          <w:sz w:val="20"/>
        </w:rPr>
        <w:t xml:space="preserve"> Section III-E refits against stochastic first-passage times and reports the consequences: the switch position and the therapeutic benefit barely move, end-stage loss rises substantially, and loss at predicted onset rises from 18 to 31% to 36 to 52%. Which estimator the published anchors represent is not recoverable from the source, so both parameterisations are carried. Readers who prefer the stochastic one should read every age in this paper as several years earlier and every end-stage loss figure as considerably higher.</w:t>
      </w:r>
    </w:p>
    <w:p>
      <w:pPr>
        <w:spacing w:after="40" w:before="0" w:line="240" w:lineRule="auto"/>
        <w:ind w:left="288" w:hanging="173"/>
        <w:jc w:val="both"/>
      </w:pPr>
      <w:r>
        <w:rPr>
          <w:rFonts w:ascii="Times New Roman" w:hAnsi="Times New Roman" w:cs="Times New Roman"/>
          <w:b w:val="0"/>
          <w:i w:val="0"/>
          <w:caps w:val="0"/>
          <w:sz w:val="20"/>
        </w:rPr>
        <w:t xml:space="preserve">9) </w:t>
      </w:r>
      <w:r>
        <w:rPr>
          <w:rFonts w:ascii="Times New Roman" w:hAnsi="Times New Roman" w:cs="Times New Roman"/>
          <w:b/>
          <w:i w:val="0"/>
          <w:caps w:val="0"/>
          <w:sz w:val="20"/>
        </w:rPr>
        <w:t>A small protected fraction of neurons is not reproduced.</w:t>
      </w:r>
      <w:r>
        <w:rPr>
          <w:rFonts w:ascii="Times New Roman" w:hAnsi="Times New Roman" w:cs="Times New Roman"/>
          <w:b w:val="0"/>
          <w:i w:val="0"/>
          <w:caps w:val="0"/>
          <w:sz w:val="20"/>
        </w:rPr>
        <w:t xml:space="preserve"> The model expands essentially every neuron beyond its inherited length where 95 to 98% is reported, so whatever keeps a few percent of tracts static over decades is absent from it. Nothing downstream turns on those neurons, but it is a failed comparison and Section III-C counts it as one.</w:t>
      </w:r>
    </w:p>
    <w:p>
      <w:pPr>
        <w:spacing w:after="40" w:before="0" w:line="240" w:lineRule="auto"/>
        <w:ind w:left="288" w:hanging="173"/>
        <w:jc w:val="both"/>
      </w:pPr>
      <w:r>
        <w:rPr>
          <w:rFonts w:ascii="Times New Roman" w:hAnsi="Times New Roman" w:cs="Times New Roman"/>
          <w:b w:val="0"/>
          <w:i w:val="0"/>
          <w:caps w:val="0"/>
          <w:sz w:val="20"/>
        </w:rPr>
        <w:t xml:space="preserve">10) </w:t>
      </w:r>
      <w:r>
        <w:rPr>
          <w:rFonts w:ascii="Times New Roman" w:hAnsi="Times New Roman" w:cs="Times New Roman"/>
          <w:b/>
          <w:i w:val="0"/>
          <w:caps w:val="0"/>
          <w:sz w:val="20"/>
        </w:rPr>
        <w:t>Species scaling is crude.</w:t>
      </w:r>
      <w:r>
        <w:rPr>
          <w:rFonts w:ascii="Times New Roman" w:hAnsi="Times New Roman" w:cs="Times New Roman"/>
          <w:b w:val="0"/>
          <w:i w:val="0"/>
          <w:caps w:val="0"/>
          <w:sz w:val="20"/>
        </w:rPr>
        <w:t xml:space="preserve"> The macaque-to-human penetration correction uses cube-root geometric scaling and an assumed putaminal depth. The direction is robust, the magnitude is not, and a real answer would need a diffusion model on actual human anatomy.</w:t>
      </w:r>
    </w:p>
    <w:p>
      <w:pPr>
        <w:spacing w:after="40" w:before="0" w:line="240" w:lineRule="auto"/>
        <w:ind w:left="288" w:hanging="173"/>
        <w:jc w:val="both"/>
      </w:pPr>
      <w:r>
        <w:rPr>
          <w:rFonts w:ascii="Times New Roman" w:hAnsi="Times New Roman" w:cs="Times New Roman"/>
          <w:b w:val="0"/>
          <w:i w:val="0"/>
          <w:caps w:val="0"/>
          <w:sz w:val="20"/>
        </w:rPr>
        <w:t xml:space="preserve">11) </w:t>
      </w:r>
      <w:r>
        <w:rPr>
          <w:rFonts w:ascii="Times New Roman" w:hAnsi="Times New Roman" w:cs="Times New Roman"/>
          <w:b/>
          <w:i w:val="0"/>
          <w:caps w:val="0"/>
          <w:sz w:val="20"/>
        </w:rPr>
        <w:t>The pharmacodynamic link crosses species and timescales.</w:t>
      </w:r>
      <w:r>
        <w:rPr>
          <w:rFonts w:ascii="Times New Roman" w:hAnsi="Times New Roman" w:cs="Times New Roman"/>
          <w:b w:val="0"/>
          <w:i w:val="0"/>
          <w:caps w:val="0"/>
          <w:sz w:val="20"/>
        </w:rPr>
        <w:t xml:space="preserve"> Proportionality between MSH3 protein and expansion suppression was measured in mouse striatum over three months and is assumed here to hold in human projection neurons over decades.</w:t>
      </w:r>
    </w:p>
    <w:p>
      <w:pPr>
        <w:spacing w:after="40" w:before="0" w:line="240" w:lineRule="auto"/>
        <w:ind w:left="288" w:hanging="173"/>
        <w:jc w:val="both"/>
      </w:pPr>
      <w:r>
        <w:rPr>
          <w:rFonts w:ascii="Times New Roman" w:hAnsi="Times New Roman" w:cs="Times New Roman"/>
          <w:b w:val="0"/>
          <w:i w:val="0"/>
          <w:caps w:val="0"/>
          <w:sz w:val="20"/>
        </w:rPr>
        <w:t xml:space="preserve">12) </w:t>
      </w:r>
      <w:r>
        <w:rPr>
          <w:rFonts w:ascii="Times New Roman" w:hAnsi="Times New Roman" w:cs="Times New Roman"/>
          <w:b/>
          <w:i w:val="0"/>
          <w:caps w:val="0"/>
          <w:sz w:val="20"/>
        </w:rPr>
        <w:t>Nanocarrier pharmacokinetics collapse into a single efficiency term.</w:t>
      </w:r>
      <w:r>
        <w:rPr>
          <w:rFonts w:ascii="Times New Roman" w:hAnsi="Times New Roman" w:cs="Times New Roman"/>
          <w:b w:val="0"/>
          <w:i w:val="0"/>
          <w:caps w:val="0"/>
          <w:sz w:val="20"/>
        </w:rPr>
        <w:t xml:space="preserve"> 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spacing w:after="40" w:before="0" w:line="240" w:lineRule="auto"/>
        <w:ind w:left="288" w:hanging="173"/>
        <w:jc w:val="both"/>
      </w:pPr>
      <w:r>
        <w:rPr>
          <w:rFonts w:ascii="Times New Roman" w:hAnsi="Times New Roman" w:cs="Times New Roman"/>
          <w:b w:val="0"/>
          <w:i w:val="0"/>
          <w:caps w:val="0"/>
          <w:sz w:val="20"/>
        </w:rPr>
        <w:t xml:space="preserve">13) </w:t>
      </w:r>
      <w:r>
        <w:rPr>
          <w:rFonts w:ascii="Times New Roman" w:hAnsi="Times New Roman" w:cs="Times New Roman"/>
          <w:b/>
          <w:i w:val="0"/>
          <w:caps w:val="0"/>
          <w:sz w:val="20"/>
        </w:rPr>
        <w:t>Endosomal escape at 2% is assumed</w:t>
      </w:r>
      <w:r>
        <w:rPr>
          <w:rFonts w:ascii="Times New Roman" w:hAnsi="Times New Roman" w:cs="Times New Roman"/>
          <w:b w:val="0"/>
          <w:i w:val="0"/>
          <w:caps w:val="0"/>
          <w:sz w:val="20"/>
        </w:rPr>
        <w:t>, and it scales the systemic dose requirement linearly. It is the least constrained number in the delivery analysis, which is why it is swept rather than asserted in Fig. 10B.</w:t>
      </w:r>
    </w:p>
    <w:p>
      <w:pPr>
        <w:spacing w:after="40" w:before="0" w:line="240" w:lineRule="auto"/>
        <w:ind w:left="288" w:hanging="173"/>
        <w:jc w:val="both"/>
      </w:pPr>
      <w:r>
        <w:rPr>
          <w:rFonts w:ascii="Times New Roman" w:hAnsi="Times New Roman" w:cs="Times New Roman"/>
          <w:b w:val="0"/>
          <w:i w:val="0"/>
          <w:caps w:val="0"/>
          <w:sz w:val="20"/>
        </w:rPr>
        <w:t xml:space="preserve">14) </w:t>
      </w:r>
      <w:r>
        <w:rPr>
          <w:rFonts w:ascii="Times New Roman" w:hAnsi="Times New Roman" w:cs="Times New Roman"/>
          <w:b/>
          <w:i w:val="0"/>
          <w:caps w:val="0"/>
          <w:sz w:val="20"/>
        </w:rPr>
        <w:t>Neurons are independent</w:t>
      </w:r>
      <w:r>
        <w:rPr>
          <w:rFonts w:ascii="Times New Roman" w:hAnsi="Times New Roman" w:cs="Times New Roman"/>
          <w:b w:val="0"/>
          <w:i w:val="0"/>
          <w:caps w:val="0"/>
          <w:sz w:val="20"/>
        </w:rPr>
        <w:t xml:space="preserve"> except in the explicit coupling test of Section III-D, and non-neuronal contributions are omitted entirely. Astrocytic glutamate handling, microglial activation and loss of corticostriatal input are all part of the real disease and none of them are here.</w:t>
      </w:r>
    </w:p>
    <w:p>
      <w:pPr>
        <w:spacing w:after="40" w:before="0" w:line="240" w:lineRule="auto"/>
        <w:ind w:left="288" w:hanging="173"/>
        <w:jc w:val="both"/>
      </w:pPr>
      <w:r>
        <w:rPr>
          <w:rFonts w:ascii="Times New Roman" w:hAnsi="Times New Roman" w:cs="Times New Roman"/>
          <w:b w:val="0"/>
          <w:i w:val="0"/>
          <w:caps w:val="0"/>
          <w:sz w:val="20"/>
        </w:rPr>
        <w:t xml:space="preserve">15) </w:t>
      </w:r>
      <w:r>
        <w:rPr>
          <w:rFonts w:ascii="Times New Roman" w:hAnsi="Times New Roman" w:cs="Times New Roman"/>
          <w:b/>
          <w:i w:val="0"/>
          <w:caps w:val="0"/>
          <w:sz w:val="20"/>
        </w:rPr>
        <w:t>Treatment is a step change in the main trial analysis.</w:t>
      </w:r>
      <w:r>
        <w:rPr>
          <w:rFonts w:ascii="Times New Roman" w:hAnsi="Times New Roman" w:cs="Times New Roman"/>
          <w:b w:val="0"/>
          <w:i w:val="0"/>
          <w:caps w:val="0"/>
          <w:sz w:val="20"/>
        </w:rPr>
        <w:t xml:space="preserve"> Section III-K removes this for the first-order case, exactly rather than approximately, but the correction relies on first-order pharmacodynamics and would not transfer to a cooperative mechanism.</w:t>
      </w:r>
    </w:p>
    <w:p>
      <w:pPr>
        <w:spacing w:after="40" w:before="0" w:line="240" w:lineRule="auto"/>
        <w:ind w:left="288" w:hanging="173"/>
        <w:jc w:val="both"/>
      </w:pPr>
      <w:r>
        <w:rPr>
          <w:rFonts w:ascii="Times New Roman" w:hAnsi="Times New Roman" w:cs="Times New Roman"/>
          <w:b w:val="0"/>
          <w:i w:val="0"/>
          <w:caps w:val="0"/>
          <w:sz w:val="20"/>
        </w:rPr>
        <w:t xml:space="preserve">16) </w:t>
      </w:r>
      <w:r>
        <w:rPr>
          <w:rFonts w:ascii="Times New Roman" w:hAnsi="Times New Roman" w:cs="Times New Roman"/>
          <w:b/>
          <w:i w:val="0"/>
          <w:caps w:val="0"/>
          <w:sz w:val="20"/>
        </w:rPr>
        <w:t>Safety is not modelled at all.</w:t>
      </w:r>
      <w:r>
        <w:rPr>
          <w:rFonts w:ascii="Times New Roman" w:hAnsi="Times New Roman" w:cs="Times New Roman"/>
          <w:b w:val="0"/>
          <w:i w:val="0"/>
          <w:caps w:val="0"/>
          <w:sz w:val="20"/>
        </w:rPr>
        <w:t xml:space="preserve"> 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 "start before 30 and continue for life" is a specification with an unquantified risk attached, and no amount of modelling of efficacy substitutes for measuring that risk.</w:t>
      </w:r>
    </w:p>
    <w:p>
      <w:pPr>
        <w:spacing w:after="40" w:before="0" w:line="240" w:lineRule="auto"/>
        <w:ind w:left="288" w:hanging="173"/>
        <w:jc w:val="both"/>
      </w:pPr>
      <w:r>
        <w:rPr>
          <w:rFonts w:ascii="Times New Roman" w:hAnsi="Times New Roman" w:cs="Times New Roman"/>
          <w:b w:val="0"/>
          <w:i w:val="0"/>
          <w:caps w:val="0"/>
          <w:sz w:val="20"/>
        </w:rPr>
        <w:t xml:space="preserve">17) </w:t>
      </w:r>
      <w:r>
        <w:rPr>
          <w:rFonts w:ascii="Times New Roman" w:hAnsi="Times New Roman" w:cs="Times New Roman"/>
          <w:b/>
          <w:i w:val="0"/>
          <w:caps w:val="0"/>
          <w:sz w:val="20"/>
        </w:rPr>
        <w:t>No sequence-level design was attempted.</w:t>
      </w:r>
      <w:r>
        <w:rPr>
          <w:rFonts w:ascii="Times New Roman" w:hAnsi="Times New Roman" w:cs="Times New Roman"/>
          <w:b w:val="0"/>
          <w:i w:val="0"/>
          <w:caps w:val="0"/>
          <w:sz w:val="20"/>
        </w:rPr>
        <w:t xml:space="preserve"> An oligonucleotide design module was planned and dropped, because the sequence databases needed to do it rigorously were unreachable from this environment and a sequence written from memory would have been unverifiable. Section VI records what was blocked.</w:t>
      </w:r>
    </w:p>
    <w:p>
      <w:pPr>
        <w:spacing w:after="40" w:before="0" w:line="240" w:lineRule="auto"/>
        <w:ind w:left="288" w:hanging="173"/>
        <w:jc w:val="both"/>
      </w:pPr>
      <w:r>
        <w:rPr>
          <w:rFonts w:ascii="Times New Roman" w:hAnsi="Times New Roman" w:cs="Times New Roman"/>
          <w:b w:val="0"/>
          <w:i w:val="0"/>
          <w:caps w:val="0"/>
          <w:sz w:val="20"/>
        </w:rPr>
        <w:t xml:space="preserve">18) </w:t>
      </w:r>
      <w:r>
        <w:rPr>
          <w:rFonts w:ascii="Times New Roman" w:hAnsi="Times New Roman" w:cs="Times New Roman"/>
          <w:b/>
          <w:i w:val="0"/>
          <w:caps w:val="0"/>
          <w:sz w:val="20"/>
        </w:rPr>
        <w:t>The trial power calculation assumes a normal endpoint and no dropout.</w:t>
      </w:r>
      <w:r>
        <w:rPr>
          <w:rFonts w:ascii="Times New Roman" w:hAnsi="Times New Roman" w:cs="Times New Roman"/>
          <w:b w:val="0"/>
          <w:i w:val="0"/>
          <w:caps w:val="0"/>
          <w:sz w:val="20"/>
        </w:rPr>
        <w:t xml:space="preserve"> Real trials lose participants, and a right-censored survival endpoint would need a different calculation. The sample sizes given should be read as a floor.</w:t>
      </w:r>
    </w:p>
    <w:p>
      <w:pPr>
        <w:spacing w:after="40" w:before="0" w:line="240" w:lineRule="auto"/>
        <w:ind w:left="288" w:hanging="173"/>
        <w:jc w:val="both"/>
      </w:pPr>
      <w:r>
        <w:rPr>
          <w:rFonts w:ascii="Times New Roman" w:hAnsi="Times New Roman" w:cs="Times New Roman"/>
          <w:b w:val="0"/>
          <w:i w:val="0"/>
          <w:caps w:val="0"/>
          <w:sz w:val="20"/>
        </w:rPr>
        <w:t xml:space="preserve">19) </w:t>
      </w:r>
      <w:r>
        <w:rPr>
          <w:rFonts w:ascii="Times New Roman" w:hAnsi="Times New Roman" w:cs="Times New Roman"/>
          <w:b/>
          <w:i w:val="0"/>
          <w:caps w:val="0"/>
          <w:sz w:val="20"/>
        </w:rPr>
        <w:t>The power calculation omits modifier-genotype variance.</w:t>
      </w:r>
      <w:r>
        <w:rPr>
          <w:rFonts w:ascii="Times New Roman" w:hAnsi="Times New Roman" w:cs="Times New Roman"/>
          <w:b w:val="0"/>
          <w:i w:val="0"/>
          <w:caps w:val="0"/>
          <w:sz w:val="20"/>
        </w:rPr>
        <w:t xml:space="preserve"> Its between-subject spread comes only from the inherited CAG distribution and from imaging noise. Real cohorts also differ in the mismatch-repair and tract-structure modifiers of Section III-G, which move age at 25% loss by more years than the enrolled CAG range does. That variance enters the sample-size formula directly, and </w:t>
      </w:r>
      <w:r>
        <w:rPr>
          <w:rFonts w:ascii="Consolas" w:hAnsi="Consolas" w:cs="Consolas"/>
          <w:b w:val="0"/>
          <w:i w:val="0"/>
          <w:caps w:val="0"/>
          <w:sz w:val="20"/>
        </w:rPr>
        <w:t>results/modifier_variance_power.csv</w:t>
      </w:r>
      <w:r>
        <w:rPr>
          <w:rFonts w:ascii="Times New Roman" w:hAnsi="Times New Roman" w:cs="Times New Roman"/>
          <w:b w:val="0"/>
          <w:i w:val="0"/>
          <w:caps w:val="0"/>
          <w:sz w:val="20"/>
        </w:rPr>
        <w:t xml:space="preserve"> shows its cost: an extra between-subject standard deviation of 1 point over a three-year trial raises the achievable-dose arm from 133 to 148 participants per arm, and 2 points raises it to 193. The headline numbers are therefore optimistic in a second, quantified way.</w:t>
      </w:r>
    </w:p>
    <w:p>
      <w:pPr>
        <w:spacing w:after="40" w:before="0" w:line="240" w:lineRule="auto"/>
        <w:ind w:left="288" w:hanging="173"/>
        <w:jc w:val="both"/>
      </w:pPr>
      <w:r>
        <w:rPr>
          <w:rFonts w:ascii="Times New Roman" w:hAnsi="Times New Roman" w:cs="Times New Roman"/>
          <w:b w:val="0"/>
          <w:i w:val="0"/>
          <w:caps w:val="0"/>
          <w:sz w:val="20"/>
        </w:rPr>
        <w:t xml:space="preserve">20) </w:t>
      </w:r>
      <w:r>
        <w:rPr>
          <w:rFonts w:ascii="Times New Roman" w:hAnsi="Times New Roman" w:cs="Times New Roman"/>
          <w:b/>
          <w:i w:val="0"/>
          <w:caps w:val="0"/>
          <w:sz w:val="20"/>
        </w:rPr>
        <w:t>The dosing model has no protein-turnover lag.</w:t>
      </w:r>
      <w:r>
        <w:rPr>
          <w:rFonts w:ascii="Times New Roman" w:hAnsi="Times New Roman" w:cs="Times New Roman"/>
          <w:b w:val="0"/>
          <w:i w:val="0"/>
          <w:caps w:val="0"/>
          <w:sz w:val="20"/>
        </w:rPr>
        <w:t xml:space="preserve"> Section III-K converts a drug concentration waveform straight into an MSH3 waveform, so MSH3 is assumed to track tissue drug exposure instantaneously. Real protein recovery lags the fall of an oligonucleotide by its own turnover time, which smooths the troughs of an intermittent schedule. The direction is known: this omission makes infrequent dosing look worse than it is, so the penalties quoted for annual dosing are upper bounds.</w:t>
      </w:r>
    </w:p>
    <w:p>
      <w:pPr>
        <w:spacing w:after="40" w:before="0" w:line="240" w:lineRule="auto"/>
        <w:ind w:left="288" w:hanging="173"/>
        <w:jc w:val="both"/>
      </w:pPr>
      <w:r>
        <w:rPr>
          <w:rFonts w:ascii="Times New Roman" w:hAnsi="Times New Roman" w:cs="Times New Roman"/>
          <w:b w:val="0"/>
          <w:i w:val="0"/>
          <w:caps w:val="0"/>
          <w:sz w:val="20"/>
        </w:rPr>
        <w:t xml:space="preserve">21) </w:t>
      </w:r>
      <w:r>
        <w:rPr>
          <w:rFonts w:ascii="Times New Roman" w:hAnsi="Times New Roman" w:cs="Times New Roman"/>
          <w:b/>
          <w:i w:val="0"/>
          <w:caps w:val="0"/>
          <w:sz w:val="20"/>
        </w:rPr>
        <w:t>The transcytosis affinity optimum is fitted on two points.</w:t>
      </w:r>
      <w:r>
        <w:rPr>
          <w:rFonts w:ascii="Times New Roman" w:hAnsi="Times New Roman" w:cs="Times New Roman"/>
          <w:b w:val="0"/>
          <w:i w:val="0"/>
          <w:caps w:val="0"/>
          <w:sz w:val="20"/>
        </w:rPr>
        <w:t xml:space="preserve"> The capture-times-release form in Section III-I has two free constants and the mouse study provides two usable monovalent affinities [8], so the fit has no degrees of freedom left and cannot be tested against the data that produced it. The existence of an interior optimum follows from the functional form, which is mechanistically motivated but not independently validated; its position near 135 nM should be read as an illustration of where such an optimum would sit, not as a measured value.</w:t>
      </w:r>
    </w:p>
    <w:p>
      <w:pPr>
        <w:spacing w:after="40" w:before="0" w:line="240" w:lineRule="auto"/>
        <w:ind w:left="288" w:hanging="173"/>
        <w:jc w:val="both"/>
      </w:pPr>
      <w:r>
        <w:rPr>
          <w:rFonts w:ascii="Times New Roman" w:hAnsi="Times New Roman" w:cs="Times New Roman"/>
          <w:b w:val="0"/>
          <w:i w:val="0"/>
          <w:caps w:val="0"/>
          <w:sz w:val="20"/>
        </w:rPr>
        <w:t xml:space="preserve">22) </w:t>
      </w:r>
      <w:r>
        <w:rPr>
          <w:rFonts w:ascii="Times New Roman" w:hAnsi="Times New Roman" w:cs="Times New Roman"/>
          <w:b/>
          <w:i w:val="0"/>
          <w:caps w:val="0"/>
          <w:sz w:val="20"/>
        </w:rPr>
        <w:t>The reported sensitivity range is conditional on judgement-chosen ranges, and partly on the sampler.</w:t>
      </w:r>
      <w:r>
        <w:rPr>
          <w:rFonts w:ascii="Times New Roman" w:hAnsi="Times New Roman" w:cs="Times New Roman"/>
          <w:b w:val="0"/>
          <w:i w:val="0"/>
          <w:caps w:val="0"/>
          <w:sz w:val="20"/>
        </w:rPr>
        <w:t xml:space="preserve"> The sixteen inputs of the global analysis are drawn uniformly and independently over ranges this work selected, so the 7.4-to-17.5-point spread in Section III-M is a sensitivity range, not a confidence or credible interval; there is no likelihood and no prior behind it. Section III-O shows that a copula sampler over the identical model and ranges gives 6.4 to 21.2 points, about 45% wider, because Latin hypercube stratification reduces ensemble variance. The narrowness of the reported interval is therefore partly a property of how the space was sampled. The conclusion that does not depend on either choice is that the benefit was positive in all 640 samples across both analyses.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The delivery and translation constants are not in the global ensemble.</w:t>
      </w:r>
      <w:r>
        <w:rPr>
          <w:rFonts w:ascii="Times New Roman" w:hAnsi="Times New Roman" w:cs="Times New Roman"/>
          <w:b w:val="0"/>
          <w:i w:val="0"/>
          <w:caps w:val="0"/>
          <w:sz w:val="20"/>
        </w:rPr>
        <w:t xml:space="preserve"> Brain and striatum mass, putaminal depth, body weight, plasma volume, molecular weight, endosomal escape, and the EC₅₀ and Hill coefficient of the exposure-response curve are varied one at a time in dedicated scans rather than jointly with the expansion model. Section II-A gives the reason and Section III-N profiles the exposure-response curve specifically, but no analysis here propagates delivery uncertainty and expansion uncertainty simultaneously, so the delivery numbers and the neuron-loss numbers carry separate error budgets that are never combined.</w:t>
      </w:r>
    </w:p>
    <w:p>
      <w:pPr>
        <w:spacing w:after="60" w:before="160" w:line="240" w:lineRule="auto"/>
        <w:ind w:firstLine="0"/>
        <w:jc w:val="center"/>
      </w:pPr>
      <w:r>
        <w:rPr>
          <w:rFonts w:ascii="Times New Roman" w:hAnsi="Times New Roman" w:cs="Times New Roman"/>
          <w:b w:val="0"/>
          <w:i w:val="0"/>
          <w:caps/>
          <w:sz w:val="20"/>
        </w:rPr>
        <w:t>VI.  Reproducibility</w:t>
      </w:r>
    </w:p>
    <w:p>
      <w:pPr>
        <w:spacing w:after="0" w:before="0" w:line="240" w:lineRule="auto"/>
        <w:ind w:firstLine="0"/>
        <w:jc w:val="left"/>
      </w:pPr>
      <w:r>
        <w:rPr>
          <w:rFonts w:ascii="Consolas" w:hAnsi="Consolas" w:cs="Consolas"/>
          <w:b w:val="0"/>
          <w:i w:val="0"/>
          <w:caps w:val="0"/>
          <w:sz w:val="14"/>
        </w:rPr>
        <w:t>code/hdmodel.py          core model: rate law, calibration, Gillespie and tau-leaping solvers</w:t>
      </w:r>
    </w:p>
    <w:p>
      <w:pPr>
        <w:spacing w:after="0" w:before="0" w:line="240" w:lineRule="auto"/>
        <w:ind w:firstLine="0"/>
        <w:jc w:val="left"/>
      </w:pPr>
      <w:r>
        <w:rPr>
          <w:rFonts w:ascii="Consolas" w:hAnsi="Consolas" w:cs="Consolas"/>
          <w:b w:val="0"/>
          <w:i w:val="0"/>
          <w:caps w:val="0"/>
          <w:sz w:val="14"/>
        </w:rPr>
        <w:t>code/01_calibrate.py     calibration, identifiability, MutSbeta stoichiometry   -&gt; Fig 1-2</w:t>
      </w:r>
    </w:p>
    <w:p>
      <w:pPr>
        <w:spacing w:after="0" w:before="0" w:line="240" w:lineRule="auto"/>
        <w:ind w:firstLine="0"/>
        <w:jc w:val="left"/>
      </w:pPr>
      <w:r>
        <w:rPr>
          <w:rFonts w:ascii="Consolas" w:hAnsi="Consolas" w:cs="Consolas"/>
          <w:b w:val="0"/>
          <w:i w:val="0"/>
          <w:caps w:val="0"/>
          <w:sz w:val="14"/>
        </w:rPr>
        <w:t>code/02_population.py    population simulation, held-out validation             -&gt; Fig 3</w:t>
      </w:r>
    </w:p>
    <w:p>
      <w:pPr>
        <w:spacing w:after="0" w:before="0" w:line="240" w:lineRule="auto"/>
        <w:ind w:firstLine="0"/>
        <w:jc w:val="left"/>
      </w:pPr>
      <w:r>
        <w:rPr>
          <w:rFonts w:ascii="Consolas" w:hAnsi="Consolas" w:cs="Consolas"/>
          <w:b w:val="0"/>
          <w:i w:val="0"/>
          <w:caps w:val="0"/>
          <w:sz w:val="14"/>
        </w:rPr>
        <w:t>code/03_coupling.py      solver verification, non-cell-autonomous test          -&gt; Fig 4</w:t>
      </w:r>
    </w:p>
    <w:p>
      <w:pPr>
        <w:spacing w:after="0" w:before="0" w:line="240" w:lineRule="auto"/>
        <w:ind w:firstLine="0"/>
        <w:jc w:val="left"/>
      </w:pPr>
      <w:r>
        <w:rPr>
          <w:rFonts w:ascii="Consolas" w:hAnsi="Consolas" w:cs="Consolas"/>
          <w:b w:val="0"/>
          <w:i w:val="0"/>
          <w:caps w:val="0"/>
          <w:sz w:val="14"/>
        </w:rPr>
        <w:t>code/04_reconcile.py     reconciliation map, bracketing models                  -&gt; Fig 5</w:t>
      </w:r>
    </w:p>
    <w:p>
      <w:pPr>
        <w:spacing w:after="0" w:before="0" w:line="240" w:lineRule="auto"/>
        <w:ind w:firstLine="0"/>
        <w:jc w:val="left"/>
      </w:pPr>
      <w:r>
        <w:rPr>
          <w:rFonts w:ascii="Consolas" w:hAnsi="Consolas" w:cs="Consolas"/>
          <w:b w:val="0"/>
          <w:i w:val="0"/>
          <w:caps w:val="0"/>
          <w:sz w:val="14"/>
        </w:rPr>
        <w:t>code/05_delivery.py      exposure-response, CSF route, nanocarrier design space -&gt; Fig 6-7</w:t>
      </w:r>
    </w:p>
    <w:p>
      <w:pPr>
        <w:spacing w:after="0" w:before="0" w:line="240" w:lineRule="auto"/>
        <w:ind w:firstLine="0"/>
        <w:jc w:val="left"/>
      </w:pPr>
      <w:r>
        <w:rPr>
          <w:rFonts w:ascii="Consolas" w:hAnsi="Consolas" w:cs="Consolas"/>
          <w:b w:val="0"/>
          <w:i w:val="0"/>
          <w:caps w:val="0"/>
          <w:sz w:val="14"/>
        </w:rPr>
        <w:t>code/06_trial.py         in silico trial                                        -&gt; Fig 8-9</w:t>
      </w:r>
    </w:p>
    <w:p>
      <w:pPr>
        <w:spacing w:after="0" w:before="0" w:line="240" w:lineRule="auto"/>
        <w:ind w:firstLine="0"/>
        <w:jc w:val="left"/>
      </w:pPr>
      <w:r>
        <w:rPr>
          <w:rFonts w:ascii="Consolas" w:hAnsi="Consolas" w:cs="Consolas"/>
          <w:b w:val="0"/>
          <w:i w:val="0"/>
          <w:caps w:val="0"/>
          <w:sz w:val="14"/>
        </w:rPr>
        <w:t>code/07_sensitivity.py   Latin hypercube with recalibration, PRCC               -&gt; Fig 10</w:t>
      </w:r>
    </w:p>
    <w:p>
      <w:pPr>
        <w:spacing w:after="0" w:before="0" w:line="240" w:lineRule="auto"/>
        <w:ind w:firstLine="0"/>
        <w:jc w:val="left"/>
      </w:pPr>
      <w:r>
        <w:rPr>
          <w:rFonts w:ascii="Consolas" w:hAnsi="Consolas" w:cs="Consolas"/>
          <w:b w:val="0"/>
          <w:i w:val="0"/>
          <w:caps w:val="0"/>
          <w:sz w:val="14"/>
        </w:rPr>
        <w:t>code/08_translation.py   dose translation to mg/kg</w:t>
      </w:r>
    </w:p>
    <w:p>
      <w:pPr>
        <w:spacing w:after="0" w:before="0" w:line="240" w:lineRule="auto"/>
        <w:ind w:firstLine="0"/>
        <w:jc w:val="left"/>
      </w:pPr>
      <w:r>
        <w:rPr>
          <w:rFonts w:ascii="Consolas" w:hAnsi="Consolas" w:cs="Consolas"/>
          <w:b w:val="0"/>
          <w:i w:val="0"/>
          <w:caps w:val="0"/>
          <w:sz w:val="14"/>
        </w:rPr>
        <w:t>code/10_profile.py       parameter profiles and feasible ranges                 -&gt; Fig 11</w:t>
      </w:r>
    </w:p>
    <w:p>
      <w:pPr>
        <w:spacing w:after="0" w:before="0" w:line="240" w:lineRule="auto"/>
        <w:ind w:firstLine="0"/>
        <w:jc w:val="left"/>
      </w:pPr>
      <w:r>
        <w:rPr>
          <w:rFonts w:ascii="Consolas" w:hAnsi="Consolas" w:cs="Consolas"/>
          <w:b w:val="0"/>
          <w:i w:val="0"/>
          <w:caps w:val="0"/>
          <w:sz w:val="14"/>
        </w:rPr>
        <w:t>code/11_subtypes.py      direct and indirect pathway prediction                 -&gt; Fig 12</w:t>
      </w:r>
    </w:p>
    <w:p>
      <w:pPr>
        <w:spacing w:after="0" w:before="0" w:line="240" w:lineRule="auto"/>
        <w:ind w:firstLine="0"/>
        <w:jc w:val="left"/>
      </w:pPr>
      <w:r>
        <w:rPr>
          <w:rFonts w:ascii="Consolas" w:hAnsi="Consolas" w:cs="Consolas"/>
          <w:b w:val="0"/>
          <w:i w:val="0"/>
          <w:caps w:val="0"/>
          <w:sz w:val="14"/>
        </w:rPr>
        <w:t>code/12_modifiers.py     genetic modifiers as parameter perturbations           -&gt; Fig 13</w:t>
      </w:r>
    </w:p>
    <w:p>
      <w:pPr>
        <w:spacing w:after="0" w:before="0" w:line="240" w:lineRule="auto"/>
        <w:ind w:firstLine="0"/>
        <w:jc w:val="left"/>
      </w:pPr>
      <w:r>
        <w:rPr>
          <w:rFonts w:ascii="Consolas" w:hAnsi="Consolas" w:cs="Consolas"/>
          <w:b w:val="0"/>
          <w:i w:val="0"/>
          <w:caps w:val="0"/>
          <w:sz w:val="14"/>
        </w:rPr>
        <w:t>code/13_dosing.py        intermittent dosing and time-averaged knockdown        -&gt; Fig 14</w:t>
      </w:r>
    </w:p>
    <w:p>
      <w:pPr>
        <w:spacing w:after="0" w:before="0" w:line="240" w:lineRule="auto"/>
        <w:ind w:firstLine="0"/>
        <w:jc w:val="left"/>
      </w:pPr>
      <w:r>
        <w:rPr>
          <w:rFonts w:ascii="Consolas" w:hAnsi="Consolas" w:cs="Consolas"/>
          <w:b w:val="0"/>
          <w:i w:val="0"/>
          <w:caps w:val="0"/>
          <w:sz w:val="14"/>
        </w:rPr>
        <w:t>code/14_trial_power.py   sample size and power for a real trial                 -&gt; Fig 15</w:t>
      </w:r>
    </w:p>
    <w:p>
      <w:pPr>
        <w:spacing w:after="0" w:before="0" w:line="240" w:lineRule="auto"/>
        <w:ind w:firstLine="0"/>
        <w:jc w:val="left"/>
      </w:pPr>
      <w:r>
        <w:rPr>
          <w:rFonts w:ascii="Consolas" w:hAnsi="Consolas" w:cs="Consolas"/>
          <w:b w:val="0"/>
          <w:i w:val="0"/>
          <w:caps w:val="0"/>
          <w:sz w:val="14"/>
        </w:rPr>
        <w:t>code/17_estimator.py     mean-field vs stochastic calibration (section 3.5)</w:t>
      </w:r>
    </w:p>
    <w:p>
      <w:pPr>
        <w:spacing w:after="0" w:before="0" w:line="240" w:lineRule="auto"/>
        <w:ind w:firstLine="0"/>
        <w:jc w:val="left"/>
      </w:pPr>
      <w:r>
        <w:rPr>
          <w:rFonts w:ascii="Consolas" w:hAnsi="Consolas" w:cs="Consolas"/>
          <w:b w:val="0"/>
          <w:i w:val="0"/>
          <w:caps w:val="0"/>
          <w:sz w:val="14"/>
        </w:rPr>
        <w:t>code/18_anchor_correlation.py  correlated calibration anchors (section 3.15)   -&gt; Fig 16</w:t>
      </w:r>
    </w:p>
    <w:p>
      <w:pPr>
        <w:spacing w:after="0" w:before="0" w:line="240" w:lineRule="auto"/>
        <w:ind w:firstLine="0"/>
        <w:jc w:val="left"/>
      </w:pPr>
      <w:r>
        <w:rPr>
          <w:rFonts w:ascii="Consolas" w:hAnsi="Consolas" w:cs="Consolas"/>
          <w:b w:val="0"/>
          <w:i w:val="0"/>
          <w:caps w:val="0"/>
          <w:sz w:val="14"/>
        </w:rPr>
        <w:t>code/19_exposure_response_band.py  Hill profile and delivery band (3.14)       -&gt; Fig 17</w:t>
      </w:r>
    </w:p>
    <w:p>
      <w:pPr>
        <w:spacing w:after="0" w:before="0" w:line="240" w:lineRule="auto"/>
        <w:ind w:firstLine="0"/>
        <w:jc w:val="left"/>
      </w:pPr>
      <w:r>
        <w:rPr>
          <w:rFonts w:ascii="Consolas" w:hAnsi="Consolas" w:cs="Consolas"/>
          <w:b w:val="0"/>
          <w:i w:val="0"/>
          <w:caps w:val="0"/>
          <w:sz w:val="14"/>
        </w:rPr>
        <w:t>code/09_build_documents.py  builds the Word and PDF versions of this paper</w:t>
      </w:r>
    </w:p>
    <w:p>
      <w:pPr>
        <w:spacing w:after="0" w:before="0" w:line="240" w:lineRule="auto"/>
        <w:ind w:firstLine="0"/>
        <w:jc w:val="left"/>
      </w:pPr>
      <w:r>
        <w:rPr>
          <w:rFonts w:ascii="Consolas" w:hAnsi="Consolas" w:cs="Consolas"/>
          <w:b w:val="0"/>
          <w:i w:val="0"/>
          <w:caps w:val="0"/>
          <w:sz w:val="14"/>
        </w:rPr>
        <w:t>code/15_build_ieee.py       builds the IEEE-format LaTeX and PDF</w:t>
      </w:r>
    </w:p>
    <w:p>
      <w:pPr>
        <w:spacing w:after="0" w:before="0" w:line="240" w:lineRule="auto"/>
        <w:ind w:firstLine="0"/>
        <w:jc w:val="left"/>
      </w:pPr>
      <w:r>
        <w:rPr>
          <w:rFonts w:ascii="Consolas" w:hAnsi="Consolas" w:cs="Consolas"/>
          <w:b w:val="0"/>
          <w:i w:val="0"/>
          <w:caps w:val="0"/>
          <w:sz w:val="14"/>
        </w:rPr>
        <w:t>code/16_build_ieee_docx.py  builds the IEEE-format Word version</w:t>
      </w:r>
    </w:p>
    <w:p>
      <w:pPr>
        <w:spacing w:after="60" w:before="0" w:line="240" w:lineRule="auto"/>
        <w:ind w:firstLine="288"/>
        <w:jc w:val="both"/>
      </w:pPr>
      <w:r>
        <w:rPr>
          <w:rFonts w:ascii="Times New Roman" w:hAnsi="Times New Roman" w:cs="Times New Roman"/>
          <w:b w:val="0"/>
          <w:i w:val="0"/>
          <w:caps w:val="0"/>
          <w:sz w:val="20"/>
        </w:rPr>
        <w:t xml:space="preserve">Run in numerical order from </w:t>
      </w:r>
      <w:r>
        <w:rPr>
          <w:rFonts w:ascii="Consolas" w:hAnsi="Consolas" w:cs="Consolas"/>
          <w:b w:val="0"/>
          <w:i w:val="0"/>
          <w:caps w:val="0"/>
          <w:sz w:val="20"/>
        </w:rPr>
        <w:t>code/</w:t>
      </w:r>
      <w:r>
        <w:rPr>
          <w:rFonts w:ascii="Times New Roman" w:hAnsi="Times New Roman" w:cs="Times New Roman"/>
          <w:b w:val="0"/>
          <w:i w:val="0"/>
          <w:caps w:val="0"/>
          <w:sz w:val="20"/>
        </w:rPr>
        <w:t xml:space="preserve">. Total runtime is about seventy minutes on a single core, most of it in the two sensitivity analyses, which between them recalibrate the model 640 times. Every random seed is fixed, so the figures and tables reproduce exactly. Every number quoted in this paper is written to </w:t>
      </w:r>
      <w:r>
        <w:rPr>
          <w:rFonts w:ascii="Consolas" w:hAnsi="Consolas" w:cs="Consolas"/>
          <w:b w:val="0"/>
          <w:i w:val="0"/>
          <w:caps w:val="0"/>
          <w:sz w:val="20"/>
        </w:rPr>
        <w:t>results/</w:t>
      </w:r>
      <w:r>
        <w:rPr>
          <w:rFonts w:ascii="Times New Roman" w:hAnsi="Times New Roman" w:cs="Times New Roman"/>
          <w:b w:val="0"/>
          <w:i w:val="0"/>
          <w:caps w:val="0"/>
          <w:sz w:val="20"/>
        </w:rPr>
        <w:t xml:space="preserve"> as CSV or JSON by the script that produced it, and no number was transcribed by hand. Constants shared between scripts, such as the fitted EC₅₀ and Hill coefficient, are read from the result file that defines them rather than duplicated as literals, so re-running a fit cannot leave a stale value downstream.</w:t>
      </w:r>
    </w:p>
    <w:p>
      <w:pPr>
        <w:spacing w:after="60" w:before="0" w:line="240" w:lineRule="auto"/>
        <w:ind w:firstLine="288"/>
        <w:jc w:val="both"/>
      </w:pPr>
      <w:r>
        <w:rPr>
          <w:rFonts w:ascii="Times New Roman" w:hAnsi="Times New Roman" w:cs="Times New Roman"/>
          <w:b w:val="0"/>
          <w:i w:val="0"/>
          <w:caps w:val="0"/>
          <w:sz w:val="20"/>
        </w:rPr>
        <w:t xml:space="preserve">The </w:t>
      </w:r>
      <w:r>
        <w:rPr>
          <w:rFonts w:ascii="Consolas" w:hAnsi="Consolas" w:cs="Consolas"/>
          <w:b w:val="0"/>
          <w:i w:val="0"/>
          <w:caps w:val="0"/>
          <w:sz w:val="20"/>
        </w:rPr>
        <w:t>review/</w:t>
      </w:r>
      <w:r>
        <w:rPr>
          <w:rFonts w:ascii="Times New Roman" w:hAnsi="Times New Roman" w:cs="Times New Roman"/>
          <w:b w:val="0"/>
          <w:i w:val="0"/>
          <w:caps w:val="0"/>
          <w:sz w:val="20"/>
        </w:rPr>
        <w:t xml:space="preserve"> directory carries two dated internal audit passes and a resolution log, and they are part of the method rather than an appendix to it. For a sole-authored computational paper with no primary data, a documented adversarial re-reading is the substitute for the co-author who would otherwise catch things, and it is worth being specific about what it caught. The first pass worked outward from the structure of the model; the second traced every number in the paper back to the result table it came from and re-read every script for constants that had been copied rather than read. Between them they found two wrong numbers in the prose, one mechanism stated backwards, one claim that a verification had been performed when it had not, a set of load-bearing assumptions that were visible in the code but not in the text, and two places where a fitted constant had been hard-coded downstream. Three findings became new analysis rather than new wording, and one changed a conclusion: the discovery that the mean-field calibration estimator runs 21 to 50% slow prompted the stochastic refit of Section III-E, which closes most of the end-stage loss gap that Section III-D and 3.5 had been unable to explain. The sections of this paper that are most hedged are the ones that survived that process, and the hedging is the output of it.</w:t>
      </w:r>
    </w:p>
    <w:p>
      <w:pPr>
        <w:spacing w:after="60" w:before="0" w:line="240" w:lineRule="auto"/>
        <w:ind w:firstLine="288"/>
        <w:jc w:val="both"/>
      </w:pPr>
      <w:r>
        <w:rPr>
          <w:rFonts w:ascii="Times New Roman" w:hAnsi="Times New Roman" w:cs="Times New Roman"/>
          <w:b w:val="0"/>
          <w:i w:val="0"/>
          <w:caps w:val="0"/>
          <w:sz w:val="20"/>
        </w:rPr>
        <w:t>Dependencies are Python 3.12 with NumPy, SciPy and Matplotlib. The document build additionally needs pandoc and LibreOffice.</w:t>
      </w:r>
    </w:p>
    <w:p>
      <w:pPr>
        <w:spacing w:after="60" w:before="0" w:line="240" w:lineRule="auto"/>
        <w:ind w:firstLine="288"/>
        <w:jc w:val="both"/>
      </w:pPr>
      <w:r>
        <w:rPr>
          <w:rFonts w:ascii="Times New Roman" w:hAnsi="Times New Roman" w:cs="Times New Roman"/>
          <w:b/>
          <w:i w:val="0"/>
          <w:caps w:val="0"/>
          <w:sz w:val="20"/>
        </w:rPr>
        <w:t>What could not be done from this environment.</w:t>
      </w:r>
      <w:r>
        <w:rPr>
          <w:rFonts w:ascii="Times New Roman" w:hAnsi="Times New Roman" w:cs="Times New Roman"/>
          <w:b w:val="0"/>
          <w:i w:val="0"/>
          <w:caps w:val="0"/>
          <w:sz w:val="20"/>
        </w:rPr>
        <w:t xml:space="preserve"> 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p>
      <w:pPr>
        <w:spacing w:after="80" w:before="160" w:line="240" w:lineRule="auto"/>
        <w:ind w:firstLine="0"/>
        <w:jc w:val="center"/>
      </w:pPr>
      <w:r>
        <w:rPr>
          <w:rFonts w:ascii="Times New Roman" w:hAnsi="Times New Roman" w:cs="Times New Roman"/>
          <w:b w:val="0"/>
          <w:i w:val="0"/>
          <w:caps/>
          <w:sz w:val="20"/>
        </w:rPr>
        <w:t>References</w:t>
      </w:r>
    </w:p>
    <w:p>
      <w:pPr>
        <w:spacing w:after="40" w:before="0" w:line="240" w:lineRule="auto"/>
        <w:ind w:left="317" w:hanging="317"/>
        <w:jc w:val="both"/>
      </w:pPr>
      <w:r>
        <w:rPr>
          <w:rFonts w:ascii="Times New Roman" w:hAnsi="Times New Roman" w:cs="Times New Roman"/>
          <w:b w:val="0"/>
          <w:i w:val="0"/>
          <w:caps w:val="0"/>
          <w:sz w:val="16"/>
        </w:rPr>
        <w:t xml:space="preserve">[1] </w:t>
      </w:r>
      <w:r>
        <w:rPr>
          <w:rFonts w:ascii="Times New Roman" w:hAnsi="Times New Roman" w:cs="Times New Roman"/>
          <w:b w:val="0"/>
          <w:i w:val="0"/>
          <w:caps w:val="0"/>
          <w:sz w:val="16"/>
        </w:rPr>
        <w:t>R. E. Handsaker, S. Kashin, N. M. Reed, et al., “Long somatic DNA-repeat expansion drives neurodegeneration in Huntington's disease,” Cell, 2025, PMID 39824182.</w:t>
      </w:r>
    </w:p>
    <w:p>
      <w:pPr>
        <w:spacing w:after="40" w:before="0" w:line="240" w:lineRule="auto"/>
        <w:ind w:left="317" w:hanging="317"/>
        <w:jc w:val="both"/>
      </w:pPr>
      <w:r>
        <w:rPr>
          <w:rFonts w:ascii="Times New Roman" w:hAnsi="Times New Roman" w:cs="Times New Roman"/>
          <w:b w:val="0"/>
          <w:i w:val="0"/>
          <w:caps w:val="0"/>
          <w:sz w:val="16"/>
        </w:rPr>
        <w:t xml:space="preserve">[2] </w:t>
      </w:r>
      <w:r>
        <w:rPr>
          <w:rFonts w:ascii="Times New Roman" w:hAnsi="Times New Roman" w:cs="Times New Roman"/>
          <w:b w:val="0"/>
          <w:i w:val="0"/>
          <w:caps w:val="0"/>
          <w:sz w:val="16"/>
        </w:rPr>
        <w:t>“The breaking point where repeat expansion triggers neuronal collapse in Huntington's disease,” Cell Genomics, vol. 5, no. 4, 2025. Commentary on [1].</w:t>
      </w:r>
    </w:p>
    <w:p>
      <w:pPr>
        <w:spacing w:after="40" w:before="0" w:line="240" w:lineRule="auto"/>
        <w:ind w:left="317" w:hanging="317"/>
        <w:jc w:val="both"/>
      </w:pPr>
      <w:r>
        <w:rPr>
          <w:rFonts w:ascii="Times New Roman" w:hAnsi="Times New Roman" w:cs="Times New Roman"/>
          <w:b w:val="0"/>
          <w:i w:val="0"/>
          <w:caps w:val="0"/>
          <w:sz w:val="16"/>
        </w:rPr>
        <w:t xml:space="preserve">[3] </w:t>
      </w:r>
      <w:r>
        <w:rPr>
          <w:rFonts w:ascii="Times New Roman" w:hAnsi="Times New Roman" w:cs="Times New Roman"/>
          <w:b w:val="0"/>
          <w:i w:val="0"/>
          <w:caps w:val="0"/>
          <w:sz w:val="16"/>
        </w:rPr>
        <w:t>J. Li, H. Wang, and W. Yang, “Tandem MutSβ binding to long extruded DNA trinucleotide repeats underpins pathogenic expansions,” bioRxiv 2023.12.12.571350, 2023, doi:10.1101/2023.12.12.571350. Preprint, not peer reviewed.</w:t>
      </w:r>
    </w:p>
    <w:p>
      <w:pPr>
        <w:spacing w:after="40" w:before="0" w:line="240" w:lineRule="auto"/>
        <w:ind w:left="317" w:hanging="317"/>
        <w:jc w:val="both"/>
      </w:pPr>
      <w:r>
        <w:rPr>
          <w:rFonts w:ascii="Times New Roman" w:hAnsi="Times New Roman" w:cs="Times New Roman"/>
          <w:b w:val="0"/>
          <w:i w:val="0"/>
          <w:caps w:val="0"/>
          <w:sz w:val="16"/>
        </w:rPr>
        <w:t xml:space="preserve">[4] </w:t>
      </w:r>
      <w:r>
        <w:rPr>
          <w:rFonts w:ascii="Times New Roman" w:hAnsi="Times New Roman" w:cs="Times New Roman"/>
          <w:b w:val="0"/>
          <w:i w:val="0"/>
          <w:caps w:val="0"/>
          <w:sz w:val="16"/>
        </w:rPr>
        <w:t>“Dose-dependent reduction of somatic expansions but not Htt aggregates by di-valent siRNA-mediated silencing of MSH3 in HdhQ111 mice,” Scientific Reports, 2024, doi:10.1038/s41598-024-52667-3.</w:t>
      </w:r>
    </w:p>
    <w:p>
      <w:pPr>
        <w:spacing w:after="40" w:before="0" w:line="240" w:lineRule="auto"/>
        <w:ind w:left="317" w:hanging="317"/>
        <w:jc w:val="both"/>
      </w:pPr>
      <w:r>
        <w:rPr>
          <w:rFonts w:ascii="Times New Roman" w:hAnsi="Times New Roman" w:cs="Times New Roman"/>
          <w:b w:val="0"/>
          <w:i w:val="0"/>
          <w:caps w:val="0"/>
          <w:sz w:val="16"/>
        </w:rPr>
        <w:t xml:space="preserve">[5] </w:t>
      </w:r>
      <w:r>
        <w:rPr>
          <w:rFonts w:ascii="Times New Roman" w:hAnsi="Times New Roman" w:cs="Times New Roman"/>
          <w:b w:val="0"/>
          <w:i w:val="0"/>
          <w:caps w:val="0"/>
          <w:sz w:val="16"/>
        </w:rPr>
        <w:t>I. Senoussi, V. Mengoli, A. Cerana, et al., “Mechanism of trinucleotide repeat expansion by MutSβ and MutLγ and contraction by FAN1,” Nature Communications, vol. 16, p. 9445, 2025, doi:10.1038/s41467-025-64485-w.</w:t>
      </w:r>
    </w:p>
    <w:p>
      <w:pPr>
        <w:spacing w:after="40" w:before="0" w:line="240" w:lineRule="auto"/>
        <w:ind w:left="317" w:hanging="317"/>
        <w:jc w:val="both"/>
      </w:pPr>
      <w:r>
        <w:rPr>
          <w:rFonts w:ascii="Times New Roman" w:hAnsi="Times New Roman" w:cs="Times New Roman"/>
          <w:b w:val="0"/>
          <w:i w:val="0"/>
          <w:caps w:val="0"/>
          <w:sz w:val="16"/>
        </w:rPr>
        <w:t xml:space="preserve">[6] </w:t>
      </w:r>
      <w:r>
        <w:rPr>
          <w:rFonts w:ascii="Times New Roman" w:hAnsi="Times New Roman" w:cs="Times New Roman"/>
          <w:b w:val="0"/>
          <w:i w:val="0"/>
          <w:caps w:val="0"/>
          <w:sz w:val="16"/>
        </w:rPr>
        <w:t>G. B. Panigrahi et al., “Isolated short CTG/CAG DNA slip-outs are repaired efficiently by hMutSβ, but clustered slip-outs are poorly repaired,” Proceedings of the National Academy of Sciences USA, 2010, doi:10.1073/pnas.0909087107.</w:t>
      </w:r>
    </w:p>
    <w:p>
      <w:pPr>
        <w:spacing w:after="40" w:before="0" w:line="240" w:lineRule="auto"/>
        <w:ind w:left="317" w:hanging="317"/>
        <w:jc w:val="both"/>
      </w:pPr>
      <w:r>
        <w:rPr>
          <w:rFonts w:ascii="Times New Roman" w:hAnsi="Times New Roman" w:cs="Times New Roman"/>
          <w:b w:val="0"/>
          <w:i w:val="0"/>
          <w:caps w:val="0"/>
          <w:sz w:val="16"/>
        </w:rPr>
        <w:t xml:space="preserve">[7] </w:t>
      </w:r>
      <w:r>
        <w:rPr>
          <w:rFonts w:ascii="Times New Roman" w:hAnsi="Times New Roman" w:cs="Times New Roman"/>
          <w:b w:val="0"/>
          <w:i w:val="0"/>
          <w:caps w:val="0"/>
          <w:sz w:val="16"/>
        </w:rPr>
        <w:t>J. A. Frei, J. E. Gentile, Y. Lian, M. A. Mortberg, J. Capitanio, P. Jafar-nejad, S. M. Vallabh, H. T. Zhao, and E. V. Minikel, “Cell type distribution of intrathecal antisense oligonucleotide activity in deep brain regions of non-human primates,” Nucleic Acid Therapeutics, 2025, doi:10.1177/21593337251371594.</w:t>
      </w:r>
    </w:p>
    <w:p>
      <w:pPr>
        <w:spacing w:after="40" w:before="0" w:line="240" w:lineRule="auto"/>
        <w:ind w:left="317" w:hanging="317"/>
        <w:jc w:val="both"/>
      </w:pPr>
      <w:r>
        <w:rPr>
          <w:rFonts w:ascii="Times New Roman" w:hAnsi="Times New Roman" w:cs="Times New Roman"/>
          <w:b w:val="0"/>
          <w:i w:val="0"/>
          <w:caps w:val="0"/>
          <w:sz w:val="16"/>
        </w:rPr>
        <w:t xml:space="preserve">[8] </w:t>
      </w:r>
      <w:r>
        <w:rPr>
          <w:rFonts w:ascii="Times New Roman" w:hAnsi="Times New Roman" w:cs="Times New Roman"/>
          <w:b w:val="0"/>
          <w:i w:val="0"/>
          <w:caps w:val="0"/>
          <w:sz w:val="16"/>
        </w:rPr>
        <w:t>K. B. Johnsen, M. Bak, P. J. Kempen, F. Melander, A. Burkhart, M. S. Thomsen, M. S. Nielsen, T. Moos, and T. L. Andresen, “Antibody affinity and valency impact brain uptake of transferrin receptor-targeted gold nanoparticles,” Theranostics, vol. 8, no. 12, pp. 3416–3436, 2018, doi:10.7150/thno.25228.</w:t>
      </w:r>
    </w:p>
    <w:p>
      <w:pPr>
        <w:spacing w:after="40" w:before="0" w:line="240" w:lineRule="auto"/>
        <w:ind w:left="317" w:hanging="317"/>
        <w:jc w:val="both"/>
      </w:pPr>
      <w:r>
        <w:rPr>
          <w:rFonts w:ascii="Times New Roman" w:hAnsi="Times New Roman" w:cs="Times New Roman"/>
          <w:b w:val="0"/>
          <w:i w:val="0"/>
          <w:caps w:val="0"/>
          <w:sz w:val="16"/>
        </w:rPr>
        <w:t xml:space="preserve">[9] </w:t>
      </w:r>
      <w:r>
        <w:rPr>
          <w:rFonts w:ascii="Times New Roman" w:hAnsi="Times New Roman" w:cs="Times New Roman"/>
          <w:b w:val="0"/>
          <w:i w:val="0"/>
          <w:caps w:val="0"/>
          <w:sz w:val="16"/>
        </w:rPr>
        <w:t>D. O'Reilly et al., “Di-valent siRNA-mediated silencing of MSH3 blocks somatic repeat expansion in mouse models of Huntington's disease,” Molecular Therapy, 2023.</w:t>
      </w:r>
    </w:p>
    <w:p>
      <w:pPr>
        <w:spacing w:after="40" w:before="0" w:line="240" w:lineRule="auto"/>
        <w:ind w:left="317" w:hanging="317"/>
        <w:jc w:val="both"/>
      </w:pPr>
      <w:r>
        <w:rPr>
          <w:rFonts w:ascii="Times New Roman" w:hAnsi="Times New Roman" w:cs="Times New Roman"/>
          <w:b w:val="0"/>
          <w:i w:val="0"/>
          <w:caps w:val="0"/>
          <w:sz w:val="16"/>
        </w:rPr>
        <w:t xml:space="preserve">[10] </w:t>
      </w:r>
      <w:r>
        <w:rPr>
          <w:rFonts w:ascii="Times New Roman" w:hAnsi="Times New Roman" w:cs="Times New Roman"/>
          <w:b w:val="0"/>
          <w:i w:val="0"/>
          <w:caps w:val="0"/>
          <w:sz w:val="16"/>
        </w:rPr>
        <w:t>M. Orth and C. Schwenke, “Age-at-onset in Huntington disease,” PLOS Currents Huntington Disease, ed. 1, Jul. 2011, doi:10.1371/currents.RRN1258.</w:t>
      </w:r>
    </w:p>
    <w:p>
      <w:pPr>
        <w:spacing w:after="40" w:before="0" w:line="240" w:lineRule="auto"/>
        <w:ind w:left="317" w:hanging="317"/>
        <w:jc w:val="both"/>
      </w:pPr>
      <w:r>
        <w:rPr>
          <w:rFonts w:ascii="Times New Roman" w:hAnsi="Times New Roman" w:cs="Times New Roman"/>
          <w:b w:val="0"/>
          <w:i w:val="0"/>
          <w:caps w:val="0"/>
          <w:sz w:val="16"/>
        </w:rPr>
        <w:t xml:space="preserve">[11] </w:t>
      </w:r>
      <w:r>
        <w:rPr>
          <w:rFonts w:ascii="Times New Roman" w:hAnsi="Times New Roman" w:cs="Times New Roman"/>
          <w:b w:val="0"/>
          <w:i w:val="0"/>
          <w:caps w:val="0"/>
          <w:sz w:val="16"/>
        </w:rPr>
        <w:t>“Antisense oligonucleotide-mediated MSH3 suppression reduces somatic CAG repeat expansion in Huntington's disease iPSC-derived striatal neurons,” Science Translational Medicine, 2025, doi:10.1126/scitranslmed.adn4600.</w:t>
      </w:r>
    </w:p>
    <w:p>
      <w:pPr>
        <w:spacing w:after="40" w:before="0" w:line="240" w:lineRule="auto"/>
        <w:ind w:left="317" w:hanging="317"/>
        <w:jc w:val="both"/>
      </w:pPr>
      <w:r>
        <w:rPr>
          <w:rFonts w:ascii="Times New Roman" w:hAnsi="Times New Roman" w:cs="Times New Roman"/>
          <w:b w:val="0"/>
          <w:i w:val="0"/>
          <w:caps w:val="0"/>
          <w:sz w:val="16"/>
        </w:rPr>
        <w:t xml:space="preserve">[12] </w:t>
      </w:r>
      <w:r>
        <w:rPr>
          <w:rFonts w:ascii="Times New Roman" w:hAnsi="Times New Roman" w:cs="Times New Roman"/>
          <w:b w:val="0"/>
          <w:i w:val="0"/>
          <w:caps w:val="0"/>
          <w:sz w:val="16"/>
        </w:rPr>
        <w:t>Enroll-HD, “Special characteristics of HD data,” citing J. H. Warner et al., “Standardizing the CAP score in Huntington's disease.” [Online]. Available: https://enroll-hd.org/for-researchers/analyzing-data/</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subject/>
  <dc:creator>Shubho</dc:creator>
  <cp:keywords/>
  <dc:description>generated by python-docx</dc:description>
  <cp:lastModifiedBy/>
  <cp:revision>1</cp:revision>
  <dcterms:created xsi:type="dcterms:W3CDTF">2013-12-23T23:15:00Z</dcterms:created>
  <dcterms:modified xsi:type="dcterms:W3CDTF">2013-12-23T23:15:00Z</dcterms:modified>
  <cp:category/>
</cp:coreProperties>
</file>