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A2F00" w14:textId="01E2C200" w:rsidR="003E2FFD" w:rsidRDefault="0083662B" w:rsidP="00F25824">
      <w:pPr>
        <w:ind w:left="-851"/>
        <w:jc w:val="center"/>
        <w:rPr>
          <w:b/>
          <w:bCs/>
          <w:color w:val="2F5496" w:themeColor="accent1" w:themeShade="BF"/>
          <w:sz w:val="36"/>
          <w:szCs w:val="36"/>
        </w:rPr>
      </w:pPr>
      <w:r>
        <w:rPr>
          <w:b/>
          <w:bCs/>
          <w:color w:val="2F5496" w:themeColor="accent1" w:themeShade="BF"/>
          <w:sz w:val="36"/>
          <w:szCs w:val="36"/>
        </w:rPr>
        <w:t xml:space="preserve">        </w:t>
      </w:r>
      <w:r w:rsidR="003E2FFD" w:rsidRPr="003E2FFD">
        <w:rPr>
          <w:b/>
          <w:bCs/>
          <w:color w:val="2F5496" w:themeColor="accent1" w:themeShade="BF"/>
          <w:sz w:val="36"/>
          <w:szCs w:val="36"/>
        </w:rPr>
        <w:t>AI-Driven Content Management in Healthcare</w:t>
      </w:r>
    </w:p>
    <w:p w14:paraId="48116A1F" w14:textId="0469DEA4" w:rsidR="00263B9C" w:rsidRPr="00263B9C" w:rsidRDefault="00263B9C" w:rsidP="00F25824">
      <w:pPr>
        <w:pBdr>
          <w:bottom w:val="single" w:sz="4" w:space="1" w:color="auto"/>
        </w:pBdr>
        <w:ind w:left="-851"/>
        <w:jc w:val="center"/>
        <w:rPr>
          <w:b/>
          <w:bCs/>
          <w:color w:val="2F5496" w:themeColor="accent1" w:themeShade="BF"/>
          <w:sz w:val="28"/>
          <w:szCs w:val="28"/>
        </w:rPr>
      </w:pPr>
      <w:r w:rsidRPr="00263B9C">
        <w:rPr>
          <w:b/>
          <w:bCs/>
          <w:color w:val="2F5496" w:themeColor="accent1" w:themeShade="BF"/>
          <w:sz w:val="28"/>
          <w:szCs w:val="28"/>
        </w:rPr>
        <w:t>By-Shubham Suryakant Patil</w:t>
      </w:r>
    </w:p>
    <w:p w14:paraId="17D756CE" w14:textId="77777777" w:rsidR="00A975EC" w:rsidRDefault="003E2FFD" w:rsidP="00A975EC">
      <w:pPr>
        <w:pStyle w:val="ListParagraph"/>
        <w:numPr>
          <w:ilvl w:val="0"/>
          <w:numId w:val="1"/>
        </w:numPr>
        <w:ind w:left="-567" w:hanging="284"/>
        <w:rPr>
          <w:rFonts w:ascii="Georgia" w:hAnsi="Georgia"/>
          <w:b/>
          <w:bCs/>
          <w:color w:val="2F5496" w:themeColor="accent1" w:themeShade="BF"/>
        </w:rPr>
      </w:pPr>
      <w:r w:rsidRPr="0083711A">
        <w:rPr>
          <w:rFonts w:ascii="Georgia" w:hAnsi="Georgia"/>
          <w:b/>
          <w:bCs/>
          <w:color w:val="2F5496" w:themeColor="accent1" w:themeShade="BF"/>
        </w:rPr>
        <w:t>Concept Definition</w:t>
      </w:r>
    </w:p>
    <w:p w14:paraId="4F7F6F58" w14:textId="77777777" w:rsidR="00A975EC" w:rsidRPr="00F8444D" w:rsidRDefault="00A975EC" w:rsidP="00A975EC">
      <w:pPr>
        <w:pStyle w:val="ListParagraph"/>
        <w:ind w:left="-567"/>
        <w:jc w:val="both"/>
        <w:rPr>
          <w:rFonts w:ascii="Times New Roman" w:hAnsi="Times New Roman" w:cs="Times New Roman"/>
          <w:b/>
          <w:bCs/>
          <w:color w:val="2F5496" w:themeColor="accent1" w:themeShade="BF"/>
        </w:rPr>
      </w:pPr>
    </w:p>
    <w:p w14:paraId="69E9CB1E" w14:textId="77777777"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Healthcare organizations operate within a complex and continuously shifting policy environment governed by billing and coding policies (ICD-10, CPT, HCPCS), clinical practice guidelines, prior authorization criteria, payer-provider contracts, and federal regulations from bodies such as the </w:t>
      </w:r>
      <w:proofErr w:type="spellStart"/>
      <w:r w:rsidRPr="00F8444D">
        <w:rPr>
          <w:rFonts w:ascii="Times New Roman" w:hAnsi="Times New Roman" w:cs="Times New Roman"/>
          <w:color w:val="767171" w:themeColor="background2" w:themeShade="80"/>
        </w:rPr>
        <w:t>Centers</w:t>
      </w:r>
      <w:proofErr w:type="spellEnd"/>
      <w:r w:rsidRPr="00F8444D">
        <w:rPr>
          <w:rFonts w:ascii="Times New Roman" w:hAnsi="Times New Roman" w:cs="Times New Roman"/>
          <w:color w:val="767171" w:themeColor="background2" w:themeShade="80"/>
        </w:rPr>
        <w:t xml:space="preserve"> for Medicare &amp; Medicaid Services (CMS). These documents define what care is covered, how it is coded, and what gets paid — making them foundational to the financial and operational integrity of the healthcare system. Yet managing them is increasingly unsustainable. CMS issued over 400 LCD revisions in 2024, and the 2025 CPT update introduced 420 code changes. Professionals must continuously locate, interpret, and apply the correct version of the right document — a process that is time-consuming, error-prone, and consequential. Falling behind means coding errors, claim denials, audit exposure, and compliance failures.</w:t>
      </w:r>
    </w:p>
    <w:p w14:paraId="793911BA" w14:textId="77777777"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Generative AI offers a fundamentally different approach. Large Language Models (LLMs), Retrieval-Augmented Generation (RAG), and vector databases enable organizations to search, summarize, compare, and interpret policy documents with a speed and consistency that manual workflows cannot match. Rather than replacing professional judgment, these tools augment it — surfacing relevant policy context, flagging version changes, and translating written criteria into structured, actionable formats. For organizations like Cotiviti, this represents a direct strategic opportunity to reduce administrative burden, accelerate claims review, improve coding consistency, and strengthen decision-making across treatment, payment, and operations (TPO) — while preserving the auditability and regulatory trust that clients demand.</w:t>
      </w:r>
    </w:p>
    <w:p w14:paraId="7CF3029E" w14:textId="77777777" w:rsidR="00F25824" w:rsidRDefault="00F25824" w:rsidP="00F25824">
      <w:pPr>
        <w:pStyle w:val="ListParagraph"/>
        <w:ind w:left="-567" w:hanging="284"/>
        <w:jc w:val="both"/>
        <w:rPr>
          <w:rFonts w:ascii="Georgia" w:hAnsi="Georgia"/>
          <w:b/>
          <w:bCs/>
          <w:color w:val="2F5496" w:themeColor="accent1" w:themeShade="BF"/>
        </w:rPr>
      </w:pPr>
    </w:p>
    <w:p w14:paraId="49C4D536" w14:textId="4C052897" w:rsidR="0083711A" w:rsidRDefault="0083711A" w:rsidP="00F25824">
      <w:pPr>
        <w:pStyle w:val="ListParagraph"/>
        <w:ind w:left="-567" w:hanging="284"/>
        <w:jc w:val="both"/>
        <w:rPr>
          <w:rFonts w:ascii="Georgia" w:hAnsi="Georgia"/>
          <w:b/>
          <w:bCs/>
          <w:color w:val="2F5496" w:themeColor="accent1" w:themeShade="BF"/>
        </w:rPr>
      </w:pPr>
      <w:r w:rsidRPr="00A975EC">
        <w:rPr>
          <w:rFonts w:ascii="Georgia" w:hAnsi="Georgia"/>
          <w:b/>
          <w:bCs/>
          <w:color w:val="2F5496" w:themeColor="accent1" w:themeShade="BF"/>
        </w:rPr>
        <w:t>2. Relevant Trends</w:t>
      </w:r>
    </w:p>
    <w:p w14:paraId="7779B485" w14:textId="77777777" w:rsidR="003027AA" w:rsidRPr="00A975EC" w:rsidRDefault="003027AA" w:rsidP="00F25824">
      <w:pPr>
        <w:pStyle w:val="ListParagraph"/>
        <w:ind w:left="-567" w:hanging="284"/>
        <w:jc w:val="both"/>
        <w:rPr>
          <w:rFonts w:ascii="Georgia" w:hAnsi="Georgia"/>
          <w:b/>
          <w:bCs/>
          <w:color w:val="2F5496" w:themeColor="accent1" w:themeShade="BF"/>
        </w:rPr>
      </w:pPr>
    </w:p>
    <w:p w14:paraId="5EA2F0F1" w14:textId="77777777" w:rsidR="00F25824" w:rsidRPr="00F8444D" w:rsidRDefault="00F25824" w:rsidP="00F25824">
      <w:pPr>
        <w:pStyle w:val="ListParagraph"/>
        <w:ind w:left="-567"/>
        <w:jc w:val="both"/>
        <w:rPr>
          <w:rFonts w:ascii="Times New Roman" w:hAnsi="Times New Roman" w:cs="Times New Roman"/>
          <w:b/>
          <w:bCs/>
          <w:color w:val="767171" w:themeColor="background2" w:themeShade="80"/>
        </w:rPr>
      </w:pPr>
      <w:r w:rsidRPr="00F8444D">
        <w:rPr>
          <w:rFonts w:ascii="Georgia" w:hAnsi="Georgia"/>
          <w:b/>
          <w:bCs/>
          <w:color w:val="767171" w:themeColor="background2" w:themeShade="80"/>
        </w:rPr>
        <w:t>2</w:t>
      </w:r>
      <w:r w:rsidRPr="00F8444D">
        <w:rPr>
          <w:rFonts w:ascii="Times New Roman" w:hAnsi="Times New Roman" w:cs="Times New Roman"/>
          <w:b/>
          <w:bCs/>
          <w:color w:val="767171" w:themeColor="background2" w:themeShade="80"/>
        </w:rPr>
        <w:t>.1 LLMs Are Reaching Healthcare-Grade Performance</w:t>
      </w:r>
    </w:p>
    <w:p w14:paraId="2C023E2B" w14:textId="77777777" w:rsidR="00F25824" w:rsidRPr="00F8444D" w:rsidRDefault="00F25824" w:rsidP="00F25824">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By 2024–2025, LLM-generated medical summaries match or exceed human expert quality on specific tasks, and LLMs surpassed deep learning as the most-published AI model type in healthcare research — with 479 studies in a single year (</w:t>
      </w:r>
      <w:proofErr w:type="spellStart"/>
      <w:r w:rsidRPr="00F8444D">
        <w:rPr>
          <w:rFonts w:ascii="Times New Roman" w:hAnsi="Times New Roman" w:cs="Times New Roman"/>
          <w:color w:val="767171" w:themeColor="background2" w:themeShade="80"/>
        </w:rPr>
        <w:t>medrxiv</w:t>
      </w:r>
      <w:proofErr w:type="spellEnd"/>
      <w:r w:rsidRPr="00F8444D">
        <w:rPr>
          <w:rFonts w:ascii="Times New Roman" w:hAnsi="Times New Roman" w:cs="Times New Roman"/>
          <w:color w:val="767171" w:themeColor="background2" w:themeShade="80"/>
        </w:rPr>
        <w:t xml:space="preserve">, 2025). Domain-adapted models such as </w:t>
      </w:r>
      <w:proofErr w:type="spellStart"/>
      <w:r w:rsidRPr="00F8444D">
        <w:rPr>
          <w:rFonts w:ascii="Times New Roman" w:hAnsi="Times New Roman" w:cs="Times New Roman"/>
          <w:color w:val="767171" w:themeColor="background2" w:themeShade="80"/>
        </w:rPr>
        <w:t>BioBERT</w:t>
      </w:r>
      <w:proofErr w:type="spellEnd"/>
      <w:r w:rsidRPr="00F8444D">
        <w:rPr>
          <w:rFonts w:ascii="Times New Roman" w:hAnsi="Times New Roman" w:cs="Times New Roman"/>
          <w:color w:val="767171" w:themeColor="background2" w:themeShade="80"/>
        </w:rPr>
        <w:t xml:space="preserve">, </w:t>
      </w:r>
      <w:proofErr w:type="spellStart"/>
      <w:r w:rsidRPr="00F8444D">
        <w:rPr>
          <w:rFonts w:ascii="Times New Roman" w:hAnsi="Times New Roman" w:cs="Times New Roman"/>
          <w:color w:val="767171" w:themeColor="background2" w:themeShade="80"/>
        </w:rPr>
        <w:t>ClinicalBERT</w:t>
      </w:r>
      <w:proofErr w:type="spellEnd"/>
      <w:r w:rsidRPr="00F8444D">
        <w:rPr>
          <w:rFonts w:ascii="Times New Roman" w:hAnsi="Times New Roman" w:cs="Times New Roman"/>
          <w:color w:val="767171" w:themeColor="background2" w:themeShade="80"/>
        </w:rPr>
        <w:t xml:space="preserve">, and </w:t>
      </w:r>
      <w:proofErr w:type="spellStart"/>
      <w:r w:rsidRPr="00F8444D">
        <w:rPr>
          <w:rFonts w:ascii="Times New Roman" w:hAnsi="Times New Roman" w:cs="Times New Roman"/>
          <w:color w:val="767171" w:themeColor="background2" w:themeShade="80"/>
        </w:rPr>
        <w:t>GatorTron</w:t>
      </w:r>
      <w:proofErr w:type="spellEnd"/>
      <w:r w:rsidRPr="00F8444D">
        <w:rPr>
          <w:rFonts w:ascii="Times New Roman" w:hAnsi="Times New Roman" w:cs="Times New Roman"/>
          <w:color w:val="767171" w:themeColor="background2" w:themeShade="80"/>
        </w:rPr>
        <w:t xml:space="preserve"> now perform reliably on named entity recognition and policy text classification (PLOS Digital Health, 2025). The capability to interpret complex healthcare policy content at production scale now exists.</w:t>
      </w:r>
    </w:p>
    <w:p w14:paraId="33068141" w14:textId="77777777" w:rsidR="00F8444D" w:rsidRDefault="00F8444D" w:rsidP="00F25824">
      <w:pPr>
        <w:pStyle w:val="ListParagraph"/>
        <w:ind w:left="-567"/>
        <w:jc w:val="both"/>
        <w:rPr>
          <w:rFonts w:ascii="Times New Roman" w:hAnsi="Times New Roman" w:cs="Times New Roman"/>
          <w:b/>
          <w:bCs/>
          <w:color w:val="767171" w:themeColor="background2" w:themeShade="80"/>
        </w:rPr>
      </w:pPr>
    </w:p>
    <w:p w14:paraId="6D17D1AF" w14:textId="12D5E6DE" w:rsidR="00F25824" w:rsidRPr="00F8444D" w:rsidRDefault="00F25824" w:rsidP="00F25824">
      <w:pPr>
        <w:pStyle w:val="ListParagraph"/>
        <w:ind w:left="-567"/>
        <w:jc w:val="both"/>
        <w:rPr>
          <w:rFonts w:ascii="Times New Roman" w:hAnsi="Times New Roman" w:cs="Times New Roman"/>
          <w:b/>
          <w:bCs/>
          <w:color w:val="767171" w:themeColor="background2" w:themeShade="80"/>
        </w:rPr>
      </w:pPr>
      <w:r w:rsidRPr="00F8444D">
        <w:rPr>
          <w:rFonts w:ascii="Times New Roman" w:hAnsi="Times New Roman" w:cs="Times New Roman"/>
          <w:b/>
          <w:bCs/>
          <w:color w:val="767171" w:themeColor="background2" w:themeShade="80"/>
        </w:rPr>
        <w:t>2.2 RAG Is the Architecture of Choice for Policy Applications</w:t>
      </w:r>
    </w:p>
    <w:p w14:paraId="45D40D27" w14:textId="77777777" w:rsidR="00F25824" w:rsidRPr="00F8444D" w:rsidRDefault="00F25824" w:rsidP="00F25824">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RAG grounds LLM outputs in retrieved, verifiable source documents — enabling every AI-generated interpretation to be traced to a specific policy, version, and effective date. A 2025 systematic review confirmed RAG outperforms standalone LLMs on complex medical reasoning in regulated environments (PMC, 2025). Unlike fine-tuned models, RAG updates by modifying the knowledge base rather than retraining — making it well-suited to CMS and payer policy revision cycles.</w:t>
      </w:r>
    </w:p>
    <w:p w14:paraId="68F8991B" w14:textId="77777777" w:rsidR="00F8444D" w:rsidRDefault="00F8444D" w:rsidP="00F25824">
      <w:pPr>
        <w:pStyle w:val="ListParagraph"/>
        <w:ind w:left="-567"/>
        <w:jc w:val="both"/>
        <w:rPr>
          <w:rFonts w:ascii="Times New Roman" w:hAnsi="Times New Roman" w:cs="Times New Roman"/>
          <w:b/>
          <w:bCs/>
          <w:color w:val="767171" w:themeColor="background2" w:themeShade="80"/>
        </w:rPr>
      </w:pPr>
    </w:p>
    <w:p w14:paraId="73095E44" w14:textId="1B9973B5" w:rsidR="00F25824" w:rsidRPr="00F8444D" w:rsidRDefault="00F25824" w:rsidP="00F25824">
      <w:pPr>
        <w:pStyle w:val="ListParagraph"/>
        <w:ind w:left="-567"/>
        <w:jc w:val="both"/>
        <w:rPr>
          <w:rFonts w:ascii="Times New Roman" w:hAnsi="Times New Roman" w:cs="Times New Roman"/>
          <w:b/>
          <w:bCs/>
          <w:color w:val="767171" w:themeColor="background2" w:themeShade="80"/>
        </w:rPr>
      </w:pPr>
      <w:r w:rsidRPr="00F8444D">
        <w:rPr>
          <w:rFonts w:ascii="Times New Roman" w:hAnsi="Times New Roman" w:cs="Times New Roman"/>
          <w:b/>
          <w:bCs/>
          <w:color w:val="767171" w:themeColor="background2" w:themeShade="80"/>
        </w:rPr>
        <w:t xml:space="preserve">2.3 Agentic AI Is Shifting </w:t>
      </w:r>
      <w:proofErr w:type="gramStart"/>
      <w:r w:rsidRPr="00F8444D">
        <w:rPr>
          <w:rFonts w:ascii="Times New Roman" w:hAnsi="Times New Roman" w:cs="Times New Roman"/>
          <w:b/>
          <w:bCs/>
          <w:color w:val="767171" w:themeColor="background2" w:themeShade="80"/>
        </w:rPr>
        <w:t>From</w:t>
      </w:r>
      <w:proofErr w:type="gramEnd"/>
      <w:r w:rsidRPr="00F8444D">
        <w:rPr>
          <w:rFonts w:ascii="Times New Roman" w:hAnsi="Times New Roman" w:cs="Times New Roman"/>
          <w:b/>
          <w:bCs/>
          <w:color w:val="767171" w:themeColor="background2" w:themeShade="80"/>
        </w:rPr>
        <w:t xml:space="preserve"> Assistance to Autonomous Execution</w:t>
      </w:r>
    </w:p>
    <w:p w14:paraId="49725362" w14:textId="77777777" w:rsidR="00F25824" w:rsidRPr="00F8444D" w:rsidRDefault="00F25824" w:rsidP="00F25824">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Agentic AI systems autonomously execute multi-step workflows across policy documents, payer rules, and clinical records without per-task human initiation. Nvidia's VP of Healthcare called 2025 "an absolute breakout year for agentic AI" (AHA, 2026). In content management, these systems can ingest live policy feeds, detect version changes, update rule libraries, and generate denial appeals end-to-end (IDC, 2025) — directly accelerating the speed at which Cotiviti operationalizes new policy logic across thousands of payment rules.</w:t>
      </w:r>
    </w:p>
    <w:p w14:paraId="2AF1CBEB" w14:textId="77777777" w:rsidR="00F25824" w:rsidRDefault="00F25824" w:rsidP="00A975EC">
      <w:pPr>
        <w:pStyle w:val="ListParagraph"/>
        <w:ind w:left="-567"/>
        <w:jc w:val="both"/>
        <w:rPr>
          <w:rFonts w:ascii="Georgia" w:hAnsi="Georgia"/>
          <w:b/>
          <w:bCs/>
          <w:color w:val="2F5496" w:themeColor="accent1" w:themeShade="BF"/>
        </w:rPr>
      </w:pPr>
    </w:p>
    <w:p w14:paraId="10CFBC6A" w14:textId="532AC5C4" w:rsidR="00A975EC" w:rsidRPr="00A975EC" w:rsidRDefault="00A975EC" w:rsidP="00A975EC">
      <w:pPr>
        <w:pStyle w:val="ListParagraph"/>
        <w:ind w:left="-567"/>
        <w:jc w:val="both"/>
        <w:rPr>
          <w:rFonts w:ascii="Georgia" w:hAnsi="Georgia"/>
          <w:color w:val="767171" w:themeColor="background2" w:themeShade="80"/>
        </w:rPr>
      </w:pPr>
      <w:r w:rsidRPr="00A975EC">
        <w:rPr>
          <w:rFonts w:ascii="Georgia" w:hAnsi="Georgia"/>
          <w:b/>
          <w:bCs/>
          <w:color w:val="2F5496" w:themeColor="accent1" w:themeShade="BF"/>
        </w:rPr>
        <w:t>3. Opportunities and Threats</w:t>
      </w:r>
    </w:p>
    <w:p w14:paraId="35C4BC70" w14:textId="77777777" w:rsidR="00F25824" w:rsidRDefault="00F25824" w:rsidP="00A975EC">
      <w:pPr>
        <w:pStyle w:val="ListParagraph"/>
        <w:ind w:left="-567"/>
        <w:jc w:val="both"/>
        <w:rPr>
          <w:rFonts w:ascii="Georgia" w:hAnsi="Georgia"/>
          <w:b/>
          <w:bCs/>
          <w:color w:val="2F5496" w:themeColor="accent1" w:themeShade="BF"/>
        </w:rPr>
      </w:pPr>
    </w:p>
    <w:p w14:paraId="0C7BE49C" w14:textId="1001F29A" w:rsidR="00A975EC" w:rsidRPr="00A975EC" w:rsidRDefault="00A975EC" w:rsidP="00A975EC">
      <w:pPr>
        <w:pStyle w:val="ListParagraph"/>
        <w:ind w:left="-567"/>
        <w:jc w:val="both"/>
        <w:rPr>
          <w:rFonts w:ascii="Georgia" w:hAnsi="Georgia"/>
          <w:color w:val="2F5496" w:themeColor="accent1" w:themeShade="BF"/>
        </w:rPr>
      </w:pPr>
      <w:r w:rsidRPr="00A975EC">
        <w:rPr>
          <w:rFonts w:ascii="Georgia" w:hAnsi="Georgia"/>
          <w:b/>
          <w:bCs/>
          <w:color w:val="2F5496" w:themeColor="accent1" w:themeShade="BF"/>
        </w:rPr>
        <w:t>Opportunities</w:t>
      </w:r>
    </w:p>
    <w:p w14:paraId="07FDEDB2" w14:textId="24167D0C"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The most immediate opportunity is </w:t>
      </w:r>
      <w:r w:rsidRPr="00F8444D">
        <w:rPr>
          <w:rFonts w:ascii="Times New Roman" w:hAnsi="Times New Roman" w:cs="Times New Roman"/>
          <w:b/>
          <w:bCs/>
          <w:color w:val="767171" w:themeColor="background2" w:themeShade="80"/>
        </w:rPr>
        <w:t>operational efficiency</w:t>
      </w:r>
      <w:r w:rsidRPr="00F8444D">
        <w:rPr>
          <w:rFonts w:ascii="Times New Roman" w:hAnsi="Times New Roman" w:cs="Times New Roman"/>
          <w:color w:val="767171" w:themeColor="background2" w:themeShade="80"/>
        </w:rPr>
        <w:t>. AI can summarize lengthy policy documents, surface relevant sections on demand, and answer document-specific questions in seconds — work that currently consumes hours of analyst time. For organizations processing thousands of claims daily, that reduction in manual effort compounds quickly into measurable cost savings and faster cycle times.</w:t>
      </w:r>
    </w:p>
    <w:p w14:paraId="339481E8" w14:textId="77777777"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A second opportunity is </w:t>
      </w:r>
      <w:r w:rsidRPr="00F8444D">
        <w:rPr>
          <w:rFonts w:ascii="Times New Roman" w:hAnsi="Times New Roman" w:cs="Times New Roman"/>
          <w:b/>
          <w:bCs/>
          <w:color w:val="767171" w:themeColor="background2" w:themeShade="80"/>
        </w:rPr>
        <w:t>payment accuracy and consistency</w:t>
      </w:r>
      <w:r w:rsidRPr="00F8444D">
        <w:rPr>
          <w:rFonts w:ascii="Times New Roman" w:hAnsi="Times New Roman" w:cs="Times New Roman"/>
          <w:color w:val="767171" w:themeColor="background2" w:themeShade="80"/>
        </w:rPr>
        <w:t xml:space="preserve">. Inconsistent interpretation of billing and coding policies is a leading driver of claim errors and improper payments. AI-powered systems apply the same logic uniformly across every claim, reducing variability introduced by human fatigue, knowledge gaps, or staff turnover. </w:t>
      </w:r>
      <w:r w:rsidRPr="00F8444D">
        <w:rPr>
          <w:rFonts w:ascii="Times New Roman" w:hAnsi="Times New Roman" w:cs="Times New Roman"/>
          <w:color w:val="767171" w:themeColor="background2" w:themeShade="80"/>
        </w:rPr>
        <w:lastRenderedPageBreak/>
        <w:t>Automated detection of policy updates further ensures that reimbursement decisions reflect current — not outdated — coverage criteria.</w:t>
      </w:r>
    </w:p>
    <w:p w14:paraId="63487C9E" w14:textId="77777777"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Third is </w:t>
      </w:r>
      <w:r w:rsidRPr="00F8444D">
        <w:rPr>
          <w:rFonts w:ascii="Times New Roman" w:hAnsi="Times New Roman" w:cs="Times New Roman"/>
          <w:b/>
          <w:bCs/>
          <w:color w:val="767171" w:themeColor="background2" w:themeShade="80"/>
        </w:rPr>
        <w:t>centralized knowledge management</w:t>
      </w:r>
      <w:r w:rsidRPr="00F8444D">
        <w:rPr>
          <w:rFonts w:ascii="Times New Roman" w:hAnsi="Times New Roman" w:cs="Times New Roman"/>
          <w:color w:val="767171" w:themeColor="background2" w:themeShade="80"/>
        </w:rPr>
        <w:t>. Rather than navigating fragmented document libraries, analysts and clinicians can query a single AI-assisted system that returns context-aware answers with direct citations. This accelerates decision-making, shortens onboarding time for new staff, and reduces the institutional knowledge risk that comes with employee turnover.</w:t>
      </w:r>
    </w:p>
    <w:p w14:paraId="6EE1A358" w14:textId="77777777"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Finally, AI enables </w:t>
      </w:r>
      <w:r w:rsidRPr="00F8444D">
        <w:rPr>
          <w:rFonts w:ascii="Times New Roman" w:hAnsi="Times New Roman" w:cs="Times New Roman"/>
          <w:b/>
          <w:bCs/>
          <w:color w:val="767171" w:themeColor="background2" w:themeShade="80"/>
        </w:rPr>
        <w:t>document intelligence at scale</w:t>
      </w:r>
      <w:r w:rsidRPr="00F8444D">
        <w:rPr>
          <w:rFonts w:ascii="Times New Roman" w:hAnsi="Times New Roman" w:cs="Times New Roman"/>
          <w:color w:val="767171" w:themeColor="background2" w:themeShade="80"/>
        </w:rPr>
        <w:t xml:space="preserve"> — converting unstructured policy text into structured, </w:t>
      </w:r>
      <w:proofErr w:type="spellStart"/>
      <w:r w:rsidRPr="00F8444D">
        <w:rPr>
          <w:rFonts w:ascii="Times New Roman" w:hAnsi="Times New Roman" w:cs="Times New Roman"/>
          <w:color w:val="767171" w:themeColor="background2" w:themeShade="80"/>
        </w:rPr>
        <w:t>queryable</w:t>
      </w:r>
      <w:proofErr w:type="spellEnd"/>
      <w:r w:rsidRPr="00F8444D">
        <w:rPr>
          <w:rFonts w:ascii="Times New Roman" w:hAnsi="Times New Roman" w:cs="Times New Roman"/>
          <w:color w:val="767171" w:themeColor="background2" w:themeShade="80"/>
        </w:rPr>
        <w:t xml:space="preserve"> knowledge assets that can feed analytics pipelines, automate downstream workflows, and support future AI applications across the enterprise.</w:t>
      </w:r>
    </w:p>
    <w:p w14:paraId="0148A980" w14:textId="77777777" w:rsidR="00F8444D" w:rsidRDefault="00F8444D" w:rsidP="00A975EC">
      <w:pPr>
        <w:pStyle w:val="ListParagraph"/>
        <w:ind w:left="-567"/>
        <w:jc w:val="both"/>
        <w:rPr>
          <w:rFonts w:ascii="Georgia" w:hAnsi="Georgia"/>
          <w:b/>
          <w:bCs/>
          <w:color w:val="2F5496" w:themeColor="accent1" w:themeShade="BF"/>
        </w:rPr>
      </w:pPr>
    </w:p>
    <w:p w14:paraId="61446106" w14:textId="63424B1E" w:rsidR="00A975EC" w:rsidRPr="00A975EC" w:rsidRDefault="00A975EC" w:rsidP="00A975EC">
      <w:pPr>
        <w:pStyle w:val="ListParagraph"/>
        <w:ind w:left="-567"/>
        <w:jc w:val="both"/>
        <w:rPr>
          <w:rFonts w:ascii="Georgia" w:hAnsi="Georgia"/>
          <w:color w:val="2F5496" w:themeColor="accent1" w:themeShade="BF"/>
        </w:rPr>
      </w:pPr>
      <w:r w:rsidRPr="00A975EC">
        <w:rPr>
          <w:rFonts w:ascii="Georgia" w:hAnsi="Georgia"/>
          <w:b/>
          <w:bCs/>
          <w:color w:val="2F5496" w:themeColor="accent1" w:themeShade="BF"/>
        </w:rPr>
        <w:t>Threats</w:t>
      </w:r>
    </w:p>
    <w:p w14:paraId="7F3825F5" w14:textId="4CAEA3B6"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The most critical risk is </w:t>
      </w:r>
      <w:r w:rsidRPr="00F8444D">
        <w:rPr>
          <w:rFonts w:ascii="Times New Roman" w:hAnsi="Times New Roman" w:cs="Times New Roman"/>
          <w:b/>
          <w:bCs/>
          <w:color w:val="767171" w:themeColor="background2" w:themeShade="80"/>
        </w:rPr>
        <w:t>hallucination and output reliability</w:t>
      </w:r>
      <w:r w:rsidRPr="00F8444D">
        <w:rPr>
          <w:rFonts w:ascii="Times New Roman" w:hAnsi="Times New Roman" w:cs="Times New Roman"/>
          <w:color w:val="767171" w:themeColor="background2" w:themeShade="80"/>
        </w:rPr>
        <w:t>. LLMs can generate plausible but incorrect policy interpretations, and in a payment integrity context, a single misread coverage criterion can trigger erroneous claim edits, improper denials, or audit exposure — hallucination rates in medical summarization have reached as high as 61.6% in unconstrained settings (Frontiers in Digital Health, 2026).</w:t>
      </w:r>
    </w:p>
    <w:p w14:paraId="28151626" w14:textId="77777777"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b/>
          <w:bCs/>
          <w:color w:val="767171" w:themeColor="background2" w:themeShade="80"/>
        </w:rPr>
        <w:t>Privacy and compliance</w:t>
      </w:r>
      <w:r w:rsidRPr="00F8444D">
        <w:rPr>
          <w:rFonts w:ascii="Times New Roman" w:hAnsi="Times New Roman" w:cs="Times New Roman"/>
          <w:color w:val="767171" w:themeColor="background2" w:themeShade="80"/>
        </w:rPr>
        <w:t xml:space="preserve"> present equally serious concerns. Healthcare policy workflows often involve protected health information (PHI), requiring HIPAA compliance, immutable audit trails, and formal data governance controls. General-purpose LLM APIs cannot be deployed in this environment without appropriate architectural safeguards and business associate agreements.</w:t>
      </w:r>
    </w:p>
    <w:p w14:paraId="4BFF8A3E" w14:textId="77777777"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b/>
          <w:bCs/>
          <w:color w:val="767171" w:themeColor="background2" w:themeShade="80"/>
        </w:rPr>
        <w:t>Policy currency</w:t>
      </w:r>
      <w:r w:rsidRPr="00F8444D">
        <w:rPr>
          <w:rFonts w:ascii="Times New Roman" w:hAnsi="Times New Roman" w:cs="Times New Roman"/>
          <w:color w:val="767171" w:themeColor="background2" w:themeShade="80"/>
        </w:rPr>
        <w:t xml:space="preserve"> is easy to underestimate. AI systems are only as accurate as the documents they index against. Knowledge bases that are not actively maintained will silently drift from current policy — with compounding downstream consequences.</w:t>
      </w:r>
    </w:p>
    <w:p w14:paraId="25674F95" w14:textId="77777777"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Finally, </w:t>
      </w:r>
      <w:r w:rsidRPr="00F8444D">
        <w:rPr>
          <w:rFonts w:ascii="Times New Roman" w:hAnsi="Times New Roman" w:cs="Times New Roman"/>
          <w:b/>
          <w:bCs/>
          <w:color w:val="767171" w:themeColor="background2" w:themeShade="80"/>
        </w:rPr>
        <w:t>user trust</w:t>
      </w:r>
      <w:r w:rsidRPr="00F8444D">
        <w:rPr>
          <w:rFonts w:ascii="Times New Roman" w:hAnsi="Times New Roman" w:cs="Times New Roman"/>
          <w:color w:val="767171" w:themeColor="background2" w:themeShade="80"/>
        </w:rPr>
        <w:t xml:space="preserve"> cannot be assumed. Clinicians and analysts will not act on AI-generated recommendations they cannot verify. Without transparent source citations and clear human oversight checkpoints, adoption will stall regardless of technical performance.</w:t>
      </w:r>
    </w:p>
    <w:p w14:paraId="1243649A" w14:textId="77777777" w:rsidR="00F25824" w:rsidRPr="00A975EC" w:rsidRDefault="00F25824" w:rsidP="00A975EC">
      <w:pPr>
        <w:pStyle w:val="ListParagraph"/>
        <w:ind w:left="-567"/>
        <w:jc w:val="both"/>
        <w:rPr>
          <w:rFonts w:ascii="Georgia" w:hAnsi="Georgia"/>
          <w:color w:val="767171" w:themeColor="background2" w:themeShade="80"/>
        </w:rPr>
      </w:pPr>
    </w:p>
    <w:p w14:paraId="3478EFF7" w14:textId="62BD662A" w:rsidR="00A975EC" w:rsidRDefault="00A975EC" w:rsidP="00A975EC">
      <w:pPr>
        <w:pStyle w:val="ListParagraph"/>
        <w:ind w:left="-567"/>
        <w:jc w:val="both"/>
        <w:rPr>
          <w:rFonts w:ascii="Georgia" w:hAnsi="Georgia"/>
          <w:b/>
          <w:bCs/>
          <w:color w:val="2F5496" w:themeColor="accent1" w:themeShade="BF"/>
        </w:rPr>
      </w:pPr>
      <w:r w:rsidRPr="00A975EC">
        <w:rPr>
          <w:rFonts w:ascii="Georgia" w:hAnsi="Georgia"/>
          <w:b/>
          <w:bCs/>
          <w:color w:val="2F5496" w:themeColor="accent1" w:themeShade="BF"/>
        </w:rPr>
        <w:t>4. Strategic Recommendations for Cotiviti</w:t>
      </w:r>
    </w:p>
    <w:p w14:paraId="4A87D08C" w14:textId="77777777" w:rsidR="003027AA" w:rsidRDefault="003027AA" w:rsidP="00A975EC">
      <w:pPr>
        <w:pStyle w:val="ListParagraph"/>
        <w:ind w:left="-567"/>
        <w:jc w:val="both"/>
        <w:rPr>
          <w:rFonts w:ascii="Georgia" w:hAnsi="Georgia"/>
          <w:b/>
          <w:bCs/>
          <w:color w:val="2F5496" w:themeColor="accent1" w:themeShade="BF"/>
        </w:rPr>
      </w:pPr>
    </w:p>
    <w:p w14:paraId="74BF3A00" w14:textId="77777777"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b/>
          <w:bCs/>
          <w:color w:val="767171" w:themeColor="background2" w:themeShade="80"/>
        </w:rPr>
        <w:t>4.1 Automate the Policy-to-Edit Pipeline with AI-Assisted Rule Authoring</w:t>
      </w:r>
    </w:p>
    <w:p w14:paraId="6720F6ED" w14:textId="04C063CC"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Cotiviti's most </w:t>
      </w:r>
      <w:proofErr w:type="spellStart"/>
      <w:r w:rsidRPr="00F8444D">
        <w:rPr>
          <w:rFonts w:ascii="Times New Roman" w:hAnsi="Times New Roman" w:cs="Times New Roman"/>
          <w:color w:val="767171" w:themeColor="background2" w:themeShade="80"/>
        </w:rPr>
        <w:t>labor</w:t>
      </w:r>
      <w:proofErr w:type="spellEnd"/>
      <w:r w:rsidR="00770994">
        <w:rPr>
          <w:rFonts w:ascii="Times New Roman" w:hAnsi="Times New Roman" w:cs="Times New Roman"/>
          <w:color w:val="767171" w:themeColor="background2" w:themeShade="80"/>
        </w:rPr>
        <w:t xml:space="preserve"> </w:t>
      </w:r>
      <w:r w:rsidRPr="00F8444D">
        <w:rPr>
          <w:rFonts w:ascii="Times New Roman" w:hAnsi="Times New Roman" w:cs="Times New Roman"/>
          <w:color w:val="767171" w:themeColor="background2" w:themeShade="80"/>
        </w:rPr>
        <w:t>-intensive content workflow is one that happens largely out of sight: certified coders, registered nurses, and medical directors manually monitoring CMS publications, reading updated LCDs and NCDs, and translating policy language into functioning claim edits — all before effective dates hit (Cotiviti, 2024). With CMS publishing NCCI updates four times annually, over 400 LCD revisions in 2024 alone, and CPT changes effective every January 1, the window between policy release and required system update is tight and unforgiving. A delay does not just create compliance risk — it creates improper payments that either escape prepay controls or require costly post</w:t>
      </w:r>
      <w:r w:rsidR="00800D50">
        <w:rPr>
          <w:rFonts w:ascii="Times New Roman" w:hAnsi="Times New Roman" w:cs="Times New Roman"/>
          <w:color w:val="767171" w:themeColor="background2" w:themeShade="80"/>
        </w:rPr>
        <w:t xml:space="preserve"> </w:t>
      </w:r>
      <w:r w:rsidRPr="00F8444D">
        <w:rPr>
          <w:rFonts w:ascii="Times New Roman" w:hAnsi="Times New Roman" w:cs="Times New Roman"/>
          <w:color w:val="767171" w:themeColor="background2" w:themeShade="80"/>
        </w:rPr>
        <w:t>pay recovery.</w:t>
      </w:r>
    </w:p>
    <w:p w14:paraId="76ADD5B6" w14:textId="77777777"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The specific recommendation is to build an AI-assisted rule authoring layer directly into Cotiviti's policy content workflow. When a new or revised LCD is published, the system would automatically: parse and summarize the coverage criteria changes; diff the new version against the prior version at the clause level; identify which existing claim edits are affected; and generate a draft rule update in structured logic for analyst review. The role of the coder or medical director shifts from reading and transcribing policy to reviewing and approving AI-generated drafts — a fundamentally faster and more scalable model. This is not a replacement for clinical judgment; it is the elimination of the most time-consuming non-judgmental work that precedes it.</w:t>
      </w:r>
    </w:p>
    <w:p w14:paraId="57D9C5B0" w14:textId="77777777" w:rsidR="00F8444D" w:rsidRDefault="00F8444D" w:rsidP="00A975EC">
      <w:pPr>
        <w:pStyle w:val="ListParagraph"/>
        <w:ind w:left="-567"/>
        <w:jc w:val="both"/>
        <w:rPr>
          <w:rFonts w:ascii="Times New Roman" w:hAnsi="Times New Roman" w:cs="Times New Roman"/>
          <w:b/>
          <w:bCs/>
          <w:color w:val="767171" w:themeColor="background2" w:themeShade="80"/>
        </w:rPr>
      </w:pPr>
    </w:p>
    <w:p w14:paraId="32EE7B7F" w14:textId="2DE22608" w:rsidR="00A975EC" w:rsidRPr="00F8444D" w:rsidRDefault="00A975EC" w:rsidP="00A975EC">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b/>
          <w:bCs/>
          <w:color w:val="767171" w:themeColor="background2" w:themeShade="80"/>
        </w:rPr>
        <w:t xml:space="preserve">4.2 </w:t>
      </w:r>
      <w:r w:rsidR="003027AA" w:rsidRPr="00F8444D">
        <w:rPr>
          <w:rFonts w:ascii="Times New Roman" w:hAnsi="Times New Roman" w:cs="Times New Roman"/>
          <w:b/>
          <w:bCs/>
          <w:color w:val="767171" w:themeColor="background2" w:themeShade="80"/>
        </w:rPr>
        <w:t>Build a Healthcare Knowledge Graph and Policy Intelligence Platform as a Long-Term Strategic Asset</w:t>
      </w:r>
    </w:p>
    <w:p w14:paraId="00B7F0B6" w14:textId="77777777" w:rsidR="003027AA" w:rsidRPr="00F8444D" w:rsidRDefault="003027AA" w:rsidP="003027AA">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Cotiviti should invest in a proprietary healthcare knowledge platform that integrates CMS regulations, payer policies, provider contracts, coding standards (ICD-10, CPT, HCPCS), and internal payment integrity rules into a unified knowledge graph. Rather than relying solely on standalone LLMs, future AI applications should leverage this structured knowledge base to understand relationships between policies, codes, claim edits, and reimbursement logic.</w:t>
      </w:r>
    </w:p>
    <w:p w14:paraId="2B9A1584" w14:textId="77777777" w:rsidR="003027AA" w:rsidRPr="00F8444D" w:rsidRDefault="003027AA" w:rsidP="003027AA">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As policies evolve, the platform could automatically identify affected coding rules, estimate operational impact, and recommend updates to existing payment integrity workflows. This would enable faster adaptation to regulatory changes while ensuring AI-generated recommendations remain consistent, explainable, and traceable to authoritative sources.</w:t>
      </w:r>
    </w:p>
    <w:p w14:paraId="5138208D" w14:textId="77777777" w:rsidR="003027AA" w:rsidRPr="00F8444D" w:rsidRDefault="003027AA" w:rsidP="003027AA">
      <w:pPr>
        <w:pStyle w:val="ListParagraph"/>
        <w:ind w:left="-567"/>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Unlike commercial language models, a continuously evolving healthcare knowledge platform built from Cotiviti's policy expertise and payment intelligence would become a proprietary asset that differentiates the company from competitors and provides a scalable foundation for future AI-driven healthcare solutions.</w:t>
      </w:r>
    </w:p>
    <w:p w14:paraId="0A971491" w14:textId="77777777" w:rsidR="00F8444D" w:rsidRDefault="00F8444D" w:rsidP="003027AA">
      <w:pPr>
        <w:pStyle w:val="ListParagraph"/>
        <w:ind w:left="-567"/>
        <w:jc w:val="both"/>
        <w:rPr>
          <w:rFonts w:ascii="Times New Roman" w:hAnsi="Times New Roman" w:cs="Times New Roman"/>
          <w:b/>
          <w:bCs/>
          <w:color w:val="767171" w:themeColor="background2" w:themeShade="80"/>
        </w:rPr>
      </w:pPr>
    </w:p>
    <w:p w14:paraId="590656F1" w14:textId="77777777" w:rsidR="00F8444D" w:rsidRDefault="00F8444D" w:rsidP="003027AA">
      <w:pPr>
        <w:pStyle w:val="ListParagraph"/>
        <w:ind w:left="-567"/>
        <w:jc w:val="both"/>
        <w:rPr>
          <w:rFonts w:ascii="Times New Roman" w:hAnsi="Times New Roman" w:cs="Times New Roman"/>
          <w:b/>
          <w:bCs/>
          <w:color w:val="767171" w:themeColor="background2" w:themeShade="80"/>
        </w:rPr>
      </w:pPr>
    </w:p>
    <w:p w14:paraId="1C6F90FE" w14:textId="60FCB05A" w:rsidR="003027AA" w:rsidRPr="00F8444D" w:rsidRDefault="003027AA" w:rsidP="003027AA">
      <w:pPr>
        <w:pStyle w:val="ListParagraph"/>
        <w:ind w:left="-567"/>
        <w:jc w:val="both"/>
        <w:rPr>
          <w:rFonts w:ascii="Times New Roman" w:hAnsi="Times New Roman" w:cs="Times New Roman"/>
          <w:b/>
          <w:bCs/>
          <w:color w:val="767171" w:themeColor="background2" w:themeShade="80"/>
        </w:rPr>
      </w:pPr>
      <w:r w:rsidRPr="00F8444D">
        <w:rPr>
          <w:rFonts w:ascii="Times New Roman" w:hAnsi="Times New Roman" w:cs="Times New Roman"/>
          <w:b/>
          <w:bCs/>
          <w:color w:val="767171" w:themeColor="background2" w:themeShade="80"/>
        </w:rPr>
        <w:lastRenderedPageBreak/>
        <w:t>References</w:t>
      </w:r>
    </w:p>
    <w:p w14:paraId="3B903056" w14:textId="77777777" w:rsidR="003027AA" w:rsidRPr="00F8444D" w:rsidRDefault="003027AA" w:rsidP="003027AA">
      <w:pPr>
        <w:pStyle w:val="ListParagraph"/>
        <w:ind w:left="-567"/>
        <w:jc w:val="both"/>
        <w:rPr>
          <w:rFonts w:ascii="Times New Roman" w:hAnsi="Times New Roman" w:cs="Times New Roman"/>
          <w:b/>
          <w:bCs/>
          <w:color w:val="767171" w:themeColor="background2" w:themeShade="80"/>
        </w:rPr>
      </w:pPr>
    </w:p>
    <w:p w14:paraId="4879E97C"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American Hospital Association. (2026, March 24). </w:t>
      </w:r>
      <w:r w:rsidRPr="00F8444D">
        <w:rPr>
          <w:rFonts w:ascii="Times New Roman" w:hAnsi="Times New Roman" w:cs="Times New Roman"/>
          <w:i/>
          <w:iCs/>
          <w:color w:val="767171" w:themeColor="background2" w:themeShade="80"/>
        </w:rPr>
        <w:t>Amazon introduces agentic AI for health care providers</w:t>
      </w:r>
      <w:r w:rsidRPr="00F8444D">
        <w:rPr>
          <w:rFonts w:ascii="Times New Roman" w:hAnsi="Times New Roman" w:cs="Times New Roman"/>
          <w:color w:val="767171" w:themeColor="background2" w:themeShade="80"/>
        </w:rPr>
        <w:t xml:space="preserve">. </w:t>
      </w:r>
      <w:hyperlink r:id="rId5" w:history="1">
        <w:r w:rsidRPr="00F8444D">
          <w:rPr>
            <w:rStyle w:val="Hyperlink"/>
            <w:rFonts w:ascii="Times New Roman" w:hAnsi="Times New Roman" w:cs="Times New Roman"/>
          </w:rPr>
          <w:t>https://www.aha.org/aha-center-health-innovation-market-scan/2026-03-24-amazon-introduces-agentic-ai-health-care-providers</w:t>
        </w:r>
      </w:hyperlink>
    </w:p>
    <w:p w14:paraId="3AC4A928"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07FF2101" w14:textId="26DE573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American Journal of Managed Care. (2025). </w:t>
      </w:r>
      <w:r w:rsidRPr="00F8444D">
        <w:rPr>
          <w:rFonts w:ascii="Times New Roman" w:hAnsi="Times New Roman" w:cs="Times New Roman"/>
          <w:i/>
          <w:iCs/>
          <w:color w:val="767171" w:themeColor="background2" w:themeShade="80"/>
        </w:rPr>
        <w:t>Survey reveals clinician confidence around using AI in PA process</w:t>
      </w:r>
      <w:r w:rsidRPr="00F8444D">
        <w:rPr>
          <w:rFonts w:ascii="Times New Roman" w:hAnsi="Times New Roman" w:cs="Times New Roman"/>
          <w:color w:val="767171" w:themeColor="background2" w:themeShade="80"/>
        </w:rPr>
        <w:t xml:space="preserve">. </w:t>
      </w:r>
      <w:hyperlink r:id="rId6" w:history="1">
        <w:r w:rsidRPr="00F8444D">
          <w:rPr>
            <w:rStyle w:val="Hyperlink"/>
            <w:rFonts w:ascii="Times New Roman" w:hAnsi="Times New Roman" w:cs="Times New Roman"/>
          </w:rPr>
          <w:t>https://www.ajmc.com/view/cohere-health-findings-on-ai-in-prior-authorization-conflict-with-ama-data</w:t>
        </w:r>
      </w:hyperlink>
    </w:p>
    <w:p w14:paraId="257CA1DD"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61A1C681" w14:textId="259A24A5"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roofErr w:type="spellStart"/>
      <w:r w:rsidRPr="00F8444D">
        <w:rPr>
          <w:rFonts w:ascii="Times New Roman" w:hAnsi="Times New Roman" w:cs="Times New Roman"/>
          <w:color w:val="767171" w:themeColor="background2" w:themeShade="80"/>
        </w:rPr>
        <w:t>Centers</w:t>
      </w:r>
      <w:proofErr w:type="spellEnd"/>
      <w:r w:rsidRPr="00F8444D">
        <w:rPr>
          <w:rFonts w:ascii="Times New Roman" w:hAnsi="Times New Roman" w:cs="Times New Roman"/>
          <w:color w:val="767171" w:themeColor="background2" w:themeShade="80"/>
        </w:rPr>
        <w:t xml:space="preserve"> for Medicare &amp; Medicaid Services. (2024). </w:t>
      </w:r>
      <w:r w:rsidRPr="00F8444D">
        <w:rPr>
          <w:rFonts w:ascii="Times New Roman" w:hAnsi="Times New Roman" w:cs="Times New Roman"/>
          <w:i/>
          <w:iCs/>
          <w:color w:val="767171" w:themeColor="background2" w:themeShade="80"/>
        </w:rPr>
        <w:t>CMS interoperability and prior authorization final rule CMS-0057-F</w:t>
      </w:r>
      <w:r w:rsidRPr="00F8444D">
        <w:rPr>
          <w:rFonts w:ascii="Times New Roman" w:hAnsi="Times New Roman" w:cs="Times New Roman"/>
          <w:color w:val="767171" w:themeColor="background2" w:themeShade="80"/>
        </w:rPr>
        <w:t xml:space="preserve">. </w:t>
      </w:r>
      <w:hyperlink r:id="rId7" w:history="1">
        <w:r w:rsidRPr="00F8444D">
          <w:rPr>
            <w:rStyle w:val="Hyperlink"/>
            <w:rFonts w:ascii="Times New Roman" w:hAnsi="Times New Roman" w:cs="Times New Roman"/>
          </w:rPr>
          <w:t>https://www.cms.gov/newsroom/fact-sheets/cms-interoperability-prior-authorization-final-rule-cms-0057-f</w:t>
        </w:r>
      </w:hyperlink>
    </w:p>
    <w:p w14:paraId="5B10438B"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164923F9" w14:textId="395A5F8C"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Cotiviti. (2024). </w:t>
      </w:r>
      <w:r w:rsidRPr="00F8444D">
        <w:rPr>
          <w:rFonts w:ascii="Times New Roman" w:hAnsi="Times New Roman" w:cs="Times New Roman"/>
          <w:i/>
          <w:iCs/>
          <w:color w:val="767171" w:themeColor="background2" w:themeShade="80"/>
        </w:rPr>
        <w:t>Execute healthcare claims editing more accurately — with less provider abrasion</w:t>
      </w:r>
      <w:r w:rsidRPr="00F8444D">
        <w:rPr>
          <w:rFonts w:ascii="Times New Roman" w:hAnsi="Times New Roman" w:cs="Times New Roman"/>
          <w:color w:val="767171" w:themeColor="background2" w:themeShade="80"/>
        </w:rPr>
        <w:t xml:space="preserve">. </w:t>
      </w:r>
      <w:hyperlink r:id="rId8" w:history="1">
        <w:r w:rsidRPr="00F8444D">
          <w:rPr>
            <w:rStyle w:val="Hyperlink"/>
            <w:rFonts w:ascii="Times New Roman" w:hAnsi="Times New Roman" w:cs="Times New Roman"/>
          </w:rPr>
          <w:t>https://blog.cotiviti.com/execute-healthcare-claims-editing-more-accurately-with-less-provider-abrasion</w:t>
        </w:r>
      </w:hyperlink>
    </w:p>
    <w:p w14:paraId="73F84AD3"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0EF5CA85" w14:textId="19FC027E"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Cotiviti. (2025). </w:t>
      </w:r>
      <w:r w:rsidRPr="00F8444D">
        <w:rPr>
          <w:rFonts w:ascii="Times New Roman" w:hAnsi="Times New Roman" w:cs="Times New Roman"/>
          <w:i/>
          <w:iCs/>
          <w:color w:val="767171" w:themeColor="background2" w:themeShade="80"/>
        </w:rPr>
        <w:t>Healthcare claim payment accuracy solutions</w:t>
      </w:r>
      <w:r w:rsidRPr="00F8444D">
        <w:rPr>
          <w:rFonts w:ascii="Times New Roman" w:hAnsi="Times New Roman" w:cs="Times New Roman"/>
          <w:color w:val="767171" w:themeColor="background2" w:themeShade="80"/>
        </w:rPr>
        <w:t xml:space="preserve">. </w:t>
      </w:r>
      <w:hyperlink r:id="rId9" w:history="1">
        <w:r w:rsidRPr="00F8444D">
          <w:rPr>
            <w:rStyle w:val="Hyperlink"/>
            <w:rFonts w:ascii="Times New Roman" w:hAnsi="Times New Roman" w:cs="Times New Roman"/>
          </w:rPr>
          <w:t>https://www.cotiviti.com/solutions/payment-accuracy</w:t>
        </w:r>
      </w:hyperlink>
    </w:p>
    <w:p w14:paraId="2CD29EA7"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0667199A" w14:textId="175B838E"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Cotiviti. (2025, May 12). </w:t>
      </w:r>
      <w:r w:rsidRPr="00F8444D">
        <w:rPr>
          <w:rFonts w:ascii="Times New Roman" w:hAnsi="Times New Roman" w:cs="Times New Roman"/>
          <w:i/>
          <w:iCs/>
          <w:color w:val="767171" w:themeColor="background2" w:themeShade="80"/>
        </w:rPr>
        <w:t>Cotiviti named highest-designated leader by Everest Group in the Payment Integrity Solutions PEAK Matrix® Assessment 2025</w:t>
      </w:r>
      <w:r w:rsidRPr="00F8444D">
        <w:rPr>
          <w:rFonts w:ascii="Times New Roman" w:hAnsi="Times New Roman" w:cs="Times New Roman"/>
          <w:color w:val="767171" w:themeColor="background2" w:themeShade="80"/>
        </w:rPr>
        <w:t xml:space="preserve">. </w:t>
      </w:r>
      <w:hyperlink r:id="rId10" w:history="1">
        <w:r w:rsidRPr="00F8444D">
          <w:rPr>
            <w:rStyle w:val="Hyperlink"/>
            <w:rFonts w:ascii="Times New Roman" w:hAnsi="Times New Roman" w:cs="Times New Roman"/>
          </w:rPr>
          <w:t>https://www.cotiviti.com/press-release/cotiviti-named-highest-designated-leader</w:t>
        </w:r>
      </w:hyperlink>
    </w:p>
    <w:p w14:paraId="25248912"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3C4DCEC9" w14:textId="271D2BC2"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Frontiers in Digital Health. (2025). </w:t>
      </w:r>
      <w:r w:rsidRPr="00F8444D">
        <w:rPr>
          <w:rFonts w:ascii="Times New Roman" w:hAnsi="Times New Roman" w:cs="Times New Roman"/>
          <w:i/>
          <w:iCs/>
          <w:color w:val="767171" w:themeColor="background2" w:themeShade="80"/>
        </w:rPr>
        <w:t>Large language models in real-world clinical workflows: A systematic review of applications and implementation</w:t>
      </w:r>
      <w:r w:rsidRPr="00F8444D">
        <w:rPr>
          <w:rFonts w:ascii="Times New Roman" w:hAnsi="Times New Roman" w:cs="Times New Roman"/>
          <w:color w:val="767171" w:themeColor="background2" w:themeShade="80"/>
        </w:rPr>
        <w:t xml:space="preserve">. </w:t>
      </w:r>
      <w:hyperlink r:id="rId11" w:history="1">
        <w:r w:rsidRPr="00F8444D">
          <w:rPr>
            <w:rStyle w:val="Hyperlink"/>
            <w:rFonts w:ascii="Times New Roman" w:hAnsi="Times New Roman" w:cs="Times New Roman"/>
          </w:rPr>
          <w:t>https://doi.org/10.3389/fdgth.2025.1659134</w:t>
        </w:r>
      </w:hyperlink>
    </w:p>
    <w:p w14:paraId="148F53C1"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1002C472" w14:textId="05AB37FB"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Frontiers in Digital Health. (2026). </w:t>
      </w:r>
      <w:r w:rsidRPr="00F8444D">
        <w:rPr>
          <w:rFonts w:ascii="Times New Roman" w:hAnsi="Times New Roman" w:cs="Times New Roman"/>
          <w:i/>
          <w:iCs/>
          <w:color w:val="767171" w:themeColor="background2" w:themeShade="80"/>
        </w:rPr>
        <w:t>MEDAI-LLM-SUMM: A reporting checklist for medical text summarization studies using large language models</w:t>
      </w:r>
      <w:r w:rsidRPr="00F8444D">
        <w:rPr>
          <w:rFonts w:ascii="Times New Roman" w:hAnsi="Times New Roman" w:cs="Times New Roman"/>
          <w:color w:val="767171" w:themeColor="background2" w:themeShade="80"/>
        </w:rPr>
        <w:t xml:space="preserve">. </w:t>
      </w:r>
      <w:hyperlink r:id="rId12" w:history="1">
        <w:r w:rsidRPr="00F8444D">
          <w:rPr>
            <w:rStyle w:val="Hyperlink"/>
            <w:rFonts w:ascii="Times New Roman" w:hAnsi="Times New Roman" w:cs="Times New Roman"/>
          </w:rPr>
          <w:t>https://doi.org/10.3389/fdgth.2026.1761601</w:t>
        </w:r>
      </w:hyperlink>
    </w:p>
    <w:p w14:paraId="0AFE65C3"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55371192" w14:textId="598CD619"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IDC Health Insights. (2025, December 11). </w:t>
      </w:r>
      <w:r w:rsidRPr="00F8444D">
        <w:rPr>
          <w:rFonts w:ascii="Times New Roman" w:hAnsi="Times New Roman" w:cs="Times New Roman"/>
          <w:i/>
          <w:iCs/>
          <w:color w:val="767171" w:themeColor="background2" w:themeShade="80"/>
        </w:rPr>
        <w:t>The U.S. healthcare prior authorization crisis: Will agentic AI come to the rescue?</w:t>
      </w:r>
      <w:r w:rsidRPr="00F8444D">
        <w:rPr>
          <w:rFonts w:ascii="Times New Roman" w:hAnsi="Times New Roman" w:cs="Times New Roman"/>
          <w:color w:val="767171" w:themeColor="background2" w:themeShade="80"/>
        </w:rPr>
        <w:t xml:space="preserve"> </w:t>
      </w:r>
      <w:hyperlink r:id="rId13" w:history="1">
        <w:r w:rsidRPr="00F8444D">
          <w:rPr>
            <w:rStyle w:val="Hyperlink"/>
            <w:rFonts w:ascii="Times New Roman" w:hAnsi="Times New Roman" w:cs="Times New Roman"/>
          </w:rPr>
          <w:t>https://www.idc.com/resource-center/blog/the-u-s-healthcare-prior-authorization-crisis-will-agentic-ai-come-to-the-rescue</w:t>
        </w:r>
      </w:hyperlink>
    </w:p>
    <w:p w14:paraId="64EB91A9"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3CA9E4CE" w14:textId="09F7079C"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IJNRD. (2025). Retrieval-augmented generation (RAG). </w:t>
      </w:r>
      <w:r w:rsidRPr="00F8444D">
        <w:rPr>
          <w:rFonts w:ascii="Times New Roman" w:hAnsi="Times New Roman" w:cs="Times New Roman"/>
          <w:i/>
          <w:iCs/>
          <w:color w:val="767171" w:themeColor="background2" w:themeShade="80"/>
        </w:rPr>
        <w:t>IJNRD, 10</w:t>
      </w:r>
      <w:r w:rsidRPr="00F8444D">
        <w:rPr>
          <w:rFonts w:ascii="Times New Roman" w:hAnsi="Times New Roman" w:cs="Times New Roman"/>
          <w:color w:val="767171" w:themeColor="background2" w:themeShade="80"/>
        </w:rPr>
        <w:t xml:space="preserve">(6). </w:t>
      </w:r>
      <w:hyperlink r:id="rId14" w:history="1">
        <w:r w:rsidRPr="00F8444D">
          <w:rPr>
            <w:rStyle w:val="Hyperlink"/>
            <w:rFonts w:ascii="Times New Roman" w:hAnsi="Times New Roman" w:cs="Times New Roman"/>
          </w:rPr>
          <w:t>https://www.ijnrd.org/papers/IJNRD2506195.pdf</w:t>
        </w:r>
      </w:hyperlink>
    </w:p>
    <w:p w14:paraId="792B1B63"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5CBB99B6" w14:textId="3C3FDDC1"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Lee, J., Yoon, W., Kim, S., Kim, D., Kim, S., So, C. H., &amp; Kang, J. (2020). </w:t>
      </w:r>
      <w:proofErr w:type="spellStart"/>
      <w:r w:rsidRPr="00F8444D">
        <w:rPr>
          <w:rFonts w:ascii="Times New Roman" w:hAnsi="Times New Roman" w:cs="Times New Roman"/>
          <w:color w:val="767171" w:themeColor="background2" w:themeShade="80"/>
        </w:rPr>
        <w:t>BioBERT</w:t>
      </w:r>
      <w:proofErr w:type="spellEnd"/>
      <w:r w:rsidRPr="00F8444D">
        <w:rPr>
          <w:rFonts w:ascii="Times New Roman" w:hAnsi="Times New Roman" w:cs="Times New Roman"/>
          <w:color w:val="767171" w:themeColor="background2" w:themeShade="80"/>
        </w:rPr>
        <w:t xml:space="preserve">: A pre-trained biomedical language representation model for biomedical text mining. </w:t>
      </w:r>
      <w:r w:rsidRPr="00F8444D">
        <w:rPr>
          <w:rFonts w:ascii="Times New Roman" w:hAnsi="Times New Roman" w:cs="Times New Roman"/>
          <w:i/>
          <w:iCs/>
          <w:color w:val="767171" w:themeColor="background2" w:themeShade="80"/>
        </w:rPr>
        <w:t>Bioinformatics, 36</w:t>
      </w:r>
      <w:r w:rsidRPr="00F8444D">
        <w:rPr>
          <w:rFonts w:ascii="Times New Roman" w:hAnsi="Times New Roman" w:cs="Times New Roman"/>
          <w:color w:val="767171" w:themeColor="background2" w:themeShade="80"/>
        </w:rPr>
        <w:t xml:space="preserve">(4), 1234–1240. </w:t>
      </w:r>
      <w:hyperlink r:id="rId15" w:history="1">
        <w:r w:rsidRPr="00F8444D">
          <w:rPr>
            <w:rStyle w:val="Hyperlink"/>
            <w:rFonts w:ascii="Times New Roman" w:hAnsi="Times New Roman" w:cs="Times New Roman"/>
          </w:rPr>
          <w:t>https://doi.org/10.1093/bioinformatics/btz682</w:t>
        </w:r>
      </w:hyperlink>
    </w:p>
    <w:p w14:paraId="3062184E"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2404C405" w14:textId="05C6A2D9"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PLOS Digital Health. (2025). </w:t>
      </w:r>
      <w:r w:rsidRPr="00F8444D">
        <w:rPr>
          <w:rFonts w:ascii="Times New Roman" w:hAnsi="Times New Roman" w:cs="Times New Roman"/>
          <w:i/>
          <w:iCs/>
          <w:color w:val="767171" w:themeColor="background2" w:themeShade="80"/>
        </w:rPr>
        <w:t>Clinical insights: A comprehensive review of language models in medicine</w:t>
      </w:r>
      <w:r w:rsidRPr="00F8444D">
        <w:rPr>
          <w:rFonts w:ascii="Times New Roman" w:hAnsi="Times New Roman" w:cs="Times New Roman"/>
          <w:color w:val="767171" w:themeColor="background2" w:themeShade="80"/>
        </w:rPr>
        <w:t xml:space="preserve">. </w:t>
      </w:r>
      <w:hyperlink r:id="rId16" w:history="1">
        <w:r w:rsidRPr="00F8444D">
          <w:rPr>
            <w:rStyle w:val="Hyperlink"/>
            <w:rFonts w:ascii="Times New Roman" w:hAnsi="Times New Roman" w:cs="Times New Roman"/>
          </w:rPr>
          <w:t>https://doi.org/10.1371/journal.pdig.0000800</w:t>
        </w:r>
      </w:hyperlink>
    </w:p>
    <w:p w14:paraId="644B5727"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65E0B2AE" w14:textId="3E4B280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PubMed Central. (2025). </w:t>
      </w:r>
      <w:r w:rsidRPr="00F8444D">
        <w:rPr>
          <w:rFonts w:ascii="Times New Roman" w:hAnsi="Times New Roman" w:cs="Times New Roman"/>
          <w:i/>
          <w:iCs/>
          <w:color w:val="767171" w:themeColor="background2" w:themeShade="80"/>
        </w:rPr>
        <w:t>Retrieval augmented generation for large language models in healthcare: A systematic review</w:t>
      </w:r>
      <w:r w:rsidRPr="00F8444D">
        <w:rPr>
          <w:rFonts w:ascii="Times New Roman" w:hAnsi="Times New Roman" w:cs="Times New Roman"/>
          <w:color w:val="767171" w:themeColor="background2" w:themeShade="80"/>
        </w:rPr>
        <w:t xml:space="preserve">. </w:t>
      </w:r>
      <w:hyperlink r:id="rId17" w:history="1">
        <w:r w:rsidRPr="00F8444D">
          <w:rPr>
            <w:rStyle w:val="Hyperlink"/>
            <w:rFonts w:ascii="Times New Roman" w:hAnsi="Times New Roman" w:cs="Times New Roman"/>
          </w:rPr>
          <w:t>https://pmc.ncbi.nlm.nih.gov/articles/PMC12157099/</w:t>
        </w:r>
      </w:hyperlink>
    </w:p>
    <w:p w14:paraId="016657B8" w14:textId="77777777"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p>
    <w:p w14:paraId="7833A642" w14:textId="395B5F5D" w:rsidR="00F8444D" w:rsidRPr="00F8444D" w:rsidRDefault="00F8444D" w:rsidP="00F8444D">
      <w:pPr>
        <w:pStyle w:val="ListParagraph"/>
        <w:ind w:left="-283" w:hanging="284"/>
        <w:jc w:val="both"/>
        <w:rPr>
          <w:rFonts w:ascii="Times New Roman" w:hAnsi="Times New Roman" w:cs="Times New Roman"/>
          <w:color w:val="767171" w:themeColor="background2" w:themeShade="80"/>
        </w:rPr>
      </w:pPr>
      <w:r w:rsidRPr="00F8444D">
        <w:rPr>
          <w:rFonts w:ascii="Times New Roman" w:hAnsi="Times New Roman" w:cs="Times New Roman"/>
          <w:color w:val="767171" w:themeColor="background2" w:themeShade="80"/>
        </w:rPr>
        <w:t xml:space="preserve">QPPMIPS. (2025). </w:t>
      </w:r>
      <w:r w:rsidRPr="00F8444D">
        <w:rPr>
          <w:rFonts w:ascii="Times New Roman" w:hAnsi="Times New Roman" w:cs="Times New Roman"/>
          <w:i/>
          <w:iCs/>
          <w:color w:val="767171" w:themeColor="background2" w:themeShade="80"/>
        </w:rPr>
        <w:t>Difference between LCD and NCD in medical billing</w:t>
      </w:r>
      <w:r w:rsidRPr="00F8444D">
        <w:rPr>
          <w:rFonts w:ascii="Times New Roman" w:hAnsi="Times New Roman" w:cs="Times New Roman"/>
          <w:color w:val="767171" w:themeColor="background2" w:themeShade="80"/>
        </w:rPr>
        <w:t xml:space="preserve">. </w:t>
      </w:r>
      <w:hyperlink r:id="rId18" w:history="1">
        <w:r w:rsidRPr="00F8444D">
          <w:rPr>
            <w:rStyle w:val="Hyperlink"/>
            <w:rFonts w:ascii="Times New Roman" w:hAnsi="Times New Roman" w:cs="Times New Roman"/>
          </w:rPr>
          <w:t>https://qppmips.com/lcd-and-ncd-in-medical-billing/</w:t>
        </w:r>
      </w:hyperlink>
    </w:p>
    <w:p w14:paraId="1CCCA7A4" w14:textId="77777777" w:rsidR="0083711A" w:rsidRPr="0083711A" w:rsidRDefault="0083711A" w:rsidP="003027AA">
      <w:pPr>
        <w:pStyle w:val="ListParagraph"/>
        <w:ind w:left="-567"/>
        <w:jc w:val="both"/>
        <w:rPr>
          <w:rFonts w:ascii="Georgia" w:hAnsi="Georgia"/>
          <w:color w:val="767171" w:themeColor="background2" w:themeShade="80"/>
        </w:rPr>
      </w:pPr>
    </w:p>
    <w:p w14:paraId="279D7959" w14:textId="77777777" w:rsidR="0083662B" w:rsidRPr="0083662B" w:rsidRDefault="0083662B" w:rsidP="003027AA">
      <w:pPr>
        <w:pStyle w:val="ListParagraph"/>
        <w:ind w:left="-567"/>
        <w:jc w:val="both"/>
        <w:rPr>
          <w:rFonts w:ascii="Georgia" w:hAnsi="Georgia"/>
          <w:color w:val="767171" w:themeColor="background2" w:themeShade="80"/>
          <w:sz w:val="24"/>
          <w:szCs w:val="24"/>
        </w:rPr>
      </w:pPr>
    </w:p>
    <w:p w14:paraId="0D6EF55D" w14:textId="77777777" w:rsidR="00263B9C" w:rsidRDefault="00263B9C" w:rsidP="00263B9C">
      <w:pPr>
        <w:pStyle w:val="ListParagraph"/>
        <w:ind w:left="-567"/>
        <w:rPr>
          <w:b/>
          <w:bCs/>
          <w:color w:val="2F5496" w:themeColor="accent1" w:themeShade="BF"/>
          <w:sz w:val="24"/>
          <w:szCs w:val="24"/>
        </w:rPr>
      </w:pPr>
    </w:p>
    <w:sectPr w:rsidR="00263B9C" w:rsidSect="00F25824">
      <w:pgSz w:w="11906" w:h="16838"/>
      <w:pgMar w:top="426" w:right="849"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96042"/>
    <w:multiLevelType w:val="hybridMultilevel"/>
    <w:tmpl w:val="2ADE14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4013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FD"/>
    <w:rsid w:val="00263B9C"/>
    <w:rsid w:val="002D769D"/>
    <w:rsid w:val="002E38C9"/>
    <w:rsid w:val="003027AA"/>
    <w:rsid w:val="003E2FFD"/>
    <w:rsid w:val="004B4375"/>
    <w:rsid w:val="00535356"/>
    <w:rsid w:val="00770994"/>
    <w:rsid w:val="00785C77"/>
    <w:rsid w:val="00800D50"/>
    <w:rsid w:val="0083662B"/>
    <w:rsid w:val="0083711A"/>
    <w:rsid w:val="00A92CAA"/>
    <w:rsid w:val="00A975EC"/>
    <w:rsid w:val="00F25824"/>
    <w:rsid w:val="00F84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A672"/>
  <w15:chartTrackingRefBased/>
  <w15:docId w15:val="{4E612D6F-96D0-4BA1-A68D-BCED2FF9C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F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2F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F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F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F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F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2F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2F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2F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F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FFD"/>
    <w:rPr>
      <w:rFonts w:eastAsiaTheme="majorEastAsia" w:cstheme="majorBidi"/>
      <w:color w:val="272727" w:themeColor="text1" w:themeTint="D8"/>
    </w:rPr>
  </w:style>
  <w:style w:type="paragraph" w:styleId="Title">
    <w:name w:val="Title"/>
    <w:basedOn w:val="Normal"/>
    <w:next w:val="Normal"/>
    <w:link w:val="TitleChar"/>
    <w:uiPriority w:val="10"/>
    <w:qFormat/>
    <w:rsid w:val="003E2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FFD"/>
    <w:pPr>
      <w:spacing w:before="160"/>
      <w:jc w:val="center"/>
    </w:pPr>
    <w:rPr>
      <w:i/>
      <w:iCs/>
      <w:color w:val="404040" w:themeColor="text1" w:themeTint="BF"/>
    </w:rPr>
  </w:style>
  <w:style w:type="character" w:customStyle="1" w:styleId="QuoteChar">
    <w:name w:val="Quote Char"/>
    <w:basedOn w:val="DefaultParagraphFont"/>
    <w:link w:val="Quote"/>
    <w:uiPriority w:val="29"/>
    <w:rsid w:val="003E2FFD"/>
    <w:rPr>
      <w:i/>
      <w:iCs/>
      <w:color w:val="404040" w:themeColor="text1" w:themeTint="BF"/>
    </w:rPr>
  </w:style>
  <w:style w:type="paragraph" w:styleId="ListParagraph">
    <w:name w:val="List Paragraph"/>
    <w:basedOn w:val="Normal"/>
    <w:uiPriority w:val="34"/>
    <w:qFormat/>
    <w:rsid w:val="003E2FFD"/>
    <w:pPr>
      <w:ind w:left="720"/>
      <w:contextualSpacing/>
    </w:pPr>
  </w:style>
  <w:style w:type="character" w:styleId="IntenseEmphasis">
    <w:name w:val="Intense Emphasis"/>
    <w:basedOn w:val="DefaultParagraphFont"/>
    <w:uiPriority w:val="21"/>
    <w:qFormat/>
    <w:rsid w:val="003E2FFD"/>
    <w:rPr>
      <w:i/>
      <w:iCs/>
      <w:color w:val="2F5496" w:themeColor="accent1" w:themeShade="BF"/>
    </w:rPr>
  </w:style>
  <w:style w:type="paragraph" w:styleId="IntenseQuote">
    <w:name w:val="Intense Quote"/>
    <w:basedOn w:val="Normal"/>
    <w:next w:val="Normal"/>
    <w:link w:val="IntenseQuoteChar"/>
    <w:uiPriority w:val="30"/>
    <w:qFormat/>
    <w:rsid w:val="003E2F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FFD"/>
    <w:rPr>
      <w:i/>
      <w:iCs/>
      <w:color w:val="2F5496" w:themeColor="accent1" w:themeShade="BF"/>
    </w:rPr>
  </w:style>
  <w:style w:type="character" w:styleId="IntenseReference">
    <w:name w:val="Intense Reference"/>
    <w:basedOn w:val="DefaultParagraphFont"/>
    <w:uiPriority w:val="32"/>
    <w:qFormat/>
    <w:rsid w:val="003E2FFD"/>
    <w:rPr>
      <w:b/>
      <w:bCs/>
      <w:smallCaps/>
      <w:color w:val="2F5496" w:themeColor="accent1" w:themeShade="BF"/>
      <w:spacing w:val="5"/>
    </w:rPr>
  </w:style>
  <w:style w:type="paragraph" w:customStyle="1" w:styleId="font-claude-response-body">
    <w:name w:val="font-claude-response-body"/>
    <w:basedOn w:val="Normal"/>
    <w:rsid w:val="00263B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CommentReference">
    <w:name w:val="annotation reference"/>
    <w:basedOn w:val="DefaultParagraphFont"/>
    <w:uiPriority w:val="99"/>
    <w:semiHidden/>
    <w:unhideWhenUsed/>
    <w:rsid w:val="0083662B"/>
    <w:rPr>
      <w:sz w:val="16"/>
      <w:szCs w:val="16"/>
    </w:rPr>
  </w:style>
  <w:style w:type="paragraph" w:styleId="CommentText">
    <w:name w:val="annotation text"/>
    <w:basedOn w:val="Normal"/>
    <w:link w:val="CommentTextChar"/>
    <w:uiPriority w:val="99"/>
    <w:semiHidden/>
    <w:unhideWhenUsed/>
    <w:rsid w:val="0083662B"/>
    <w:pPr>
      <w:spacing w:line="240" w:lineRule="auto"/>
    </w:pPr>
    <w:rPr>
      <w:sz w:val="20"/>
      <w:szCs w:val="20"/>
    </w:rPr>
  </w:style>
  <w:style w:type="character" w:customStyle="1" w:styleId="CommentTextChar">
    <w:name w:val="Comment Text Char"/>
    <w:basedOn w:val="DefaultParagraphFont"/>
    <w:link w:val="CommentText"/>
    <w:uiPriority w:val="99"/>
    <w:semiHidden/>
    <w:rsid w:val="0083662B"/>
    <w:rPr>
      <w:sz w:val="20"/>
      <w:szCs w:val="20"/>
    </w:rPr>
  </w:style>
  <w:style w:type="paragraph" w:styleId="CommentSubject">
    <w:name w:val="annotation subject"/>
    <w:basedOn w:val="CommentText"/>
    <w:next w:val="CommentText"/>
    <w:link w:val="CommentSubjectChar"/>
    <w:uiPriority w:val="99"/>
    <w:semiHidden/>
    <w:unhideWhenUsed/>
    <w:rsid w:val="0083662B"/>
    <w:rPr>
      <w:b/>
      <w:bCs/>
    </w:rPr>
  </w:style>
  <w:style w:type="character" w:customStyle="1" w:styleId="CommentSubjectChar">
    <w:name w:val="Comment Subject Char"/>
    <w:basedOn w:val="CommentTextChar"/>
    <w:link w:val="CommentSubject"/>
    <w:uiPriority w:val="99"/>
    <w:semiHidden/>
    <w:rsid w:val="0083662B"/>
    <w:rPr>
      <w:b/>
      <w:bCs/>
      <w:sz w:val="20"/>
      <w:szCs w:val="20"/>
    </w:rPr>
  </w:style>
  <w:style w:type="character" w:styleId="Hyperlink">
    <w:name w:val="Hyperlink"/>
    <w:basedOn w:val="DefaultParagraphFont"/>
    <w:uiPriority w:val="99"/>
    <w:unhideWhenUsed/>
    <w:rsid w:val="003027AA"/>
    <w:rPr>
      <w:color w:val="0563C1" w:themeColor="hyperlink"/>
      <w:u w:val="single"/>
    </w:rPr>
  </w:style>
  <w:style w:type="character" w:styleId="UnresolvedMention">
    <w:name w:val="Unresolved Mention"/>
    <w:basedOn w:val="DefaultParagraphFont"/>
    <w:uiPriority w:val="99"/>
    <w:semiHidden/>
    <w:unhideWhenUsed/>
    <w:rsid w:val="003027AA"/>
    <w:rPr>
      <w:color w:val="605E5C"/>
      <w:shd w:val="clear" w:color="auto" w:fill="E1DFDD"/>
    </w:rPr>
  </w:style>
  <w:style w:type="character" w:styleId="FollowedHyperlink">
    <w:name w:val="FollowedHyperlink"/>
    <w:basedOn w:val="DefaultParagraphFont"/>
    <w:uiPriority w:val="99"/>
    <w:semiHidden/>
    <w:unhideWhenUsed/>
    <w:rsid w:val="003027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otiviti.com/execute-healthcare-claims-editing-more-accurately-with-less-provider-abrasion" TargetMode="External"/><Relationship Id="rId13" Type="http://schemas.openxmlformats.org/officeDocument/2006/relationships/hyperlink" Target="https://www.idc.com/resource-center/blog/the-u-s-healthcare-prior-authorization-crisis-will-agentic-ai-come-to-the-rescue" TargetMode="External"/><Relationship Id="rId18" Type="http://schemas.openxmlformats.org/officeDocument/2006/relationships/hyperlink" Target="https://qppmips.com/lcd-and-ncd-in-medical-billing/" TargetMode="External"/><Relationship Id="rId3" Type="http://schemas.openxmlformats.org/officeDocument/2006/relationships/settings" Target="settings.xml"/><Relationship Id="rId7" Type="http://schemas.openxmlformats.org/officeDocument/2006/relationships/hyperlink" Target="https://www.cms.gov/newsroom/fact-sheets/cms-interoperability-prior-authorization-final-rule-cms-0057-f" TargetMode="External"/><Relationship Id="rId12" Type="http://schemas.openxmlformats.org/officeDocument/2006/relationships/hyperlink" Target="https://doi.org/10.3389/fdgth.2026.1761601" TargetMode="External"/><Relationship Id="rId17" Type="http://schemas.openxmlformats.org/officeDocument/2006/relationships/hyperlink" Target="https://pmc.ncbi.nlm.nih.gov/articles/PMC12157099/" TargetMode="External"/><Relationship Id="rId2" Type="http://schemas.openxmlformats.org/officeDocument/2006/relationships/styles" Target="styles.xml"/><Relationship Id="rId16" Type="http://schemas.openxmlformats.org/officeDocument/2006/relationships/hyperlink" Target="https://doi.org/10.1371/journal.pdig.000080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jmc.com/view/cohere-health-findings-on-ai-in-prior-authorization-conflict-with-ama-data" TargetMode="External"/><Relationship Id="rId11" Type="http://schemas.openxmlformats.org/officeDocument/2006/relationships/hyperlink" Target="https://doi.org/10.3389/fdgth.2025.1659134" TargetMode="External"/><Relationship Id="rId5" Type="http://schemas.openxmlformats.org/officeDocument/2006/relationships/hyperlink" Target="https://www.aha.org/aha-center-health-innovation-market-scan/2026-03-24-amazon-introduces-agentic-ai-health-care-providers" TargetMode="External"/><Relationship Id="rId15" Type="http://schemas.openxmlformats.org/officeDocument/2006/relationships/hyperlink" Target="https://doi.org/10.1093/bioinformatics/btz682" TargetMode="External"/><Relationship Id="rId10" Type="http://schemas.openxmlformats.org/officeDocument/2006/relationships/hyperlink" Target="https://www.cotiviti.com/press-release/cotiviti-named-highest-designated-leade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tiviti.com/solutions/payment-accuracy" TargetMode="External"/><Relationship Id="rId14" Type="http://schemas.openxmlformats.org/officeDocument/2006/relationships/hyperlink" Target="https://www.ijnrd.org/papers/IJNRD250619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1952</Words>
  <Characters>11129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Patil</dc:creator>
  <cp:keywords/>
  <dc:description/>
  <cp:lastModifiedBy>Shubham Patil</cp:lastModifiedBy>
  <cp:revision>2</cp:revision>
  <dcterms:created xsi:type="dcterms:W3CDTF">2026-06-30T10:00:00Z</dcterms:created>
  <dcterms:modified xsi:type="dcterms:W3CDTF">2026-06-30T10:00:00Z</dcterms:modified>
</cp:coreProperties>
</file>