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DeepCSAT – Predicting Customer Satisfaction in E‑Commerce Support Systems</w:t>
      </w:r>
    </w:p>
    <w:p>
      <w:pPr>
        <w:jc w:val="center"/>
      </w:pPr>
      <w:r>
        <w:rPr>
          <w:i/>
          <w:sz w:val="24"/>
        </w:rPr>
        <w:t>Project Report</w:t>
      </w:r>
    </w:p>
    <w:p>
      <w:pPr>
        <w:jc w:val="center"/>
      </w:pPr>
      <w:r>
        <w:rPr>
          <w:sz w:val="22"/>
        </w:rPr>
        <w:t>Prepared by Shubhra Das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vAlign w:val="center"/>
          </w:tcPr>
          <w:p>
            <w:pPr>
              <w:spacing w:before="60" w:after="60"/>
            </w:pPr>
            <w:r>
              <w:rPr>
                <w:sz w:val="21"/>
              </w:rPr>
              <w:t>Executive summary: This project analyzes 85,907 customer-support interactions from an e-commerce platform to predict CSAT scores and uncover operational drivers of customer satisfaction. Among the evaluated models, tuned Gradient Boosting Regression delivered the strongest overall performance (MAE 0.9952, RMSE 1.3292, R² 0.0648), making it the recommended final model.</w:t>
            </w:r>
          </w:p>
        </w:tc>
      </w:tr>
    </w:tbl>
    <w:p/>
    <w:p>
      <w:pPr>
        <w:pStyle w:val="Heading1"/>
      </w:pPr>
      <w:r>
        <w:rPr>
          <w:color w:val="1F4E79"/>
        </w:rPr>
        <w:t>1. Problem Statement</w:t>
      </w:r>
    </w:p>
    <w:p>
      <w:r>
        <w:t>Customer satisfaction is a key driver of retention and business growth in e-commerce. However, CSAT is often reviewed only after survey feedback is collected, which limits the ability to intervene proactively. The objective of this project is to predict CSAT scores from service-interaction data so support teams can identify dissatisfaction risks early and improve service quality.</w:t>
      </w:r>
    </w:p>
    <w:p>
      <w:pPr>
        <w:pStyle w:val="Heading1"/>
      </w:pPr>
      <w:r>
        <w:rPr>
          <w:color w:val="1F4E79"/>
        </w:rPr>
        <w:t>2. Project Objectives</w:t>
      </w:r>
    </w:p>
    <w:p>
      <w:pPr>
        <w:pStyle w:val="ListBullet"/>
      </w:pPr>
      <w:r>
        <w:t>Understand the structure, quality, and business meaning of the customer-support dataset.</w:t>
      </w:r>
    </w:p>
    <w:p>
      <w:pPr>
        <w:pStyle w:val="ListBullet"/>
      </w:pPr>
      <w:r>
        <w:t>Explore how service channels, issue categories, product characteristics, handling time, and support-team structure relate to CSAT.</w:t>
      </w:r>
    </w:p>
    <w:p>
      <w:pPr>
        <w:pStyle w:val="ListBullet"/>
      </w:pPr>
      <w:r>
        <w:t>Test key business hypotheses statistically.</w:t>
      </w:r>
    </w:p>
    <w:p>
      <w:pPr>
        <w:pStyle w:val="ListBullet"/>
      </w:pPr>
      <w:r>
        <w:t>Build and compare multiple machine learning and deep learning models for CSAT prediction.</w:t>
      </w:r>
    </w:p>
    <w:p>
      <w:pPr>
        <w:pStyle w:val="ListBullet"/>
      </w:pPr>
      <w:r>
        <w:t>Select a final model suitable for local deployment through a Streamlit app.</w:t>
      </w:r>
    </w:p>
    <w:p>
      <w:pPr>
        <w:pStyle w:val="Heading1"/>
      </w:pPr>
      <w:r>
        <w:rPr>
          <w:color w:val="1F4E79"/>
        </w:rPr>
        <w:t>3. Dataset Overview</w:t>
      </w:r>
    </w:p>
    <w:p>
      <w:r>
        <w:t>The source dataset contains 85,907 records and 20 variables. Each record represents a customer-support interaction or ticket. The data combines categorical, textual, timestamp, and numerical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Attribute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Rows</w:t>
            </w:r>
          </w:p>
        </w:tc>
        <w:tc>
          <w:tcPr>
            <w:tcW w:type="dxa" w:w="4968"/>
          </w:tcPr>
          <w:p>
            <w:r>
              <w:t>85,907</w:t>
            </w:r>
          </w:p>
        </w:tc>
      </w:tr>
      <w:tr>
        <w:tc>
          <w:tcPr>
            <w:tcW w:type="dxa" w:w="4968"/>
          </w:tcPr>
          <w:p>
            <w:r>
              <w:t>Columns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Target variable</w:t>
            </w:r>
          </w:p>
        </w:tc>
        <w:tc>
          <w:tcPr>
            <w:tcW w:type="dxa" w:w="4968"/>
          </w:tcPr>
          <w:p>
            <w:r>
              <w:t>CSAT Score</w:t>
            </w:r>
          </w:p>
        </w:tc>
      </w:tr>
      <w:tr>
        <w:tc>
          <w:tcPr>
            <w:tcW w:type="dxa" w:w="4968"/>
          </w:tcPr>
          <w:p>
            <w:r>
              <w:t>Data types</w:t>
            </w:r>
          </w:p>
        </w:tc>
        <w:tc>
          <w:tcPr>
            <w:tcW w:type="dxa" w:w="4968"/>
          </w:tcPr>
          <w:p>
            <w:r>
              <w:t>17 object, 2 float64, 1 int64</w:t>
            </w:r>
          </w:p>
        </w:tc>
      </w:tr>
      <w:tr>
        <w:tc>
          <w:tcPr>
            <w:tcW w:type="dxa" w:w="4968"/>
          </w:tcPr>
          <w:p>
            <w:r>
              <w:t>Duplicate rows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Key numerical fields</w:t>
            </w:r>
          </w:p>
        </w:tc>
        <w:tc>
          <w:tcPr>
            <w:tcW w:type="dxa" w:w="4968"/>
          </w:tcPr>
          <w:p>
            <w:r>
              <w:t>Item_price, connected_handling_time, CSAT Score</w:t>
            </w:r>
          </w:p>
        </w:tc>
      </w:tr>
      <w:tr>
        <w:tc>
          <w:tcPr>
            <w:tcW w:type="dxa" w:w="4968"/>
          </w:tcPr>
          <w:p>
            <w:r>
              <w:t>Key categorical fields</w:t>
            </w:r>
          </w:p>
        </w:tc>
        <w:tc>
          <w:tcPr>
            <w:tcW w:type="dxa" w:w="4968"/>
          </w:tcPr>
          <w:p>
            <w:r>
              <w:t>channel_name, category, Sub-category, Product_category, Agent_name, Supervisor, Manager, Tenure Bucket, Agent Shift</w:t>
            </w:r>
          </w:p>
        </w:tc>
      </w:tr>
    </w:tbl>
    <w:p/>
    <w:p>
      <w:r>
        <w:t>Initial profiling showed substantial missingness in Customer Remarks, Order_id, order_date_time, Customer_City, Product_category, Item_price, and especially connected_handling_time. This motivated a combination of exploratory forward fill and final-model imputations.</w:t>
      </w:r>
    </w:p>
    <w:p>
      <w:pPr>
        <w:pStyle w:val="Heading1"/>
      </w:pPr>
      <w:r>
        <w:rPr>
          <w:color w:val="1F4E79"/>
        </w:rPr>
        <w:t>4. Data Preparation and Feature Engineering</w:t>
      </w:r>
    </w:p>
    <w:p>
      <w:r>
        <w:t>The preprocessing pipeline evolved in two stages: an exploratory stage used forward fill to support EDA, while the final modeling pipeline used more targeted imputations and engineered features suitable for machine learning.</w:t>
      </w:r>
    </w:p>
    <w:p>
      <w:pPr>
        <w:pStyle w:val="Heading2"/>
      </w:pPr>
      <w:r>
        <w:rPr>
          <w:color w:val="2F5496"/>
        </w:rPr>
        <w:t>4.1 Missing Value Handling</w:t>
      </w:r>
    </w:p>
    <w:p>
      <w:pPr>
        <w:pStyle w:val="ListBullet"/>
      </w:pPr>
      <w:r>
        <w:t>CSAT Score was clipped to the valid survey range of 1 to 5.</w:t>
      </w:r>
    </w:p>
    <w:p>
      <w:pPr>
        <w:pStyle w:val="ListBullet"/>
      </w:pPr>
      <w:r>
        <w:t>Forward fill (`ffill`) was used during initial exploration to maintain continuity for descriptive analysis.</w:t>
      </w:r>
    </w:p>
    <w:p>
      <w:pPr>
        <w:pStyle w:val="ListBullet"/>
      </w:pPr>
      <w:r>
        <w:t>Median imputation was used for numerical fields such as Item_price and connected_handling_time to reduce sensitivity to skew and outliers.</w:t>
      </w:r>
    </w:p>
    <w:p>
      <w:pPr>
        <w:pStyle w:val="ListBullet"/>
      </w:pPr>
      <w:r>
        <w:t>Mode imputation was applied to categorical variables such as Customer_City and Product_category.</w:t>
      </w:r>
    </w:p>
    <w:p>
      <w:pPr>
        <w:pStyle w:val="ListBullet"/>
      </w:pPr>
      <w:r>
        <w:t>A derived feature, response_time, was created from issue_responded minus Issue_reported at and then imputed with its median.</w:t>
      </w:r>
    </w:p>
    <w:p>
      <w:pPr>
        <w:pStyle w:val="Heading2"/>
      </w:pPr>
      <w:r>
        <w:rPr>
          <w:color w:val="2F5496"/>
        </w:rPr>
        <w:t>4.2 Datetime and Derived Features</w:t>
      </w:r>
    </w:p>
    <w:p>
      <w:pPr>
        <w:pStyle w:val="ListBullet"/>
      </w:pPr>
      <w:r>
        <w:t>Datetime fields were converted to timestamp format.</w:t>
      </w:r>
    </w:p>
    <w:p>
      <w:pPr>
        <w:pStyle w:val="ListBullet"/>
      </w:pPr>
      <w:r>
        <w:t>response_time was engineered as the elapsed time between issue report and response.</w:t>
      </w:r>
    </w:p>
    <w:p>
      <w:pPr>
        <w:pStyle w:val="ListBullet"/>
      </w:pPr>
      <w:r>
        <w:t>Log transformations were created for Item_price and connected_handling_time to reduce skewness: Item_price_log and handling_time_log.</w:t>
      </w:r>
    </w:p>
    <w:p>
      <w:pPr>
        <w:pStyle w:val="Heading2"/>
      </w:pPr>
      <w:r>
        <w:rPr>
          <w:color w:val="2F5496"/>
        </w:rPr>
        <w:t>4.3 Outlier Treatment</w:t>
      </w:r>
    </w:p>
    <w:p>
      <w:r>
        <w:t>Outliers in Item_price and connected_handling_time were treated using the Interquartile Range (IQR) method. Rather than removing rows, the project used capping (winsorization) so extreme values were constrained to reasonable bounds while preserving sample size.</w:t>
      </w:r>
    </w:p>
    <w:p>
      <w:pPr>
        <w:pStyle w:val="Heading2"/>
      </w:pPr>
      <w:r>
        <w:rPr>
          <w:color w:val="2F5496"/>
        </w:rPr>
        <w:t>4.4 Text Preprocessing</w:t>
      </w:r>
    </w:p>
    <w:p>
      <w:r>
        <w:t>The Customer Remarks field was preprocessed using contraction expansion, lowercasing, punctuation and URL removal, stopword removal, whitespace cleanup, tokenization, lemmatization, part-of-speech tagging, and TF-IDF vectorization. Because token and POS-tag columns contain list-like objects that are not directly compatible with classical regression estimators, they were excluded from the final structured-model training set.</w:t>
      </w:r>
    </w:p>
    <w:p>
      <w:pPr>
        <w:pStyle w:val="Heading2"/>
      </w:pPr>
      <w:r>
        <w:rPr>
          <w:color w:val="2F5496"/>
        </w:rPr>
        <w:t>4.5 Encoding, Scaling, and Final Modeling Frame</w:t>
      </w:r>
    </w:p>
    <w:p>
      <w:pPr>
        <w:pStyle w:val="ListBullet"/>
      </w:pPr>
      <w:r>
        <w:t>Label Encoding converted high-cardinality categorical fields into numeric form.</w:t>
      </w:r>
    </w:p>
    <w:p>
      <w:pPr>
        <w:pStyle w:val="ListBullet"/>
      </w:pPr>
      <w:r>
        <w:t>StandardScaler was applied to selected numerical features after train-test split.</w:t>
      </w:r>
    </w:p>
    <w:p>
      <w:pPr>
        <w:pStyle w:val="ListBullet"/>
      </w:pPr>
      <w:r>
        <w:t>For model compatibility, non-numeric list-based columns (tokens and pos_tags) were dropped from X_train and X_test before model fitting.</w:t>
      </w:r>
    </w:p>
    <w:p>
      <w:pPr>
        <w:pStyle w:val="ListBullet"/>
      </w:pPr>
      <w:r>
        <w:t>Final train-test split used an 80:20 ratio.</w:t>
      </w:r>
    </w:p>
    <w:p>
      <w:pPr>
        <w:pStyle w:val="Heading1"/>
      </w:pPr>
      <w:r>
        <w:rPr>
          <w:color w:val="1F4E79"/>
        </w:rPr>
        <w:t>5. Exploratory Data Analysis Highlights</w:t>
      </w:r>
    </w:p>
    <w:p>
      <w:r>
        <w:t>EDA followed the UBM framework (Univariate, Bivariate, Multivariate). Fifteen chart experiments were conducted. The most important findings are summarized below.</w:t>
      </w:r>
    </w:p>
    <w:p>
      <w:pPr>
        <w:pStyle w:val="ListBullet"/>
      </w:pPr>
      <w:r>
        <w:t>CSAT scores are heavily concentrated between 4 and 5, indicating generally high satisfaction but with a meaningful dissatisfied minority.</w:t>
      </w:r>
    </w:p>
    <w:p>
      <w:pPr>
        <w:pStyle w:val="ListBullet"/>
      </w:pPr>
      <w:r>
        <w:t>Product-category volumes are uneven, implying that some categories drive a disproportionate share of support interactions.</w:t>
      </w:r>
    </w:p>
    <w:p>
      <w:pPr>
        <w:pStyle w:val="ListBullet"/>
      </w:pPr>
      <w:r>
        <w:t>Handling time distributions show a long right tail, suggesting a subset of cases take much longer to resolve.</w:t>
      </w:r>
    </w:p>
    <w:p>
      <w:pPr>
        <w:pStyle w:val="ListBullet"/>
      </w:pPr>
      <w:r>
        <w:t>CSAT varies across channels, agent shifts, supervisors, and agents, indicating operational differences in service quality.</w:t>
      </w:r>
    </w:p>
    <w:p>
      <w:pPr>
        <w:pStyle w:val="ListBullet"/>
      </w:pPr>
      <w:r>
        <w:t>Item price appears to have a weak direct relationship with CSAT compared with process and support variables.</w:t>
      </w:r>
    </w:p>
    <w:p>
      <w:pPr>
        <w:pStyle w:val="ListBullet"/>
      </w:pPr>
      <w:r>
        <w:t>Multivariate correlation analysis suggests response-time and handling-related variables are more relevant than price alone.</w:t>
      </w:r>
    </w:p>
    <w:p>
      <w:pPr>
        <w:pStyle w:val="Heading1"/>
      </w:pPr>
      <w:r>
        <w:rPr>
          <w:color w:val="1F4E79"/>
        </w:rPr>
        <w:t>6. Hypothesis Testing</w:t>
      </w:r>
    </w:p>
    <w:p>
      <w:r>
        <w:t>Three business hypotheses derived from EDA were tested using appropriate statistical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Hypothesis</w:t>
            </w:r>
          </w:p>
        </w:tc>
        <w:tc>
          <w:tcPr>
            <w:tcW w:type="dxa" w:w="1987"/>
            <w:shd w:fill="D9EAF7"/>
          </w:tcPr>
          <w:p>
            <w:r>
              <w:t>Test</w:t>
            </w:r>
          </w:p>
        </w:tc>
        <w:tc>
          <w:tcPr>
            <w:tcW w:type="dxa" w:w="1987"/>
            <w:shd w:fill="D9EAF7"/>
          </w:tcPr>
          <w:p>
            <w:r>
              <w:t>Statistic</w:t>
            </w:r>
          </w:p>
        </w:tc>
        <w:tc>
          <w:tcPr>
            <w:tcW w:type="dxa" w:w="1987"/>
            <w:shd w:fill="D9EAF7"/>
          </w:tcPr>
          <w:p>
            <w:r>
              <w:t>p-value</w:t>
            </w:r>
          </w:p>
        </w:tc>
        <w:tc>
          <w:tcPr>
            <w:tcW w:type="dxa" w:w="1987"/>
            <w:shd w:fill="D9EAF7"/>
          </w:tcPr>
          <w:p>
            <w:r>
              <w:t>Conclusion</w:t>
            </w:r>
          </w:p>
        </w:tc>
      </w:tr>
      <w:tr>
        <w:tc>
          <w:tcPr>
            <w:tcW w:type="dxa" w:w="1987"/>
          </w:tcPr>
          <w:p>
            <w:r>
              <w:t>CSAT differs across service channels</w:t>
            </w:r>
          </w:p>
        </w:tc>
        <w:tc>
          <w:tcPr>
            <w:tcW w:type="dxa" w:w="1987"/>
          </w:tcPr>
          <w:p>
            <w:r>
              <w:t>One-way ANOVA</w:t>
            </w:r>
          </w:p>
        </w:tc>
        <w:tc>
          <w:tcPr>
            <w:tcW w:type="dxa" w:w="1987"/>
          </w:tcPr>
          <w:p>
            <w:r>
              <w:t>F = 98.2821</w:t>
            </w:r>
          </w:p>
        </w:tc>
        <w:tc>
          <w:tcPr>
            <w:tcW w:type="dxa" w:w="1987"/>
          </w:tcPr>
          <w:p>
            <w:r>
              <w:t>2.3194e-43</w:t>
            </w:r>
          </w:p>
        </w:tc>
        <w:tc>
          <w:tcPr>
            <w:tcW w:type="dxa" w:w="1987"/>
          </w:tcPr>
          <w:p>
            <w:r>
              <w:t>Reject H0; channel significantly affects CSAT</w:t>
            </w:r>
          </w:p>
        </w:tc>
      </w:tr>
      <w:tr>
        <w:tc>
          <w:tcPr>
            <w:tcW w:type="dxa" w:w="1987"/>
          </w:tcPr>
          <w:p>
            <w:r>
              <w:t>Handling time is related to CSAT</w:t>
            </w:r>
          </w:p>
        </w:tc>
        <w:tc>
          <w:tcPr>
            <w:tcW w:type="dxa" w:w="1987"/>
          </w:tcPr>
          <w:p>
            <w:r>
              <w:t>Spearman correlation</w:t>
            </w:r>
          </w:p>
        </w:tc>
        <w:tc>
          <w:tcPr>
            <w:tcW w:type="dxa" w:w="1987"/>
          </w:tcPr>
          <w:p>
            <w:r>
              <w:t>ρ = -0.00748</w:t>
            </w:r>
          </w:p>
        </w:tc>
        <w:tc>
          <w:tcPr>
            <w:tcW w:type="dxa" w:w="1987"/>
          </w:tcPr>
          <w:p>
            <w:r>
              <w:t>0.03336</w:t>
            </w:r>
          </w:p>
        </w:tc>
        <w:tc>
          <w:tcPr>
            <w:tcW w:type="dxa" w:w="1987"/>
          </w:tcPr>
          <w:p>
            <w:r>
              <w:t>Reject H0; relationship is statistically significant but weak and negative</w:t>
            </w:r>
          </w:p>
        </w:tc>
      </w:tr>
      <w:tr>
        <w:tc>
          <w:tcPr>
            <w:tcW w:type="dxa" w:w="1987"/>
          </w:tcPr>
          <w:p>
            <w:r>
              <w:t>CSAT differs across agent shifts</w:t>
            </w:r>
          </w:p>
        </w:tc>
        <w:tc>
          <w:tcPr>
            <w:tcW w:type="dxa" w:w="1987"/>
          </w:tcPr>
          <w:p>
            <w:r>
              <w:t>One-way ANOVA</w:t>
            </w:r>
          </w:p>
        </w:tc>
        <w:tc>
          <w:tcPr>
            <w:tcW w:type="dxa" w:w="1987"/>
          </w:tcPr>
          <w:p>
            <w:r>
              <w:t>F = 39.1132</w:t>
            </w:r>
          </w:p>
        </w:tc>
        <w:tc>
          <w:tcPr>
            <w:tcW w:type="dxa" w:w="1987"/>
          </w:tcPr>
          <w:p>
            <w:r>
              <w:t>9.0305e-33</w:t>
            </w:r>
          </w:p>
        </w:tc>
        <w:tc>
          <w:tcPr>
            <w:tcW w:type="dxa" w:w="1987"/>
          </w:tcPr>
          <w:p>
            <w:r>
              <w:t>Reject H0; shift differences are significant</w:t>
            </w:r>
          </w:p>
        </w:tc>
      </w:tr>
    </w:tbl>
    <w:p/>
    <w:p>
      <w:r>
        <w:t>Although the handling-time relationship is statistically significant, the very small magnitude of the Spearman coefficient indicates that significance is driven by sample size more than by a strong practical effect. In contrast, channel and shift show clear group-level differences that are more actionable operationally.</w:t>
      </w:r>
    </w:p>
    <w:p>
      <w:pPr>
        <w:pStyle w:val="Heading1"/>
      </w:pPr>
      <w:r>
        <w:rPr>
          <w:color w:val="1F4E79"/>
        </w:rPr>
        <w:t>7. Model Development and Evaluation</w:t>
      </w:r>
    </w:p>
    <w:p>
      <w:r>
        <w:t>Four model families were evaluated: Linear Regression, Random Forest Regression, Gradient Boosting Regression, and an Artificial Neural Network (ANN). Performance was measured using MAE, RMSE, and R².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Model</w:t>
            </w:r>
          </w:p>
        </w:tc>
        <w:tc>
          <w:tcPr>
            <w:tcW w:type="dxa" w:w="2484"/>
            <w:shd w:fill="D9EAF7"/>
          </w:tcPr>
          <w:p>
            <w:r>
              <w:t>MAE</w:t>
            </w:r>
          </w:p>
        </w:tc>
        <w:tc>
          <w:tcPr>
            <w:tcW w:type="dxa" w:w="2484"/>
            <w:shd w:fill="D9EAF7"/>
          </w:tcPr>
          <w:p>
            <w:r>
              <w:t>RMSE</w:t>
            </w:r>
          </w:p>
        </w:tc>
        <w:tc>
          <w:tcPr>
            <w:tcW w:type="dxa" w:w="2484"/>
            <w:shd w:fill="D9EAF7"/>
          </w:tcPr>
          <w:p>
            <w:r>
              <w:t>R²</w:t>
            </w:r>
          </w:p>
        </w:tc>
      </w:tr>
      <w:tr>
        <w:tc>
          <w:tcPr>
            <w:tcW w:type="dxa" w:w="2484"/>
          </w:tcPr>
          <w:p>
            <w:r>
              <w:t>Linear Regression</w:t>
            </w:r>
          </w:p>
        </w:tc>
        <w:tc>
          <w:tcPr>
            <w:tcW w:type="dxa" w:w="2484"/>
          </w:tcPr>
          <w:p>
            <w:r>
              <w:t>1.0343</w:t>
            </w:r>
          </w:p>
        </w:tc>
        <w:tc>
          <w:tcPr>
            <w:tcW w:type="dxa" w:w="2484"/>
          </w:tcPr>
          <w:p>
            <w:r>
              <w:t>1.3631</w:t>
            </w:r>
          </w:p>
        </w:tc>
        <w:tc>
          <w:tcPr>
            <w:tcW w:type="dxa" w:w="2484"/>
          </w:tcPr>
          <w:p>
            <w:r>
              <w:t>0.0165</w:t>
            </w:r>
          </w:p>
        </w:tc>
      </w:tr>
      <w:tr>
        <w:tc>
          <w:tcPr>
            <w:tcW w:type="dxa" w:w="2484"/>
          </w:tcPr>
          <w:p>
            <w:r>
              <w:t>Linear Regression (Tuned)</w:t>
            </w:r>
          </w:p>
        </w:tc>
        <w:tc>
          <w:tcPr>
            <w:tcW w:type="dxa" w:w="2484"/>
          </w:tcPr>
          <w:p>
            <w:r>
              <w:t>1.0343</w:t>
            </w:r>
          </w:p>
        </w:tc>
        <w:tc>
          <w:tcPr>
            <w:tcW w:type="dxa" w:w="2484"/>
          </w:tcPr>
          <w:p>
            <w:r>
              <w:t>1.3631</w:t>
            </w:r>
          </w:p>
        </w:tc>
        <w:tc>
          <w:tcPr>
            <w:tcW w:type="dxa" w:w="2484"/>
          </w:tcPr>
          <w:p>
            <w:r>
              <w:t>0.0165</w:t>
            </w:r>
          </w:p>
        </w:tc>
      </w:tr>
      <w:tr>
        <w:tc>
          <w:tcPr>
            <w:tcW w:type="dxa" w:w="2484"/>
          </w:tcPr>
          <w:p>
            <w:r>
              <w:t>Random Forest</w:t>
            </w:r>
          </w:p>
        </w:tc>
        <w:tc>
          <w:tcPr>
            <w:tcW w:type="dxa" w:w="2484"/>
          </w:tcPr>
          <w:p>
            <w:r>
              <w:t>1.0529</w:t>
            </w:r>
          </w:p>
        </w:tc>
        <w:tc>
          <w:tcPr>
            <w:tcW w:type="dxa" w:w="2484"/>
          </w:tcPr>
          <w:p>
            <w:r>
              <w:t>1.3732</w:t>
            </w:r>
          </w:p>
        </w:tc>
        <w:tc>
          <w:tcPr>
            <w:tcW w:type="dxa" w:w="2484"/>
          </w:tcPr>
          <w:p>
            <w:r>
              <w:t>0.0019</w:t>
            </w:r>
          </w:p>
        </w:tc>
      </w:tr>
      <w:tr>
        <w:tc>
          <w:tcPr>
            <w:tcW w:type="dxa" w:w="2484"/>
          </w:tcPr>
          <w:p>
            <w:r>
              <w:t>Random Forest (Tuned)</w:t>
            </w:r>
          </w:p>
        </w:tc>
        <w:tc>
          <w:tcPr>
            <w:tcW w:type="dxa" w:w="2484"/>
          </w:tcPr>
          <w:p>
            <w:r>
              <w:t>1.0048</w:t>
            </w:r>
          </w:p>
        </w:tc>
        <w:tc>
          <w:tcPr>
            <w:tcW w:type="dxa" w:w="2484"/>
          </w:tcPr>
          <w:p>
            <w:r>
              <w:t>1.3398</w:t>
            </w:r>
          </w:p>
        </w:tc>
        <w:tc>
          <w:tcPr>
            <w:tcW w:type="dxa" w:w="2484"/>
          </w:tcPr>
          <w:p>
            <w:r>
              <w:t>0.0499</w:t>
            </w:r>
          </w:p>
        </w:tc>
      </w:tr>
      <w:tr>
        <w:tc>
          <w:tcPr>
            <w:tcW w:type="dxa" w:w="2484"/>
          </w:tcPr>
          <w:p>
            <w:r>
              <w:t>Gradient Boosting</w:t>
            </w:r>
          </w:p>
        </w:tc>
        <w:tc>
          <w:tcPr>
            <w:tcW w:type="dxa" w:w="2484"/>
          </w:tcPr>
          <w:p>
            <w:r>
              <w:t>1.0057</w:t>
            </w:r>
          </w:p>
        </w:tc>
        <w:tc>
          <w:tcPr>
            <w:tcW w:type="dxa" w:w="2484"/>
          </w:tcPr>
          <w:p>
            <w:r>
              <w:t>1.3358</w:t>
            </w:r>
          </w:p>
        </w:tc>
        <w:tc>
          <w:tcPr>
            <w:tcW w:type="dxa" w:w="2484"/>
          </w:tcPr>
          <w:p>
            <w:r>
              <w:t>0.0555</w:t>
            </w:r>
          </w:p>
        </w:tc>
      </w:tr>
      <w:tr>
        <w:tc>
          <w:tcPr>
            <w:tcW w:type="dxa" w:w="2484"/>
          </w:tcPr>
          <w:p>
            <w:r>
              <w:t>Gradient Boosting (Tuned)</w:t>
            </w:r>
          </w:p>
        </w:tc>
        <w:tc>
          <w:tcPr>
            <w:tcW w:type="dxa" w:w="2484"/>
          </w:tcPr>
          <w:p>
            <w:r>
              <w:t>0.9952</w:t>
            </w:r>
          </w:p>
        </w:tc>
        <w:tc>
          <w:tcPr>
            <w:tcW w:type="dxa" w:w="2484"/>
          </w:tcPr>
          <w:p>
            <w:r>
              <w:t>1.3292</w:t>
            </w:r>
          </w:p>
        </w:tc>
        <w:tc>
          <w:tcPr>
            <w:tcW w:type="dxa" w:w="2484"/>
          </w:tcPr>
          <w:p>
            <w:r>
              <w:t>0.0648</w:t>
            </w:r>
          </w:p>
        </w:tc>
      </w:tr>
      <w:tr>
        <w:tc>
          <w:tcPr>
            <w:tcW w:type="dxa" w:w="2484"/>
          </w:tcPr>
          <w:p>
            <w:r>
              <w:t>ANN</w:t>
            </w:r>
          </w:p>
        </w:tc>
        <w:tc>
          <w:tcPr>
            <w:tcW w:type="dxa" w:w="2484"/>
          </w:tcPr>
          <w:p>
            <w:r>
              <w:t>1.0302</w:t>
            </w:r>
          </w:p>
        </w:tc>
        <w:tc>
          <w:tcPr>
            <w:tcW w:type="dxa" w:w="2484"/>
          </w:tcPr>
          <w:p>
            <w:r>
              <w:t>1.3629</w:t>
            </w:r>
          </w:p>
        </w:tc>
        <w:tc>
          <w:tcPr>
            <w:tcW w:type="dxa" w:w="2484"/>
          </w:tcPr>
          <w:p>
            <w:r>
              <w:t>0.0168</w:t>
            </w:r>
          </w:p>
        </w:tc>
      </w:tr>
      <w:tr>
        <w:tc>
          <w:tcPr>
            <w:tcW w:type="dxa" w:w="2484"/>
          </w:tcPr>
          <w:p>
            <w:r>
              <w:t>ANN (Tuned)</w:t>
            </w:r>
          </w:p>
        </w:tc>
        <w:tc>
          <w:tcPr>
            <w:tcW w:type="dxa" w:w="2484"/>
          </w:tcPr>
          <w:p>
            <w:r>
              <w:t>1.0555</w:t>
            </w:r>
          </w:p>
        </w:tc>
        <w:tc>
          <w:tcPr>
            <w:tcW w:type="dxa" w:w="2484"/>
          </w:tcPr>
          <w:p>
            <w:r>
              <w:t>1.3632</w:t>
            </w:r>
          </w:p>
        </w:tc>
        <w:tc>
          <w:tcPr>
            <w:tcW w:type="dxa" w:w="2484"/>
          </w:tcPr>
          <w:p>
            <w:r>
              <w:t>0.0164</w:t>
            </w:r>
          </w:p>
        </w:tc>
      </w:tr>
    </w:tbl>
    <w:p/>
    <w:p>
      <w:pPr>
        <w:pStyle w:val="Heading2"/>
      </w:pPr>
      <w:r>
        <w:rPr>
          <w:color w:val="2F5496"/>
        </w:rPr>
        <w:t>7.1 Model Review</w:t>
      </w:r>
    </w:p>
    <w:p>
      <w:pPr>
        <w:pStyle w:val="ListBullet"/>
      </w:pPr>
      <w:r>
        <w:t>Linear Regression served as the baseline; tuning produced no measurable improvement.</w:t>
      </w:r>
    </w:p>
    <w:p>
      <w:pPr>
        <w:pStyle w:val="ListBullet"/>
      </w:pPr>
      <w:r>
        <w:t>Random Forest underperformed initially but improved materially after RandomizedSearchCV with a reduced search space suitable for Colab.</w:t>
      </w:r>
    </w:p>
    <w:p>
      <w:pPr>
        <w:pStyle w:val="ListBullet"/>
      </w:pPr>
      <w:r>
        <w:t>Gradient Boosting delivered the strongest baseline performance and improved further with GridSearchCV (cv=3).</w:t>
      </w:r>
    </w:p>
    <w:p>
      <w:pPr>
        <w:pStyle w:val="ListBullet"/>
      </w:pPr>
      <w:r>
        <w:t>ANN did not outperform the tuned tree-based models on this structured tabular dataset; tuning with EarlyStopping and heavier dropout reduced performance slightly.</w:t>
      </w:r>
    </w:p>
    <w:p>
      <w:pPr>
        <w:pStyle w:val="Heading1"/>
      </w:pPr>
      <w:r>
        <w:rPr>
          <w:color w:val="1F4E79"/>
        </w:rPr>
        <w:t>8. Final Model Selection</w:t>
      </w:r>
    </w:p>
    <w:p>
      <w:r>
        <w:t>The selected final model is tuned Gradient Boosting Regression. It achieved the best overall performance among all tested approaches, with MAE 0.9952, RMSE 1.3292, and R² 0.0648. These results indicate that while the predictive signal in the dataset is modest, Gradient Boosting captures it better than linear, bagged-tree, or deep-learning alternatives.</w:t>
      </w:r>
    </w:p>
    <w:p>
      <w:pPr>
        <w:pStyle w:val="Heading1"/>
      </w:pPr>
      <w:r>
        <w:rPr>
          <w:color w:val="1F4E79"/>
        </w:rPr>
        <w:t>9. Model Explainability</w:t>
      </w:r>
    </w:p>
    <w:p>
      <w:r>
        <w:t>Feature importance from the final Gradient Boosting model was used to interpret which variables contribute most to CSAT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Feature</w:t>
            </w:r>
          </w:p>
        </w:tc>
        <w:tc>
          <w:tcPr>
            <w:tcW w:type="dxa" w:w="4968"/>
            <w:shd w:fill="D9EAF7"/>
          </w:tcPr>
          <w:p>
            <w:r>
              <w:t>Importance</w:t>
            </w:r>
          </w:p>
        </w:tc>
      </w:tr>
      <w:tr>
        <w:tc>
          <w:tcPr>
            <w:tcW w:type="dxa" w:w="4968"/>
          </w:tcPr>
          <w:p>
            <w:r>
              <w:t>response_time</w:t>
            </w:r>
          </w:p>
        </w:tc>
        <w:tc>
          <w:tcPr>
            <w:tcW w:type="dxa" w:w="4968"/>
          </w:tcPr>
          <w:p>
            <w:r>
              <w:t>0.228734</w:t>
            </w:r>
          </w:p>
        </w:tc>
      </w:tr>
      <w:tr>
        <w:tc>
          <w:tcPr>
            <w:tcW w:type="dxa" w:w="4968"/>
          </w:tcPr>
          <w:p>
            <w:r>
              <w:t>Sub-category</w:t>
            </w:r>
          </w:p>
        </w:tc>
        <w:tc>
          <w:tcPr>
            <w:tcW w:type="dxa" w:w="4968"/>
          </w:tcPr>
          <w:p>
            <w:r>
              <w:t>0.206089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0.115714</w:t>
            </w:r>
          </w:p>
        </w:tc>
      </w:tr>
      <w:tr>
        <w:tc>
          <w:tcPr>
            <w:tcW w:type="dxa" w:w="4968"/>
          </w:tcPr>
          <w:p>
            <w:r>
              <w:t>Agent_name</w:t>
            </w:r>
          </w:p>
        </w:tc>
        <w:tc>
          <w:tcPr>
            <w:tcW w:type="dxa" w:w="4968"/>
          </w:tcPr>
          <w:p>
            <w:r>
              <w:t>0.090462</w:t>
            </w:r>
          </w:p>
        </w:tc>
      </w:tr>
      <w:tr>
        <w:tc>
          <w:tcPr>
            <w:tcW w:type="dxa" w:w="4968"/>
          </w:tcPr>
          <w:p>
            <w:r>
              <w:t>Supervisor</w:t>
            </w:r>
          </w:p>
        </w:tc>
        <w:tc>
          <w:tcPr>
            <w:tcW w:type="dxa" w:w="4968"/>
          </w:tcPr>
          <w:p>
            <w:r>
              <w:t>0.074437</w:t>
            </w:r>
          </w:p>
        </w:tc>
      </w:tr>
      <w:tr>
        <w:tc>
          <w:tcPr>
            <w:tcW w:type="dxa" w:w="4968"/>
          </w:tcPr>
          <w:p>
            <w:r>
              <w:t>Manager</w:t>
            </w:r>
          </w:p>
        </w:tc>
        <w:tc>
          <w:tcPr>
            <w:tcW w:type="dxa" w:w="4968"/>
          </w:tcPr>
          <w:p>
            <w:r>
              <w:t>0.051745</w:t>
            </w:r>
          </w:p>
        </w:tc>
      </w:tr>
      <w:tr>
        <w:tc>
          <w:tcPr>
            <w:tcW w:type="dxa" w:w="4968"/>
          </w:tcPr>
          <w:p>
            <w:r>
              <w:t>Customer_City</w:t>
            </w:r>
          </w:p>
        </w:tc>
        <w:tc>
          <w:tcPr>
            <w:tcW w:type="dxa" w:w="4968"/>
          </w:tcPr>
          <w:p>
            <w:r>
              <w:t>0.037159</w:t>
            </w:r>
          </w:p>
        </w:tc>
      </w:tr>
      <w:tr>
        <w:tc>
          <w:tcPr>
            <w:tcW w:type="dxa" w:w="4968"/>
          </w:tcPr>
          <w:p>
            <w:r>
              <w:t>Tenure Bucket</w:t>
            </w:r>
          </w:p>
        </w:tc>
        <w:tc>
          <w:tcPr>
            <w:tcW w:type="dxa" w:w="4968"/>
          </w:tcPr>
          <w:p>
            <w:r>
              <w:t>0.035232</w:t>
            </w:r>
          </w:p>
        </w:tc>
      </w:tr>
      <w:tr>
        <w:tc>
          <w:tcPr>
            <w:tcW w:type="dxa" w:w="4968"/>
          </w:tcPr>
          <w:p>
            <w:r>
              <w:t>Agent Shift</w:t>
            </w:r>
          </w:p>
        </w:tc>
        <w:tc>
          <w:tcPr>
            <w:tcW w:type="dxa" w:w="4968"/>
          </w:tcPr>
          <w:p>
            <w:r>
              <w:t>0.032479</w:t>
            </w:r>
          </w:p>
        </w:tc>
      </w:tr>
      <w:tr>
        <w:tc>
          <w:tcPr>
            <w:tcW w:type="dxa" w:w="4968"/>
          </w:tcPr>
          <w:p>
            <w:r>
              <w:t>Item_price</w:t>
            </w:r>
          </w:p>
        </w:tc>
        <w:tc>
          <w:tcPr>
            <w:tcW w:type="dxa" w:w="4968"/>
          </w:tcPr>
          <w:p>
            <w:r>
              <w:t>0.031890</w:t>
            </w:r>
          </w:p>
        </w:tc>
      </w:tr>
    </w:tbl>
    <w:p/>
    <w:p>
      <w:r>
        <w:t>The feature-importance profile highlights that process and workflow variables dominate pure product variables. response_time is the strongest feature, followed by issue granularity (Sub-category, category) and support-team structure (Agent_name, Supervisor, Manager). This reinforces the finding that support operations have a meaningful influence on customer satisfaction.</w:t>
      </w:r>
    </w:p>
    <w:p>
      <w:pPr>
        <w:pStyle w:val="Heading1"/>
      </w:pPr>
      <w:r>
        <w:rPr>
          <w:color w:val="1F4E79"/>
        </w:rPr>
        <w:t>10. Deployment Readiness</w:t>
      </w:r>
    </w:p>
    <w:p>
      <w:r>
        <w:t>The final model was saved using joblib as DeepCSAT_best_model.joblib. A sanity-check load and inference test on five unseen records produced predicted CSAT scores of approximately 4.40, 4.37, 4.32, 4.31, and 4.61. The model is therefore suitable for local deployment through a Streamlit application for ongoing CSAT prediction.</w:t>
      </w:r>
    </w:p>
    <w:p>
      <w:pPr>
        <w:pStyle w:val="Heading1"/>
      </w:pPr>
      <w:r>
        <w:rPr>
          <w:color w:val="1F4E79"/>
        </w:rPr>
        <w:t>11. Business Insights and Impact</w:t>
      </w:r>
    </w:p>
    <w:p>
      <w:pPr>
        <w:pStyle w:val="ListBullet"/>
      </w:pPr>
      <w:r>
        <w:t>Reducing response and handling delays is likely to improve satisfaction and reduce churn risk.</w:t>
      </w:r>
    </w:p>
    <w:p>
      <w:pPr>
        <w:pStyle w:val="ListBullet"/>
      </w:pPr>
      <w:r>
        <w:t>Service-channel differences indicate that best practices from high-performing channels should be transferred to weaker channels.</w:t>
      </w:r>
    </w:p>
    <w:p>
      <w:pPr>
        <w:pStyle w:val="ListBullet"/>
      </w:pPr>
      <w:r>
        <w:t>Differences across shifts, supervisors, and agents suggest staffing, coaching, and quality-monitoring opportunities.</w:t>
      </w:r>
    </w:p>
    <w:p>
      <w:pPr>
        <w:pStyle w:val="ListBullet"/>
      </w:pPr>
      <w:r>
        <w:t>Product categories with high support volume should receive focused quality improvement and documentation support.</w:t>
      </w:r>
    </w:p>
    <w:p>
      <w:pPr>
        <w:pStyle w:val="ListBullet"/>
      </w:pPr>
      <w:r>
        <w:t>A predictive CSAT workflow allows proactive intervention before dissatisfaction becomes public through churn or negative reviews.</w:t>
      </w:r>
    </w:p>
    <w:p>
      <w:pPr>
        <w:pStyle w:val="Heading1"/>
      </w:pPr>
      <w:r>
        <w:rPr>
          <w:color w:val="1F4E79"/>
        </w:rPr>
        <w:t>12. Limitations</w:t>
      </w:r>
    </w:p>
    <w:p>
      <w:pPr>
        <w:pStyle w:val="ListBullet"/>
      </w:pPr>
      <w:r>
        <w:t>Model explanatory power remains modest (best R² ≈ 0.065), so predictions should be used as directional support rather than as a sole decision rule.</w:t>
      </w:r>
    </w:p>
    <w:p>
      <w:pPr>
        <w:pStyle w:val="ListBullet"/>
      </w:pPr>
      <w:r>
        <w:t>Several original variables had high missingness, limiting the usable signal available for modeling.</w:t>
      </w:r>
    </w:p>
    <w:p>
      <w:pPr>
        <w:pStyle w:val="ListBullet"/>
      </w:pPr>
      <w:r>
        <w:t>Text features were processed but not fully integrated into the final structured model pipeline.</w:t>
      </w:r>
    </w:p>
    <w:p>
      <w:pPr>
        <w:pStyle w:val="Heading1"/>
      </w:pPr>
      <w:r>
        <w:rPr>
          <w:color w:val="1F4E79"/>
        </w:rPr>
        <w:t>13. Conclusion</w:t>
      </w:r>
    </w:p>
    <w:p>
      <w:r>
        <w:t>This project demonstrates a full end-to-end machine learning workflow for customer-support analytics in e-commerce. The work combined data quality assessment, exploratory analysis, hypothesis testing, feature engineering, model comparison, and deployment preparation. Tuned Gradient Boosting Regression emerged as the best-performing model, while operational findings from EDA and feature importance provided actionable guidance for channel optimization, agent management, and response-time improvement. Overall, the project shows how CSAT prediction can support proactive customer-experience management even when the underlying signal is subtle.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DeepCSAT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