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TASK-290089DA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Purpose &amp; Standards:</w:t>
      </w:r>
    </w:p>
    <w:p>
      <w:pPr>
        <w:pStyle w:val="ListBullet"/>
      </w:pPr>
      <w:r/>
      <w:r>
        <w:rPr>
          <w:b/>
        </w:rPr>
        <w:t>Purpose:</w:t>
      </w:r>
      <w:r>
        <w:t xml:space="preserve"> The IT Security &amp; Remote Work SOP defines mandatory security measures for 50+ Full-Time Staff operating across hybrid environments.</w:t>
      </w:r>
    </w:p>
    <w:p>
      <w:pPr>
        <w:pStyle w:val="ListBullet"/>
      </w:pPr>
      <w:r/>
      <w:r>
        <w:rPr>
          <w:b/>
        </w:rPr>
        <w:t>Standards:</w:t>
      </w:r>
      <w:r/>
    </w:p>
    <w:p>
      <w:pPr>
        <w:pStyle w:val="ListBullet"/>
      </w:pPr>
      <w:r>
        <w:t>All corporate laptops must run company-managed Endpoint Detection &amp; Response (EDR) software and keep BitLocker/FileVault disk encryption enabled.</w:t>
      </w:r>
    </w:p>
    <w:p>
      <w:pPr>
        <w:pStyle w:val="ListBullet"/>
      </w:pPr>
      <w:r>
        <w:t>Authentication:</w:t>
      </w:r>
    </w:p>
    <w:p>
      <w:pPr>
        <w:pStyle w:val="ListBullet"/>
      </w:pPr>
      <w:r>
        <w:t>Passwords are a minimum of 14 characters, stored using corporate password managers.</w:t>
      </w:r>
    </w:p>
    <w:p>
      <w:pPr>
        <w:pStyle w:val="ListBullet"/>
      </w:pPr>
      <w:r>
        <w:t>Multi-Factor Authentication (MFA) is mandatory on all accounts (Google Workspace, GitHub, AWS).</w:t>
      </w:r>
    </w:p>
    <w:p>
      <w:pPr>
        <w:pStyle w:val="Heading3"/>
      </w:pPr>
      <w:r>
        <w:t>Hardware &amp; Password Governance:</w:t>
      </w:r>
    </w:p>
    <w:p>
      <w:pPr>
        <w:pStyle w:val="ListBullet"/>
      </w:pPr>
      <w:r/>
      <w:r>
        <w:rPr>
          <w:b/>
        </w:rPr>
        <w:t>Hardware:</w:t>
      </w:r>
      <w:r/>
    </w:p>
    <w:p>
      <w:pPr>
        <w:pStyle w:val="ListBullet"/>
      </w:pPr>
      <w:r>
        <w:t>All corporate laptops must run company-managed Endpoint Detection &amp; Response (EDR) software and keep BitLocker/FileVault disk encryption enabled.</w:t>
      </w:r>
    </w:p>
    <w:p>
      <w:pPr>
        <w:pStyle w:val="ListBullet"/>
      </w:pPr>
      <w:r/>
      <w:r>
        <w:rPr>
          <w:b/>
        </w:rPr>
        <w:t>Password Management:</w:t>
      </w:r>
      <w:r/>
    </w:p>
    <w:p>
      <w:pPr>
        <w:pStyle w:val="ListBullet"/>
      </w:pPr>
      <w:r>
        <w:t>Passwords are a minimum of 14 characters, stored using corporate password managers.</w:t>
      </w:r>
    </w:p>
    <w:p>
      <w:pPr>
        <w:pStyle w:val="Heading3"/>
      </w:pPr>
      <w:r>
        <w:t>Remote Work &amp; Network Access SOP:</w:t>
      </w:r>
    </w:p>
    <w:p>
      <w:pPr>
        <w:pStyle w:val="ListBullet"/>
      </w:pPr>
      <w:r/>
      <w:r>
        <w:rPr>
          <w:b/>
        </w:rPr>
        <w:t>Network Access:</w:t>
      </w:r>
      <w:r/>
    </w:p>
    <w:p>
      <w:pPr>
        <w:pStyle w:val="ListBullet"/>
      </w:pPr>
      <w:r>
        <w:t>Staff connecting from remote locations or public Wi-Fi must route all traffic through the official NexusTech WireGuard VPN.</w:t>
      </w:r>
    </w:p>
    <w:p>
      <w:pPr>
        <w:pStyle w:val="ListBullet"/>
      </w:pPr>
      <w:r/>
      <w:r>
        <w:rPr>
          <w:b/>
        </w:rPr>
        <w:t>Data Transfer Restrictions:</w:t>
      </w:r>
      <w:r/>
    </w:p>
    <w:p>
      <w:pPr>
        <w:pStyle w:val="ListBullet"/>
      </w:pPr>
      <w:r>
        <w:t>Production datasets and customer Personal Identifiable Information (PII) cannot be downloaded onto personal devices or unencrypted USB drives.</w:t>
      </w:r>
    </w:p>
    <w:p>
      <w:pPr>
        <w:pStyle w:val="Heading3"/>
      </w:pPr>
      <w:r>
        <w:t>Incident Response SOP:</w:t>
      </w:r>
    </w:p>
    <w:p>
      <w:pPr>
        <w:pStyle w:val="ListBullet"/>
      </w:pPr>
      <w:r/>
      <w:r>
        <w:rPr>
          <w:b/>
        </w:rPr>
        <w:t>Incident Response:</w:t>
      </w:r>
      <w:r/>
    </w:p>
    <w:p>
      <w:pPr>
        <w:pStyle w:val="ListBullet"/>
      </w:pPr>
      <w:r>
        <w:t>In case of a lost device or compromised credential, an employee should report to security@nexustech.com within 30 minutes. Security Audits are performed quarterly with non-compliant devices automatically losing network access.</w:t>
      </w:r>
    </w:p>
    <w:p>
      <w:pPr>
        <w:pStyle w:val="Heading3"/>
      </w:pPr>
      <w:r>
        <w:t>NEXUSTECH SOLUTIONS INC. (Nexustech Solutions Inc.):</w:t>
      </w:r>
    </w:p>
    <w:p>
      <w:pPr>
        <w:pStyle w:val="ListBullet"/>
      </w:pPr>
      <w:r/>
      <w:r>
        <w:rPr>
          <w:b/>
        </w:rPr>
        <w:t>Operations &amp; Governance:</w:t>
      </w:r>
      <w:r/>
    </w:p>
    <w:p>
      <w:pPr>
        <w:pStyle w:val="ListBullet"/>
      </w:pPr>
      <w:r>
        <w:t>The company's operations and governance manual outlines confidentiality, integrity, availability, and accountability of its internal and external compliance.</w:t>
      </w:r>
    </w:p>
    <w:p>
      <w:pPr>
        <w:pStyle w:val="ListBullet"/>
      </w:pPr>
      <w:r/>
      <w:r>
        <w:rPr>
          <w:b/>
        </w:rPr>
        <w:t>Confidential Internal &amp; External Compliance Manual:</w:t>
      </w:r>
      <w:r/>
    </w:p>
    <w:p>
      <w:pPr>
        <w:pStyle w:val="ListBullet"/>
      </w:pPr>
      <w:r>
        <w:t>This document provides guidelines for maintaining the organization’s confidential information.</w:t>
      </w:r>
    </w:p>
    <w:p>
      <w:pPr>
        <w:pStyle w:val="ListBullet"/>
      </w:pPr>
      <w:r/>
      <w:r>
        <w:rPr>
          <w:b/>
        </w:rPr>
        <w:t>NexusTech Solutions Inc. — Confidential Internal &amp; External Compliance Manual:</w:t>
      </w:r>
      <w:r/>
    </w:p>
    <w:p>
      <w:pPr>
        <w:pStyle w:val="ListBullet"/>
      </w:pPr>
      <w:r>
        <w:t>This section details the organization's policies on data protection, access control, and reporting mechanisms to ensure adherence to legal and regulatory requirements.</w:t>
      </w:r>
    </w:p>
    <w:p>
      <w:pPr>
        <w:pStyle w:val="Heading3"/>
      </w:pPr>
      <w:r>
        <w:t>Grounding &amp; Evidence Sources:</w:t>
      </w:r>
    </w:p>
    <w:p>
      <w:pPr>
        <w:pStyle w:val="ListBullet"/>
      </w:pPr>
      <w:r/>
      <w:r>
        <w:rPr>
          <w:b/>
        </w:rPr>
        <w:t>IT_Security_and_Remote_Work_SOP.pdf (Referenced):</w:t>
      </w:r>
      <w:r>
        <w:t xml:space="preserve"> IT Security &amp; Remote Work SOP DOCUMENT</w:t>
      </w:r>
    </w:p>
    <w:p>
      <w:pPr>
        <w:pStyle w:val="ListBullet"/>
      </w:pPr>
      <w:r/>
      <w:r>
        <w:rPr>
          <w:b/>
        </w:rPr>
        <w:t>NTS-SOP - Security-2026-v1 EFFECTIVE DATE:</w:t>
      </w:r>
      <w:r>
        <w:t xml:space="preserve"> Oct 1, 2026</w:t>
      </w:r>
    </w:p>
    <w:p>
      <w:pPr>
        <w:pStyle w:val="ListBullet"/>
      </w:pPr>
      <w:r/>
      <w:r>
        <w:rPr>
          <w:b/>
        </w:rPr>
        <w:t>TARGET SCOPE:</w:t>
      </w:r>
      <w:r/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Adrestia_Report_TASK-CCF862E1.pdf (Referenced): Document Summary TASK-CCF862E1</w:t>
        <w:br/>
        <w:t>Analysis &amp; Generated Response</w:t>
        <w:br/>
        <w:t> Purpose &amp; Standards: The IT Security &amp; Remote Work SOP defines mandatory security measu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