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TASK-A015B0F0</w:t>
      </w:r>
    </w:p>
    <w:p>
      <w:pPr>
        <w:pStyle w:val="Heading2"/>
      </w:pPr>
      <w:r>
        <w:t>Analysis &amp; Generated Response</w:t>
      </w:r>
    </w:p>
    <w:p>
      <w:r>
        <w:t>Mock AI analysis generated successfully.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Safety_Manual.txt (Referenced): ure vessels shall not exceed 7.5 bar under routine operation. Any reading above this threshold must be flagged as a safety violation and escalated for</w:t>
      </w:r>
    </w:p>
    <w:p>
      <w:pPr>
        <w:pStyle w:val="ListBullet"/>
      </w:pPr>
      <w:r>
        <w:t>Maintenance_Guidelines.txt (Referenced): MAINTENANCE GUIDELINES — Torque and Fastening.</w:t>
        <w:br/>
        <w:t>Section 4.1: Flange assembly A-2 fasteners shall be torqued to 220 Nm +/- 5 Nm and re-verified after 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