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TASK-CBAE422C</w:t>
      </w:r>
    </w:p>
    <w:p>
      <w:pPr>
        <w:pStyle w:val="Heading2"/>
      </w:pPr>
      <w:r>
        <w:t>Analysis &amp; Generated Response</w:t>
      </w:r>
    </w:p>
    <w:p>
      <w:r>
        <w:t>Mock code generated successfully.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Turbine_SOP.txt (Referenced): ce activity shall commence without a signed lockout-tagout certificate attached to the work order. Maximum operating pressure 7.5 bar.</w:t>
      </w:r>
    </w:p>
    <w:p>
      <w:pPr>
        <w:pStyle w:val="ListBullet"/>
      </w:pPr>
      <w:r>
        <w:t>Maintenance_Guidelines.txt (Referenced): MAINTENANCE GUIDELINES — Torque and Fastening.</w:t>
        <w:br/>
        <w:t>Section 4.1: Flange assembly A-2 fasteners shall be torqued to 220 Nm +/- 5 Nm and re-verified after th</w:t>
      </w:r>
    </w:p>
    <w:p>
      <w:pPr>
        <w:pStyle w:val="ListBullet"/>
      </w:pPr>
      <w:r>
        <w:t>Safety_Manual.txt (Referenced): -cause analysis before clearance.</w:t>
        <w:br/>
        <w:t>Section 7: Lockout-tagout certificate is mandatory before any maintenance activity.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