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TASK-F77BEA71</w:t>
      </w:r>
    </w:p>
    <w:p>
      <w:pPr>
        <w:pStyle w:val="Heading2"/>
      </w:pPr>
      <w:r>
        <w:t>Analysis &amp; Generated Response</w:t>
      </w:r>
    </w:p>
    <w:p>
      <w:pPr>
        <w:pStyle w:val="ListBullet"/>
      </w:pPr>
      <w:r>
        <w:t>*Executive Overview:**</w:t>
      </w:r>
    </w:p>
    <w:p>
      <w:pPr>
        <w:pStyle w:val="ListBullet"/>
      </w:pPr>
      <w:r/>
      <w:r>
        <w:rPr>
          <w:b/>
        </w:rPr>
        <w:t>Document Title:</w:t>
      </w:r>
      <w:r>
        <w:t xml:space="preserve"> Letter to Commissioner on Safe Drinking Water Programs</w:t>
      </w:r>
    </w:p>
    <w:p>
      <w:pPr>
        <w:pStyle w:val="ListBullet"/>
      </w:pPr>
      <w:r/>
      <w:r>
        <w:rPr>
          <w:b/>
        </w:rPr>
        <w:t>Issuing Authority/Author Team:</w:t>
      </w:r>
      <w:r>
        <w:t xml:space="preserve"> United States Environmental Protection Agency (EPA), Office of Water, Washington D.C.</w:t>
      </w:r>
    </w:p>
    <w:p>
      <w:pPr>
        <w:pStyle w:val="ListBullet"/>
      </w:pPr>
      <w:r/>
      <w:r>
        <w:rPr>
          <w:b/>
        </w:rPr>
        <w:t>Date:</w:t>
      </w:r>
      <w:r>
        <w:t xml:space="preserve"> Held 29, 2016</w:t>
      </w:r>
    </w:p>
    <w:p>
      <w:pPr>
        <w:pStyle w:val="ListBullet"/>
      </w:pPr>
      <w:r/>
      <w:r>
        <w:rPr>
          <w:b/>
        </w:rPr>
        <w:t>Recipient/Audience:</w:t>
      </w:r>
      <w:r>
        <w:t xml:space="preserve"> Commissioner and State Drinking Water Program Directors</w:t>
      </w:r>
    </w:p>
    <w:p>
      <w:pPr>
        <w:pStyle w:val="ListBullet"/>
      </w:pPr>
      <w:r>
        <w:t>*Core Objective:**</w:t>
      </w:r>
    </w:p>
    <w:p>
      <w:r>
        <w:t>The core objective is to strengthen the nation's safe drinking water programs by addressing lead risks in drinking water supplies. This includes ensuring proper implementation of the Lead and Copper Rule (LCR) across states, enhancing public transparency regarding LCR compliance efforts, and working collaboratively with state agencies.</w:t>
      </w:r>
    </w:p>
    <w:p>
      <w:pPr>
        <w:pStyle w:val="ListBullet"/>
      </w:pPr>
      <w:r>
        <w:t>--</w:t>
      </w:r>
    </w:p>
    <w:p>
      <w:pPr>
        <w:pStyle w:val="Heading3"/>
      </w:pPr>
      <w:r>
        <w:t>2. Context &amp; Background</w:t>
      </w:r>
    </w:p>
    <w:p>
      <w:r>
        <w:t>The document addresses a critical issue concerning the safety of America's drinking water systems, particularly focusing on lead contamination risks in Flint, Michigan, and other U.S. cities. The Safe Drinking Water Act (SDWA) mandates that states have primary responsibility for implementing and enforcing drinking water regulations, while EPA oversees these efforts.</w:t>
      </w:r>
    </w:p>
    <w:p>
      <w:pPr>
        <w:pStyle w:val="ListBullet"/>
      </w:pPr>
      <w:r>
        <w:t>*Problem Being Addressed:**</w:t>
      </w:r>
    </w:p>
    <w:p>
      <w:r>
        <w:t>The document highlights the need to strengthen state programs' implementation of the LCR by ensuring proper identification and addressing lead action level exceedances, optimizing corrosion control measures, providing effective public health communication, and removing lead service lines where required. It also emphasizes the importance of transparency in implementing these regulations.</w:t>
      </w:r>
    </w:p>
    <w:p>
      <w:pPr>
        <w:pStyle w:val="ListBullet"/>
      </w:pPr>
      <w:r>
        <w:t>*Necessity:**</w:t>
      </w:r>
    </w:p>
    <w:p>
      <w:r>
        <w:t>This is crucial given recent events such as those in Flint that have raised concerns about the safety of drinking water supplies nationwide. The document seeks to align state programs with EPA guidance on LCR sampling protocols and procedures, ensuring optimal corrosion control measures are implemented effectively.</w:t>
      </w:r>
    </w:p>
    <w:p>
      <w:pPr>
        <w:pStyle w:val="ListBullet"/>
      </w:pPr>
      <w:r>
        <w:t>--</w:t>
      </w:r>
    </w:p>
    <w:p>
      <w:pPr>
        <w:pStyle w:val="Heading3"/>
      </w:pPr>
      <w:r>
        <w:t>3. Core Provisions &amp; Specifications</w:t>
      </w:r>
    </w:p>
    <w:p>
      <w:r>
        <w:t>The letter outlines several key provisions aimed at enhancing compliance with the LCR:</w:t>
      </w:r>
    </w:p>
    <w:p>
      <w:pPr>
        <w:pStyle w:val="ListBullet"/>
      </w:pPr>
      <w:r/>
      <w:r>
        <w:rPr>
          <w:b/>
        </w:rPr>
        <w:t>Identification of Lead Service Lines:</w:t>
      </w:r>
      <w:r>
        <w:t xml:space="preserve"> States must identify locations of lead service lines in their systems.</w:t>
      </w:r>
    </w:p>
    <w:p>
      <w:pPr>
        <w:pStyle w:val="ListBullet"/>
      </w:pPr>
      <w:r/>
      <w:r>
        <w:rPr>
          <w:b/>
        </w:rPr>
        <w:t>Inventory Management:</w:t>
      </w:r>
      <w:r>
        <w:t xml:space="preserve"> Systems need to maintain an updated inventory or map of all lead plumbing within their infrastructure, including any more recent updates.</w:t>
      </w:r>
    </w:p>
    <w:p>
      <w:pPr>
        <w:pStyle w:val="ListBullet"/>
      </w:pPr>
      <w:r/>
      <w:r>
        <w:rPr>
          <w:b/>
        </w:rPr>
        <w:t>Sampling Protocols &amp; Procedures:</w:t>
      </w:r>
      <w:r>
        <w:t xml:space="preserve"> States are required to follow EPA guidance on LCR sampling protocols and procedures for optimizing corrosion control measures. This includes confirming that state protocols align with the LCR’s requirements.</w:t>
      </w:r>
    </w:p>
    <w:p>
      <w:pPr>
        <w:pStyle w:val="ListBullet"/>
      </w:pPr>
      <w:r/>
      <w:r>
        <w:rPr>
          <w:b/>
        </w:rPr>
        <w:t>Public Transparency:</w:t>
      </w:r>
      <w:r>
        <w:t xml:space="preserve"> States must post information about all state LCR sampling protocols, Tier 1 site identification criteria (where LCR sampling is mandated), and any invalidation of LCR samples on their public websites or EPA's website.</w:t>
      </w:r>
    </w:p>
    <w:p>
      <w:pPr>
        <w:pStyle w:val="ListBullet"/>
      </w:pPr>
      <w:r>
        <w:t>--</w:t>
      </w:r>
    </w:p>
    <w:p>
      <w:pPr>
        <w:pStyle w:val="Heading3"/>
      </w:pPr>
      <w:r>
        <w:t>4. Key Directives, Action Items &amp; Innovations</w:t>
      </w:r>
    </w:p>
    <w:p>
      <w:r>
        <w:t>The letter outlines specific actions that states should undertake to address lead risks in drinking water supplies:</w:t>
      </w:r>
    </w:p>
    <w:p>
      <w:pPr>
        <w:pStyle w:val="ListBullet"/>
      </w:pPr>
      <w:r/>
      <w:r>
        <w:rPr>
          <w:b/>
        </w:rPr>
        <w:t>Confirm Protocols:</w:t>
      </w:r>
      <w:r>
        <w:t xml:space="preserve"> States must ensure their protocols for implementing the LCR are fully consistent with EPA guidance.</w:t>
      </w:r>
    </w:p>
    <w:p>
      <w:pPr>
        <w:pStyle w:val="ListBullet"/>
      </w:pPr>
      <w:r/>
      <w:r>
        <w:rPr>
          <w:b/>
        </w:rPr>
        <w:t>Optimize Corrosion Control:</w:t>
      </w:r>
      <w:r>
        <w:t xml:space="preserve"> Use relevant EPA guidance on sampling and procedures to optimize corrosion control measures effectively.</w:t>
      </w:r>
    </w:p>
    <w:p>
      <w:pPr>
        <w:pStyle w:val="ListBullet"/>
      </w:pPr>
      <w:r/>
      <w:r>
        <w:rPr>
          <w:b/>
        </w:rPr>
        <w:t>Post Information Online:</w:t>
      </w:r>
      <w:r>
        <w:t xml:space="preserve"> Post all state LCR sampling protocols, Tier 1 site identification criteria (where required), and any invalidation of LCR samples online for public access.</w:t>
      </w:r>
    </w:p>
    <w:p>
      <w:pPr>
        <w:pStyle w:val="ListBullet"/>
      </w:pPr>
      <w:r>
        <w:t>*Innovations:**</w:t>
      </w:r>
    </w:p>
    <w:p>
      <w:r>
        <w:t>The letter emphasizes the importance of enhancing efforts in ensuring timely communication with residents regarding lead risks and abatement steps. This includes promptly informing residents about high lead levels detected in their drinking water systems, providing clear information on how to mitigate these risks, and increasing transparency by posting this information online or through public websites.</w:t>
      </w:r>
    </w:p>
    <w:p>
      <w:pPr>
        <w:pStyle w:val="ListBullet"/>
      </w:pPr>
      <w:r>
        <w:t>--</w:t>
      </w:r>
    </w:p>
    <w:p>
      <w:pPr>
        <w:pStyle w:val="Heading3"/>
      </w:pPr>
      <w:r>
        <w:t>5. Summary &amp; Practical Impact</w:t>
      </w:r>
    </w:p>
    <w:p>
      <w:r>
        <w:t>The document underscores the critical importance of addressing lead contamination risks as part of a broader effort to ensure safe drinking water for all Americans. By working together with state agencies, EPA aims to restore public confidence in shared efforts and enhance transparency regarding compliance data. The practical impact includes improved monitoring systems, enhanced communication strategies, and more effective implementation of corrosion control measures.</w:t>
      </w:r>
    </w:p>
    <w:p>
      <w:r>
        <w:t>The letter also highlights the need for continued collaboration among various stakeholders—state governments, local communities, water system operators—to address both existing and emerging contaminants effectively. This collaborative approach is essential in ensuring sustainable drinking water infrastructure that meets current needs while preparing for future challenges.</w:t>
      </w:r>
    </w:p>
    <w:p>
      <w:pPr>
        <w:pStyle w:val="Heading2"/>
      </w:pPr>
      <w:r>
        <w:t>Grounding &amp; Evidence Sources</w:t>
      </w:r>
    </w:p>
    <w:p>
      <w:pPr>
        <w:pStyle w:val="ListBullet"/>
      </w:pPr>
      <w:r>
        <w:t>ocr doc.pdf (Referenced): --- Page 1 ---</w:t>
        <w:br/>
        <w:t xml:space="preserve">**United States Environmental Protection Agency**  </w:t>
        <w:br/>
        <w:t xml:space="preserve">**WASHINGTON, D.C. 20460**  </w:t>
        <w:br/>
        <w:t xml:space="preserve">**OFFICE OF WATER**  </w:t>
        <w:br/>
        <w:t xml:space="preserve">**HELD 29 2016**  </w:t>
        <w:br/>
        <w:t>**Dear Commis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