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TASK-FC7ECFE4</w:t>
      </w:r>
    </w:p>
    <w:p>
      <w:pPr>
        <w:pStyle w:val="Heading2"/>
      </w:pPr>
      <w:r>
        <w:t>Analysis &amp; Generated Response</w:t>
      </w:r>
    </w:p>
    <w:p>
      <w:pPr>
        <w:pStyle w:val="Heading3"/>
      </w:pPr>
      <w:r>
        <w:t>1. Project Overview</w:t>
      </w:r>
    </w:p>
    <w:p>
      <w:pPr>
        <w:pStyle w:val="ListBullet"/>
      </w:pPr>
      <w:r>
        <w:t>*Project Title:** Sovereign On-Premise Agentic AI Workbench using Open-Weight Multimodal LLMs for Confidential Industrial Work</w:t>
      </w:r>
    </w:p>
    <w:p>
      <w:pPr>
        <w:pStyle w:val="ListBullet"/>
      </w:pPr>
      <w:r>
        <w:t>*Problem Statement ID: SIH26117**</w:t>
      </w:r>
    </w:p>
    <w:p>
      <w:pPr>
        <w:pStyle w:val="ListBullet"/>
      </w:pPr>
      <w:r>
        <w:t>*Team Name/Author:** TEAM ADRESTIA</w:t>
      </w:r>
    </w:p>
    <w:p>
      <w:pPr>
        <w:pStyle w:val="ListBullet"/>
      </w:pPr>
      <w:r>
        <w:t>*Theme:** Smart Automation</w:t>
      </w:r>
    </w:p>
    <w:p>
      <w:pPr>
        <w:pStyle w:val="Heading3"/>
      </w:pPr>
      <w:r>
        <w:t>2. Context &amp; Problem Statement</w:t>
      </w:r>
    </w:p>
    <w:p>
      <w:r>
        <w:t>The problem statement identifies a critical challenge in the current context, which is to address the operational difficulty of securing confidential data within an on-premise environment while ensuring that AI-driven solutions are secure and reliable.</w:t>
      </w:r>
    </w:p>
    <w:p>
      <w:pPr>
        <w:pStyle w:val="Heading3"/>
      </w:pPr>
      <w:r>
        <w:t>3. Technical Solution &amp; Architecture</w:t>
      </w:r>
    </w:p>
    <w:p>
      <w:r>
        <w:t>The technical solution addresses the core challenges by leveraging open-source technologies such as Qwen (Qwen), Meta Llama, Mistral, Gemma, PaddleOCR, OCR + VLM pipelines, LangChain, LlamaIndex, Haystack, FAISS, and Qdrant to create a sovereign AI workbench. The architecture is modularized with the following components:</w:t>
      </w:r>
    </w:p>
    <w:p>
      <w:pPr>
        <w:pStyle w:val="ListBullet"/>
      </w:pPr>
      <w:r/>
      <w:r>
        <w:rPr>
          <w:b/>
        </w:rPr>
        <w:t>Model Router:</w:t>
      </w:r>
      <w:r>
        <w:t xml:space="preserve"> Local models are selected per task for efficient execution.</w:t>
      </w:r>
    </w:p>
    <w:p>
      <w:pPr>
        <w:pStyle w:val="ListBullet"/>
      </w:pPr>
      <w:r/>
      <w:r>
        <w:rPr>
          <w:b/>
        </w:rPr>
        <w:t>Task-Aware Model Router:</w:t>
      </w:r>
      <w:r>
        <w:t xml:space="preserve"> Ensures that each model performs best according to its specific tasks.</w:t>
      </w:r>
    </w:p>
    <w:p>
      <w:pPr>
        <w:pStyle w:val="ListBullet"/>
      </w:pPr>
      <w:r/>
      <w:r>
        <w:rPr>
          <w:b/>
        </w:rPr>
        <w:t>Multi-step Work:</w:t>
      </w:r>
      <w:r>
        <w:t xml:space="preserve"> Automated workflows involving multiple steps, including data scanning, multimodal processing, and verification of actions.</w:t>
      </w:r>
    </w:p>
    <w:p>
      <w:pPr>
        <w:pStyle w:val="Heading3"/>
      </w:pPr>
      <w:r>
        <w:t>4. Key Innovations &amp; Security</w:t>
      </w:r>
    </w:p>
    <w:p>
      <w:r>
        <w:t>The key innovations include:</w:t>
      </w:r>
    </w:p>
    <w:p>
      <w:pPr>
        <w:pStyle w:val="ListBullet"/>
      </w:pPr>
      <w:r/>
      <w:r>
        <w:rPr>
          <w:b/>
        </w:rPr>
        <w:t>Open-Weight AI:</w:t>
      </w:r>
      <w:r>
        <w:t xml:space="preserve"> Utilizing open-source models with locally deployed components that can evolve without redesigning the core.</w:t>
      </w:r>
    </w:p>
    <w:p>
      <w:pPr>
        <w:pStyle w:val="ListBullet"/>
      </w:pPr>
      <w:r/>
      <w:r>
        <w:rPr>
          <w:b/>
        </w:rPr>
        <w:t>Local OCR + Vision Models:</w:t>
      </w:r>
      <w:r>
        <w:t xml:space="preserve"> Leveraging local OCR and vision capabilities to improve accuracy in data processing tasks.</w:t>
      </w:r>
    </w:p>
    <w:p>
      <w:pPr>
        <w:pStyle w:val="ListBullet"/>
      </w:pPr>
      <w:r/>
      <w:r>
        <w:rPr>
          <w:b/>
        </w:rPr>
        <w:t>Private RAG (Rag-Aggregation):</w:t>
      </w:r>
      <w:r>
        <w:t xml:space="preserve"> Aggregating private source documents for a more secure and controlled execution environment.</w:t>
      </w:r>
    </w:p>
    <w:p>
      <w:pPr>
        <w:pStyle w:val="Heading3"/>
      </w:pPr>
      <w:r>
        <w:t>5. Practical Impact &amp; Deliverables</w:t>
      </w:r>
    </w:p>
    <w:p>
      <w:r>
        <w:t>The project aims to:</w:t>
      </w:r>
    </w:p>
    <w:p>
      <w:pPr>
        <w:pStyle w:val="ListBullet"/>
      </w:pPr>
      <w:r>
        <w:t>Ensure the security of confidential data within an on-premise AI workbench, reducing risks associated with cloud-based solutions.</w:t>
      </w:r>
    </w:p>
    <w:p>
      <w:pPr>
        <w:pStyle w:val="ListBullet"/>
      </w:pPr>
      <w:r>
        <w:t>Provide a sovereign AI platform that can be deployed in various industries without compromising on control or scalability.</w:t>
      </w:r>
    </w:p>
    <w:p>
      <w:pPr>
        <w:pStyle w:val="ListBullet"/>
      </w:pPr>
      <w:r>
        <w:t>Offer tools and processes for automated verification and approval workflows.</w:t>
      </w:r>
    </w:p>
    <w:p>
      <w:pPr>
        <w:pStyle w:val="Heading3"/>
      </w:pPr>
      <w:r>
        <w:t>6. Feasibility &amp; Viability</w:t>
      </w:r>
    </w:p>
    <w:p>
      <w:r>
        <w:t>The feasibility of the project is supported by:</w:t>
      </w:r>
    </w:p>
    <w:p>
      <w:pPr>
        <w:pStyle w:val="ListBullet"/>
      </w:pPr>
      <w:r/>
      <w:r>
        <w:rPr>
          <w:b/>
        </w:rPr>
        <w:t>Open-Weight:</w:t>
      </w:r>
      <w:r>
        <w:t xml:space="preserve"> No vendor lock-in, allowing for controlled execution with minimal redesigning of core components.</w:t>
      </w:r>
    </w:p>
    <w:p>
      <w:pPr>
        <w:pStyle w:val="ListBullet"/>
      </w:pPr>
      <w:r/>
      <w:r>
        <w:rPr>
          <w:b/>
        </w:rPr>
        <w:t>Local Knowledge:</w:t>
      </w:r>
      <w:r>
        <w:t xml:space="preserve"> Leveraging proven open technologies to ensure secure and reliable AI-driven solutions within a sovereign environment.</w:t>
      </w:r>
    </w:p>
    <w:p>
      <w:pPr>
        <w:pStyle w:val="Heading3"/>
      </w:pPr>
      <w:r>
        <w:t>7. Impact on Industry</w:t>
      </w:r>
    </w:p>
    <w:p>
      <w:pPr>
        <w:pStyle w:val="ListBullet"/>
      </w:pPr>
      <w:r>
        <w:t>*Industry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final ppt sih adrestia.pptx (Referenced): TITLE PAGE</w:t>
        <w:br/>
        <w:t>SMART INDIA HACKATHON 2026</w:t>
        <w:br/>
        <w:br/>
        <w:t>Problem Statement ID – SIH26117</w:t>
        <w:br/>
        <w:t>Problem Statement Title- “Sovereign On-Premise Agentic AI Workbench using Open-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