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Baakhapaa</w:t>
      </w:r>
    </w:p>
    <w:p>
      <w:pPr>
        <w:spacing w:after="200"/>
        <w:jc w:val="center"/>
      </w:pPr>
      <w:r>
        <w:rPr>
          <w:i/>
          <w:iCs/>
          <w:sz w:val="22"/>
          <w:szCs w:val="22"/>
        </w:rPr>
        <w:t xml:space="preserve">AI-powered pre-production intelligence system</w:t>
      </w:r>
    </w:p>
    <w:p>
      <w:pPr>
        <w:pBdr>
          <w:top w:val="single" w:color="999999" w:sz="6" w:space="6"/>
          <w:bottom w:val="single" w:color="999999" w:sz="6" w:space="6"/>
        </w:pBdr>
        <w:spacing w:after="60"/>
        <w:jc w:val="center"/>
      </w:pPr>
      <w:r>
        <w:rPr>
          <w:b/>
          <w:bCs/>
          <w:spacing w:val="30"/>
          <w:sz w:val="21"/>
          <w:szCs w:val="21"/>
        </w:rPr>
        <w:t xml:space="preserve">MONTH 2 PROGRESS REPORT</w:t>
      </w:r>
    </w:p>
    <w:p>
      <w:pPr>
        <w:spacing w:after="200"/>
        <w:jc w:val="center"/>
      </w:pPr>
      <w:r>
        <w:rPr>
          <w:color w:val="555555"/>
          <w:sz w:val="18"/>
          <w:szCs w:val="18"/>
        </w:rPr>
        <w:t xml:space="preserve">Weeks 5 to 8 of 12  ·  Reference: Proposal §8</w:t>
      </w:r>
    </w:p>
    <w:p>
      <w:pPr>
        <w:spacing w:after="40"/>
        <w:jc w:val="center"/>
      </w:pPr>
      <w:r>
        <w:rPr>
          <w:b/>
          <w:bCs/>
          <w:sz w:val="19"/>
          <w:szCs w:val="19"/>
        </w:rPr>
        <w:t xml:space="preserve">TODO: your full name  ·  TODO: your roll number</w:t>
      </w:r>
    </w:p>
    <w:p>
      <w:pPr>
        <w:spacing w:after="40"/>
        <w:jc w:val="center"/>
      </w:pPr>
      <w:r>
        <w:rPr>
          <w:color w:val="555555"/>
          <w:sz w:val="18"/>
          <w:szCs w:val="18"/>
        </w:rPr>
        <w:t xml:space="preserve">TODO: e.g. Bachelor of Information Management, TODO: your college name</w:t>
      </w:r>
    </w:p>
    <w:p>
      <w:pPr>
        <w:spacing w:after="320"/>
        <w:jc w:val="center"/>
      </w:pPr>
      <w:r>
        <w:rPr>
          <w:color w:val="555555"/>
          <w:sz w:val="18"/>
          <w:szCs w:val="18"/>
        </w:rPr>
        <w:t xml:space="preserve">September 2026</w:t>
      </w:r>
    </w:p>
    <w:p>
      <w:pPr>
        <w:pStyle w:val="Heading2"/>
        <w:spacing w:after="120" w:before="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line="276"/>
        <w:jc w:val="both"/>
      </w:pPr>
      <w:r>
        <w:rPr>
          <w:b/>
          <w:bCs/>
          <w:sz w:val="22"/>
          <w:szCs w:val="22"/>
        </w:rPr>
        <w:t xml:space="preserve">Baakhapaa: AI-powered pre-production intelligence system</w:t>
      </w:r>
      <w:r>
        <w:rPr>
          <w:sz w:val="22"/>
          <w:szCs w:val="22"/>
        </w:rPr>
        <w:t xml:space="preserve"> Weeks 5 to 8 of 12. Reference: proposal §8.</w:t>
      </w:r>
    </w:p>
    <w:p>
      <w:pPr>
        <w:spacing w:after="120" w:line="276"/>
        <w:jc w:val="both"/>
      </w:pPr>
      <w:r>
        <w:rPr>
          <w:sz w:val="22"/>
          <w:szCs w:val="22"/>
        </w:rPr>
        <w:t xml:space="preserve">The four modules scheduled for Month 2 were finished ahead of schedule in Month 1 and reported then. This month went instead on the work the schedule had no room for: proper testing, the first run against live AI providers, and the first measurement of how well retrieval actually performs.</w:t>
      </w:r>
    </w:p>
    <w:p>
      <w:pPr>
        <w:pStyle w:val="Heading1"/>
        <w:spacing w:after="160" w:before="320"/>
      </w:pPr>
      <w:r>
        <w:t xml:space="preserve">1. Month 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100"/>
              <w:bottom w:type="dxa" w:w="60"/>
              <w:right w:type="dxa" w:w="100"/>
            </w:tcMar>
          </w:tcPr>
          <w:p>
            <w:r>
              <w:rPr>
                <w:b/>
                <w:bCs/>
                <w:sz w:val="19"/>
                <w:szCs w:val="19"/>
              </w:rPr>
              <w:t xml:space="preserve">Wk</w:t>
            </w:r>
          </w:p>
        </w:tc>
        <w:tc>
          <w:tcPr>
            <w:tcW w:type="dxa" w:w="2340"/>
            <w:shd w:fill="EFEFEF" w:val="clear"/>
            <w:tcMar>
              <w:top w:type="dxa" w:w="60"/>
              <w:left w:type="dxa" w:w="100"/>
              <w:bottom w:type="dxa" w:w="60"/>
              <w:right w:type="dxa" w:w="100"/>
            </w:tcMar>
          </w:tcPr>
          <w:p>
            <w:r>
              <w:rPr>
                <w:b/>
                <w:bCs/>
                <w:sz w:val="19"/>
                <w:szCs w:val="19"/>
              </w:rPr>
              <w:t xml:space="preserve">Build focus</w:t>
            </w:r>
          </w:p>
        </w:tc>
        <w:tc>
          <w:tcPr>
            <w:tcW w:type="dxa" w:w="2340"/>
            <w:shd w:fill="EFEFEF" w:val="clear"/>
            <w:tcMar>
              <w:top w:type="dxa" w:w="60"/>
              <w:left w:type="dxa" w:w="100"/>
              <w:bottom w:type="dxa" w:w="60"/>
              <w:right w:type="dxa" w:w="100"/>
            </w:tcMar>
          </w:tcPr>
          <w:p>
            <w:r>
              <w:rPr>
                <w:b/>
                <w:bCs/>
                <w:sz w:val="19"/>
                <w:szCs w:val="19"/>
              </w:rPr>
              <w:t xml:space="preserve">Deliverable</w:t>
            </w:r>
          </w:p>
        </w:tc>
        <w:tc>
          <w:tcPr>
            <w:tcW w:type="dxa" w:w="2340"/>
            <w:shd w:fill="EFEFEF" w:val="clear"/>
            <w:tcMar>
              <w:top w:type="dxa" w:w="60"/>
              <w:left w:type="dxa" w:w="100"/>
              <w:bottom w:type="dxa" w:w="60"/>
              <w:right w:type="dxa" w:w="100"/>
            </w:tcMar>
          </w:tcPr>
          <w:p>
            <w:r>
              <w:rPr>
                <w:b/>
                <w:bCs/>
                <w:sz w:val="19"/>
                <w:szCs w:val="19"/>
              </w:rPr>
              <w:t xml:space="preserve">Status</w:t>
            </w:r>
          </w:p>
        </w:tc>
      </w:tr>
      <w:tr>
        <w:trPr>
          <w:tblHeader w:val="false"/>
        </w:trPr>
        <w:tc>
          <w:tcPr>
            <w:tcW w:type="dxa" w:w="2340"/>
            <w:tcMar>
              <w:top w:type="dxa" w:w="60"/>
              <w:left w:type="dxa" w:w="100"/>
              <w:bottom w:type="dxa" w:w="60"/>
              <w:right w:type="dxa" w:w="100"/>
            </w:tcMar>
          </w:tcPr>
          <w:p>
            <w:r>
              <w:rPr>
                <w:b w:val="false"/>
                <w:bCs w:val="false"/>
                <w:sz w:val="19"/>
                <w:szCs w:val="19"/>
              </w:rPr>
              <w:t xml:space="preserve">5</w:t>
            </w:r>
          </w:p>
        </w:tc>
        <w:tc>
          <w:tcPr>
            <w:tcW w:type="dxa" w:w="2340"/>
            <w:tcMar>
              <w:top w:type="dxa" w:w="60"/>
              <w:left w:type="dxa" w:w="100"/>
              <w:bottom w:type="dxa" w:w="60"/>
              <w:right w:type="dxa" w:w="100"/>
            </w:tcMar>
          </w:tcPr>
          <w:p>
            <w:r>
              <w:rPr>
                <w:b w:val="false"/>
                <w:bCs w:val="false"/>
                <w:sz w:val="19"/>
                <w:szCs w:val="19"/>
              </w:rPr>
              <w:t xml:space="preserve">Storyboard generation</w:t>
            </w:r>
          </w:p>
        </w:tc>
        <w:tc>
          <w:tcPr>
            <w:tcW w:type="dxa" w:w="2340"/>
            <w:tcMar>
              <w:top w:type="dxa" w:w="60"/>
              <w:left w:type="dxa" w:w="100"/>
              <w:bottom w:type="dxa" w:w="60"/>
              <w:right w:type="dxa" w:w="100"/>
            </w:tcMar>
          </w:tcPr>
          <w:p>
            <w:r>
              <w:rPr>
                <w:b w:val="false"/>
                <w:bCs w:val="false"/>
                <w:sz w:val="19"/>
                <w:szCs w:val="19"/>
              </w:rPr>
              <w:t xml:space="preserve">Shot types, camera notes, frame controls</w:t>
            </w:r>
          </w:p>
        </w:tc>
        <w:tc>
          <w:tcPr>
            <w:tcW w:type="dxa" w:w="2340"/>
            <w:tcMar>
              <w:top w:type="dxa" w:w="60"/>
              <w:left w:type="dxa" w:w="100"/>
              <w:bottom w:type="dxa" w:w="60"/>
              <w:right w:type="dxa" w:w="100"/>
            </w:tcMar>
          </w:tcPr>
          <w:p>
            <w:r>
              <w:rPr>
                <w:b w:val="false"/>
                <w:bCs w:val="false"/>
                <w:sz w:val="19"/>
                <w:szCs w:val="19"/>
              </w:rPr>
              <w:t xml:space="preserve">Delivered Month 1</w:t>
            </w:r>
          </w:p>
        </w:tc>
      </w:tr>
      <w:tr>
        <w:trPr>
          <w:tblHeader w:val="false"/>
        </w:trPr>
        <w:tc>
          <w:tcPr>
            <w:tcW w:type="dxa" w:w="2340"/>
            <w:tcMar>
              <w:top w:type="dxa" w:w="60"/>
              <w:left w:type="dxa" w:w="100"/>
              <w:bottom w:type="dxa" w:w="60"/>
              <w:right w:type="dxa" w:w="100"/>
            </w:tcMar>
          </w:tcPr>
          <w:p>
            <w:r>
              <w:rPr>
                <w:b w:val="false"/>
                <w:bCs w:val="false"/>
                <w:sz w:val="19"/>
                <w:szCs w:val="19"/>
              </w:rPr>
              <w:t xml:space="preserve">6</w:t>
            </w:r>
          </w:p>
        </w:tc>
        <w:tc>
          <w:tcPr>
            <w:tcW w:type="dxa" w:w="2340"/>
            <w:tcMar>
              <w:top w:type="dxa" w:w="60"/>
              <w:left w:type="dxa" w:w="100"/>
              <w:bottom w:type="dxa" w:w="60"/>
              <w:right w:type="dxa" w:w="100"/>
            </w:tcMar>
          </w:tcPr>
          <w:p>
            <w:r>
              <w:rPr>
                <w:b w:val="false"/>
                <w:bCs w:val="false"/>
                <w:sz w:val="19"/>
                <w:szCs w:val="19"/>
              </w:rPr>
              <w:t xml:space="preserve">Collaboration and versions</w:t>
            </w:r>
          </w:p>
        </w:tc>
        <w:tc>
          <w:tcPr>
            <w:tcW w:type="dxa" w:w="2340"/>
            <w:tcMar>
              <w:top w:type="dxa" w:w="60"/>
              <w:left w:type="dxa" w:w="100"/>
              <w:bottom w:type="dxa" w:w="60"/>
              <w:right w:type="dxa" w:w="100"/>
            </w:tcMar>
          </w:tcPr>
          <w:p>
            <w:r>
              <w:rPr>
                <w:b w:val="false"/>
                <w:bCs w:val="false"/>
                <w:sz w:val="19"/>
                <w:szCs w:val="19"/>
              </w:rPr>
              <w:t xml:space="preserve">Comment threads, roles, version diff</w:t>
            </w:r>
          </w:p>
        </w:tc>
        <w:tc>
          <w:tcPr>
            <w:tcW w:type="dxa" w:w="2340"/>
            <w:tcMar>
              <w:top w:type="dxa" w:w="60"/>
              <w:left w:type="dxa" w:w="100"/>
              <w:bottom w:type="dxa" w:w="60"/>
              <w:right w:type="dxa" w:w="100"/>
            </w:tcMar>
          </w:tcPr>
          <w:p>
            <w:r>
              <w:rPr>
                <w:b w:val="false"/>
                <w:bCs w:val="false"/>
                <w:sz w:val="19"/>
                <w:szCs w:val="19"/>
              </w:rPr>
              <w:t xml:space="preserve">Delivered Month 1</w:t>
            </w:r>
          </w:p>
        </w:tc>
      </w:tr>
      <w:tr>
        <w:trPr>
          <w:tblHeader w:val="false"/>
        </w:trPr>
        <w:tc>
          <w:tcPr>
            <w:tcW w:type="dxa" w:w="2340"/>
            <w:tcMar>
              <w:top w:type="dxa" w:w="60"/>
              <w:left w:type="dxa" w:w="100"/>
              <w:bottom w:type="dxa" w:w="60"/>
              <w:right w:type="dxa" w:w="100"/>
            </w:tcMar>
          </w:tcPr>
          <w:p>
            <w:r>
              <w:rPr>
                <w:b w:val="false"/>
                <w:bCs w:val="false"/>
                <w:sz w:val="19"/>
                <w:szCs w:val="19"/>
              </w:rPr>
              <w:t xml:space="preserve">7</w:t>
            </w:r>
          </w:p>
        </w:tc>
        <w:tc>
          <w:tcPr>
            <w:tcW w:type="dxa" w:w="2340"/>
            <w:tcMar>
              <w:top w:type="dxa" w:w="60"/>
              <w:left w:type="dxa" w:w="100"/>
              <w:bottom w:type="dxa" w:w="60"/>
              <w:right w:type="dxa" w:w="100"/>
            </w:tcMar>
          </w:tcPr>
          <w:p>
            <w:r>
              <w:rPr>
                <w:b w:val="false"/>
                <w:bCs w:val="false"/>
                <w:sz w:val="19"/>
                <w:szCs w:val="19"/>
              </w:rPr>
              <w:t xml:space="preserve">Export system</w:t>
            </w:r>
          </w:p>
        </w:tc>
        <w:tc>
          <w:tcPr>
            <w:tcW w:type="dxa" w:w="2340"/>
            <w:tcMar>
              <w:top w:type="dxa" w:w="60"/>
              <w:left w:type="dxa" w:w="100"/>
              <w:bottom w:type="dxa" w:w="60"/>
              <w:right w:type="dxa" w:w="100"/>
            </w:tcMar>
          </w:tcPr>
          <w:p>
            <w:r>
              <w:rPr>
                <w:b w:val="false"/>
                <w:bCs w:val="false"/>
                <w:sz w:val="19"/>
                <w:szCs w:val="19"/>
              </w:rPr>
              <w:t xml:space="preserve">PDF, Word, Final Draft </w:t>
            </w:r>
            <w:r>
              <w:rPr>
                <w:rFonts w:ascii="Consolas" w:cs="Consolas" w:eastAsia="Consolas" w:hAnsi="Consolas"/>
                <w:b w:val="false"/>
                <w:bCs w:val="false"/>
                <w:sz w:val="19"/>
                <w:szCs w:val="19"/>
              </w:rPr>
              <w:t xml:space="preserve">.fdx</w:t>
            </w:r>
            <w:r>
              <w:rPr>
                <w:b w:val="false"/>
                <w:bCs w:val="false"/>
                <w:sz w:val="19"/>
                <w:szCs w:val="19"/>
              </w:rPr>
              <w:t xml:space="preserve">, production package</w:t>
            </w:r>
          </w:p>
        </w:tc>
        <w:tc>
          <w:tcPr>
            <w:tcW w:type="dxa" w:w="2340"/>
            <w:tcMar>
              <w:top w:type="dxa" w:w="60"/>
              <w:left w:type="dxa" w:w="100"/>
              <w:bottom w:type="dxa" w:w="60"/>
              <w:right w:type="dxa" w:w="100"/>
            </w:tcMar>
          </w:tcPr>
          <w:p>
            <w:r>
              <w:rPr>
                <w:b w:val="false"/>
                <w:bCs w:val="false"/>
                <w:sz w:val="19"/>
                <w:szCs w:val="19"/>
              </w:rPr>
              <w:t xml:space="preserve">Delivered Month 1</w:t>
            </w:r>
          </w:p>
        </w:tc>
      </w:tr>
      <w:tr>
        <w:trPr>
          <w:tblHeader w:val="false"/>
        </w:trPr>
        <w:tc>
          <w:tcPr>
            <w:tcW w:type="dxa" w:w="2340"/>
            <w:tcMar>
              <w:top w:type="dxa" w:w="60"/>
              <w:left w:type="dxa" w:w="100"/>
              <w:bottom w:type="dxa" w:w="60"/>
              <w:right w:type="dxa" w:w="100"/>
            </w:tcMar>
          </w:tcPr>
          <w:p>
            <w:r>
              <w:rPr>
                <w:b w:val="false"/>
                <w:bCs w:val="false"/>
                <w:sz w:val="19"/>
                <w:szCs w:val="19"/>
              </w:rPr>
              <w:t xml:space="preserve">8</w:t>
            </w:r>
          </w:p>
        </w:tc>
        <w:tc>
          <w:tcPr>
            <w:tcW w:type="dxa" w:w="2340"/>
            <w:tcMar>
              <w:top w:type="dxa" w:w="60"/>
              <w:left w:type="dxa" w:w="100"/>
              <w:bottom w:type="dxa" w:w="60"/>
              <w:right w:type="dxa" w:w="100"/>
            </w:tcMar>
          </w:tcPr>
          <w:p>
            <w:r>
              <w:rPr>
                <w:b w:val="false"/>
                <w:bCs w:val="false"/>
                <w:sz w:val="19"/>
                <w:szCs w:val="19"/>
              </w:rPr>
              <w:t xml:space="preserve">Subscription tiers</w:t>
            </w:r>
          </w:p>
        </w:tc>
        <w:tc>
          <w:tcPr>
            <w:tcW w:type="dxa" w:w="2340"/>
            <w:tcMar>
              <w:top w:type="dxa" w:w="60"/>
              <w:left w:type="dxa" w:w="100"/>
              <w:bottom w:type="dxa" w:w="60"/>
              <w:right w:type="dxa" w:w="100"/>
            </w:tcMar>
          </w:tcPr>
          <w:p>
            <w:r>
              <w:rPr>
                <w:b w:val="false"/>
                <w:bCs w:val="false"/>
                <w:sz w:val="19"/>
                <w:szCs w:val="19"/>
              </w:rPr>
              <w:t xml:space="preserve">Free / Pro / Studio, three gateways, tier gating</w:t>
            </w:r>
          </w:p>
        </w:tc>
        <w:tc>
          <w:tcPr>
            <w:tcW w:type="dxa" w:w="2340"/>
            <w:tcMar>
              <w:top w:type="dxa" w:w="60"/>
              <w:left w:type="dxa" w:w="100"/>
              <w:bottom w:type="dxa" w:w="60"/>
              <w:right w:type="dxa" w:w="100"/>
            </w:tcMar>
          </w:tcPr>
          <w:p>
            <w:r>
              <w:rPr>
                <w:b w:val="false"/>
                <w:bCs w:val="false"/>
                <w:sz w:val="19"/>
                <w:szCs w:val="19"/>
              </w:rPr>
              <w:t xml:space="preserve">Delivered Month 1</w:t>
            </w:r>
          </w:p>
        </w:tc>
      </w:tr>
      <w:tr>
        <w:trPr>
          <w:tblHeader w:val="false"/>
        </w:trPr>
        <w:tc>
          <w:tcPr>
            <w:tcW w:type="dxa" w:w="2340"/>
            <w:tcMar>
              <w:top w:type="dxa" w:w="60"/>
              <w:left w:type="dxa" w:w="100"/>
              <w:bottom w:type="dxa" w:w="60"/>
              <w:right w:type="dxa" w:w="100"/>
            </w:tcMar>
          </w:tcPr>
          <w:p>
            <w:r>
              <w:rPr>
                <w:b w:val="false"/>
                <w:bCs w:val="false"/>
                <w:sz w:val="19"/>
                <w:szCs w:val="19"/>
              </w:rPr>
              <w:t xml:space="preserve">—</w:t>
            </w:r>
          </w:p>
        </w:tc>
        <w:tc>
          <w:tcPr>
            <w:tcW w:type="dxa" w:w="2340"/>
            <w:tcMar>
              <w:top w:type="dxa" w:w="60"/>
              <w:left w:type="dxa" w:w="100"/>
              <w:bottom w:type="dxa" w:w="60"/>
              <w:right w:type="dxa" w:w="100"/>
            </w:tcMar>
          </w:tcPr>
          <w:p>
            <w:r>
              <w:rPr>
                <w:b/>
                <w:bCs/>
                <w:sz w:val="19"/>
                <w:szCs w:val="19"/>
              </w:rPr>
              <w:t xml:space="preserve">Quality and measurement</w:t>
            </w:r>
          </w:p>
        </w:tc>
        <w:tc>
          <w:tcPr>
            <w:tcW w:type="dxa" w:w="2340"/>
            <w:tcMar>
              <w:top w:type="dxa" w:w="60"/>
              <w:left w:type="dxa" w:w="100"/>
              <w:bottom w:type="dxa" w:w="60"/>
              <w:right w:type="dxa" w:w="100"/>
            </w:tcMar>
          </w:tcPr>
          <w:p>
            <w:r>
              <w:rPr>
                <w:b/>
                <w:bCs/>
                <w:sz w:val="19"/>
                <w:szCs w:val="19"/>
              </w:rPr>
              <w:t xml:space="preserve">Tests, retrieval evaluation, first live-key run</w:t>
            </w:r>
          </w:p>
        </w:tc>
        <w:tc>
          <w:tcPr>
            <w:tcW w:type="dxa" w:w="2340"/>
            <w:tcMar>
              <w:top w:type="dxa" w:w="60"/>
              <w:left w:type="dxa" w:w="100"/>
              <w:bottom w:type="dxa" w:w="60"/>
              <w:right w:type="dxa" w:w="100"/>
            </w:tcMar>
          </w:tcPr>
          <w:p>
            <w:r>
              <w:rPr>
                <w:b/>
                <w:bCs/>
                <w:sz w:val="19"/>
                <w:szCs w:val="19"/>
              </w:rPr>
              <w:t xml:space="preserve">Done</w:t>
            </w:r>
          </w:p>
        </w:tc>
      </w:tr>
    </w:tbl>
    <w:p>
      <w:pPr>
        <w:spacing w:after="200"/>
      </w:pPr>
    </w:p>
    <w:p>
      <w:pPr>
        <w:spacing w:after="120" w:line="276"/>
        <w:jc w:val="both"/>
      </w:pPr>
      <w:r>
        <w:rPr>
          <w:sz w:val="22"/>
          <w:szCs w:val="22"/>
        </w:rPr>
        <w:t xml:space="preserve">Each of the four was re-tested rather than rebuilt.</w:t>
      </w:r>
    </w:p>
    <w:p>
      <w:pPr>
        <w:pStyle w:val="Heading2"/>
        <w:spacing w:after="160" w:before="320"/>
      </w:pPr>
      <w:r>
        <w:t xml:space="preserve">Week 5: Tests</w:t>
      </w:r>
    </w:p>
    <w:p>
      <w:pPr>
        <w:spacing w:after="120" w:line="276"/>
        <w:jc w:val="both"/>
      </w:pPr>
      <w:r>
        <w:rPr>
          <w:sz w:val="22"/>
          <w:szCs w:val="22"/>
        </w:rPr>
        <w:t xml:space="preserve">Three parts of the backend had no tests, and they were three of the riskiest. The payment webhook grants a paid subscription and is the only endpoint that does so without a login. </w:t>
      </w:r>
      <w:r>
        <w:rPr>
          <w:rFonts w:ascii="Consolas" w:cs="Consolas" w:eastAsia="Consolas" w:hAnsi="Consolas"/>
          <w:sz w:val="19"/>
          <w:szCs w:val="19"/>
        </w:rPr>
        <w:t xml:space="preserve">updates.py</w:t>
      </w:r>
      <w:r>
        <w:rPr>
          <w:sz w:val="22"/>
          <w:szCs w:val="22"/>
        </w:rPr>
        <w:t xml:space="preserve"> decides which fields a user may change. </w:t>
      </w:r>
      <w:r>
        <w:rPr>
          <w:rFonts w:ascii="Consolas" w:cs="Consolas" w:eastAsia="Consolas" w:hAnsi="Consolas"/>
          <w:sz w:val="19"/>
          <w:szCs w:val="19"/>
        </w:rPr>
        <w:t xml:space="preserve">rag.py</w:t>
      </w:r>
      <w:r>
        <w:rPr>
          <w:sz w:val="22"/>
          <w:szCs w:val="22"/>
        </w:rPr>
        <w:t xml:space="preserve"> returns an empty result when it fails, so a fault there produces no error at all.</w:t>
      </w:r>
    </w:p>
    <w:p>
      <w:pPr>
        <w:spacing w:after="120" w:line="276"/>
        <w:jc w:val="both"/>
      </w:pPr>
      <w:r>
        <w:rPr>
          <w:sz w:val="22"/>
          <w:szCs w:val="22"/>
        </w:rPr>
        <w:t xml:space="preserve">104 backend tests were written, and the 26 frontend components with no tests were covered. The suite now stands at </w:t>
      </w:r>
      <w:r>
        <w:rPr>
          <w:b/>
          <w:bCs/>
          <w:sz w:val="22"/>
          <w:szCs w:val="22"/>
        </w:rPr>
        <w:t xml:space="preserve">765 backend tests in 42 files</w:t>
      </w:r>
      <w:r>
        <w:rPr>
          <w:sz w:val="22"/>
          <w:szCs w:val="22"/>
        </w:rPr>
        <w:t xml:space="preserve"> and </w:t>
      </w:r>
      <w:r>
        <w:rPr>
          <w:b/>
          <w:bCs/>
          <w:sz w:val="22"/>
          <w:szCs w:val="22"/>
        </w:rPr>
        <w:t xml:space="preserve">1,020 frontend tests in 54 files</w:t>
      </w:r>
      <w:r>
        <w:rPr>
          <w:sz w:val="22"/>
          <w:szCs w:val="22"/>
        </w:rPr>
        <w:t xml:space="preserve">.</w:t>
      </w:r>
    </w:p>
    <w:p>
      <w:pPr>
        <w:spacing w:after="120" w:line="276"/>
        <w:jc w:val="both"/>
      </w:pPr>
      <w:r>
        <w:rPr>
          <w:sz w:val="22"/>
          <w:szCs w:val="22"/>
        </w:rPr>
        <w:t xml:space="preserve">Two security faults surfaced. In </w:t>
      </w:r>
      <w:r>
        <w:rPr>
          <w:rFonts w:ascii="Consolas" w:cs="Consolas" w:eastAsia="Consolas" w:hAnsi="Consolas"/>
          <w:sz w:val="19"/>
          <w:szCs w:val="19"/>
        </w:rPr>
        <w:t xml:space="preserve">versions.py</w:t>
      </w:r>
      <w:r>
        <w:rPr>
          <w:sz w:val="22"/>
          <w:szCs w:val="22"/>
        </w:rPr>
        <w:t xml:space="preserve"> the permission check ran after the other error checks, so the difference between responses told a logged-in user whether two script versions existed and belonged to the same script, without access to either. And the command palette hid itself from logged-out visitors but still called the server; the resulting 401 logged them out.</w:t>
      </w:r>
    </w:p>
    <w:p>
      <w:pPr>
        <w:pStyle w:val="Heading2"/>
        <w:spacing w:after="160" w:before="320"/>
      </w:pPr>
      <w:r>
        <w:t xml:space="preserve">Week 6: Running with real API keys</w:t>
      </w:r>
    </w:p>
    <w:p>
      <w:pPr>
        <w:spacing w:after="120" w:line="276"/>
        <w:jc w:val="both"/>
      </w:pPr>
      <w:r>
        <w:rPr>
          <w:sz w:val="22"/>
          <w:szCs w:val="22"/>
        </w:rPr>
        <w:t xml:space="preserve">Two problems appeared the moment demo mode was switched off.</w:t>
      </w:r>
    </w:p>
    <w:p>
      <w:pPr>
        <w:spacing w:after="120" w:line="276"/>
        <w:jc w:val="both"/>
      </w:pPr>
      <w:r>
        <w:rPr>
          <w:sz w:val="22"/>
          <w:szCs w:val="22"/>
        </w:rPr>
        <w:t xml:space="preserve">The test suite began calling the live API. Its configuration forces a mock database and skips payment providers, but nobody had done the same for the AI keys. A suite that finishes in seconds took 26 minutes, because the library retries each failure. The fix is less obvious than it looks: deleting the environment variable does not work, since the loader fills in whatever is missing, so it must be set to an invalid value instead.</w:t>
      </w:r>
    </w:p>
    <w:p>
      <w:pPr>
        <w:spacing w:after="120" w:line="276"/>
        <w:jc w:val="both"/>
      </w:pPr>
      <w:r>
        <w:rPr>
          <w:sz w:val="22"/>
          <w:szCs w:val="22"/>
        </w:rPr>
        <w:t xml:space="preserve">The cost model was wrong by a factor of twelve. A storyboard image had been estimated at $0.040 assuming DALL-E 3; the model actually used costs $0.0033.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val="clear"/>
            <w:tcMar>
              <w:top w:type="dxa" w:w="60"/>
              <w:left w:type="dxa" w:w="100"/>
              <w:bottom w:type="dxa" w:w="60"/>
              <w:right w:type="dxa" w:w="100"/>
            </w:tcMar>
          </w:tcPr>
          <w:p>
            <w:r>
              <w:rPr>
                <w:b/>
                <w:bCs/>
                <w:sz w:val="19"/>
                <w:szCs w:val="19"/>
              </w:rPr>
              <w:t xml:space="preserve">Item</w:t>
            </w:r>
          </w:p>
        </w:tc>
        <w:tc>
          <w:tcPr>
            <w:tcW w:type="dxa" w:w="3120"/>
            <w:shd w:fill="EFEFEF" w:val="clear"/>
            <w:tcMar>
              <w:top w:type="dxa" w:w="60"/>
              <w:left w:type="dxa" w:w="100"/>
              <w:bottom w:type="dxa" w:w="60"/>
              <w:right w:type="dxa" w:w="100"/>
            </w:tcMar>
          </w:tcPr>
          <w:p>
            <w:r>
              <w:rPr>
                <w:b/>
                <w:bCs/>
                <w:sz w:val="19"/>
                <w:szCs w:val="19"/>
              </w:rPr>
              <w:t xml:space="preserve">Estimated</w:t>
            </w:r>
          </w:p>
        </w:tc>
        <w:tc>
          <w:tcPr>
            <w:tcW w:type="dxa" w:w="3120"/>
            <w:shd w:fill="EFEFEF" w:val="clear"/>
            <w:tcMar>
              <w:top w:type="dxa" w:w="60"/>
              <w:left w:type="dxa" w:w="100"/>
              <w:bottom w:type="dxa" w:w="60"/>
              <w:right w:type="dxa" w:w="100"/>
            </w:tcMar>
          </w:tcPr>
          <w:p>
            <w:r>
              <w:rPr>
                <w:b/>
                <w:bCs/>
                <w:sz w:val="19"/>
                <w:szCs w:val="19"/>
              </w:rPr>
              <w:t xml:space="preserve">Measured</w:t>
            </w:r>
          </w:p>
        </w:tc>
      </w:tr>
      <w:tr>
        <w:trPr>
          <w:tblHeader w:val="false"/>
        </w:trPr>
        <w:tc>
          <w:tcPr>
            <w:tcW w:type="dxa" w:w="3120"/>
            <w:tcMar>
              <w:top w:type="dxa" w:w="60"/>
              <w:left w:type="dxa" w:w="100"/>
              <w:bottom w:type="dxa" w:w="60"/>
              <w:right w:type="dxa" w:w="100"/>
            </w:tcMar>
          </w:tcPr>
          <w:p>
            <w:r>
              <w:rPr>
                <w:b w:val="false"/>
                <w:bCs w:val="false"/>
                <w:sz w:val="19"/>
                <w:szCs w:val="19"/>
              </w:rPr>
              <w:t xml:space="preserve">One storyboard frame</w:t>
            </w:r>
          </w:p>
        </w:tc>
        <w:tc>
          <w:tcPr>
            <w:tcW w:type="dxa" w:w="3120"/>
            <w:tcMar>
              <w:top w:type="dxa" w:w="60"/>
              <w:left w:type="dxa" w:w="100"/>
              <w:bottom w:type="dxa" w:w="60"/>
              <w:right w:type="dxa" w:w="100"/>
            </w:tcMar>
          </w:tcPr>
          <w:p>
            <w:r>
              <w:rPr>
                <w:b w:val="false"/>
                <w:bCs w:val="false"/>
                <w:sz w:val="19"/>
                <w:szCs w:val="19"/>
              </w:rPr>
              <w:t xml:space="preserve">$0.040</w:t>
            </w:r>
          </w:p>
        </w:tc>
        <w:tc>
          <w:tcPr>
            <w:tcW w:type="dxa" w:w="3120"/>
            <w:tcMar>
              <w:top w:type="dxa" w:w="60"/>
              <w:left w:type="dxa" w:w="100"/>
              <w:bottom w:type="dxa" w:w="60"/>
              <w:right w:type="dxa" w:w="100"/>
            </w:tcMar>
          </w:tcPr>
          <w:p>
            <w:r>
              <w:rPr>
                <w:b/>
                <w:bCs/>
                <w:sz w:val="19"/>
                <w:szCs w:val="19"/>
              </w:rPr>
              <w:t xml:space="preserve">$0.0033</w:t>
            </w:r>
          </w:p>
        </w:tc>
      </w:tr>
      <w:tr>
        <w:trPr>
          <w:tblHeader w:val="false"/>
        </w:trPr>
        <w:tc>
          <w:tcPr>
            <w:tcW w:type="dxa" w:w="3120"/>
            <w:tcMar>
              <w:top w:type="dxa" w:w="60"/>
              <w:left w:type="dxa" w:w="100"/>
              <w:bottom w:type="dxa" w:w="60"/>
              <w:right w:type="dxa" w:w="100"/>
            </w:tcMar>
          </w:tcPr>
          <w:p>
            <w:r>
              <w:rPr>
                <w:b w:val="false"/>
                <w:bCs w:val="false"/>
                <w:sz w:val="19"/>
                <w:szCs w:val="19"/>
              </w:rPr>
              <w:t xml:space="preserve">24-frame storyboard</w:t>
            </w:r>
          </w:p>
        </w:tc>
        <w:tc>
          <w:tcPr>
            <w:tcW w:type="dxa" w:w="3120"/>
            <w:tcMar>
              <w:top w:type="dxa" w:w="60"/>
              <w:left w:type="dxa" w:w="100"/>
              <w:bottom w:type="dxa" w:w="60"/>
              <w:right w:type="dxa" w:w="100"/>
            </w:tcMar>
          </w:tcPr>
          <w:p>
            <w:r>
              <w:rPr>
                <w:b w:val="false"/>
                <w:bCs w:val="false"/>
                <w:sz w:val="19"/>
                <w:szCs w:val="19"/>
              </w:rPr>
              <w:t xml:space="preserve">$0.96</w:t>
            </w:r>
          </w:p>
        </w:tc>
        <w:tc>
          <w:tcPr>
            <w:tcW w:type="dxa" w:w="3120"/>
            <w:tcMar>
              <w:top w:type="dxa" w:w="60"/>
              <w:left w:type="dxa" w:w="100"/>
              <w:bottom w:type="dxa" w:w="60"/>
              <w:right w:type="dxa" w:w="100"/>
            </w:tcMar>
          </w:tcPr>
          <w:p>
            <w:r>
              <w:rPr>
                <w:b/>
                <w:bCs/>
                <w:sz w:val="19"/>
                <w:szCs w:val="19"/>
              </w:rPr>
              <w:t xml:space="preserve">$0.08</w:t>
            </w:r>
          </w:p>
        </w:tc>
      </w:tr>
      <w:tr>
        <w:trPr>
          <w:tblHeader w:val="false"/>
        </w:trPr>
        <w:tc>
          <w:tcPr>
            <w:tcW w:type="dxa" w:w="3120"/>
            <w:tcMar>
              <w:top w:type="dxa" w:w="60"/>
              <w:left w:type="dxa" w:w="100"/>
              <w:bottom w:type="dxa" w:w="60"/>
              <w:right w:type="dxa" w:w="100"/>
            </w:tcMar>
          </w:tcPr>
          <w:p>
            <w:r>
              <w:rPr>
                <w:b w:val="false"/>
                <w:bCs w:val="false"/>
                <w:sz w:val="19"/>
                <w:szCs w:val="19"/>
              </w:rPr>
              <w:t xml:space="preserve">One script with a storyboard</w:t>
            </w:r>
          </w:p>
        </w:tc>
        <w:tc>
          <w:tcPr>
            <w:tcW w:type="dxa" w:w="3120"/>
            <w:tcMar>
              <w:top w:type="dxa" w:w="60"/>
              <w:left w:type="dxa" w:w="100"/>
              <w:bottom w:type="dxa" w:w="60"/>
              <w:right w:type="dxa" w:w="100"/>
            </w:tcMar>
          </w:tcPr>
          <w:p>
            <w:r>
              <w:rPr>
                <w:b w:val="false"/>
                <w:bCs w:val="false"/>
                <w:sz w:val="19"/>
                <w:szCs w:val="19"/>
              </w:rPr>
              <w:t xml:space="preserve">$1.32</w:t>
            </w:r>
          </w:p>
        </w:tc>
        <w:tc>
          <w:tcPr>
            <w:tcW w:type="dxa" w:w="3120"/>
            <w:tcMar>
              <w:top w:type="dxa" w:w="60"/>
              <w:left w:type="dxa" w:w="100"/>
              <w:bottom w:type="dxa" w:w="60"/>
              <w:right w:type="dxa" w:w="100"/>
            </w:tcMar>
          </w:tcPr>
          <w:p>
            <w:r>
              <w:rPr>
                <w:b/>
                <w:bCs/>
                <w:sz w:val="19"/>
                <w:szCs w:val="19"/>
              </w:rPr>
              <w:t xml:space="preserve">~$0.44</w:t>
            </w:r>
          </w:p>
        </w:tc>
      </w:tr>
    </w:tbl>
    <w:p>
      <w:pPr>
        <w:spacing w:after="200"/>
      </w:pPr>
    </w:p>
    <w:p>
      <w:pPr>
        <w:spacing w:after="120" w:line="276"/>
        <w:jc w:val="both"/>
      </w:pPr>
      <w:r>
        <w:rPr>
          <w:sz w:val="22"/>
          <w:szCs w:val="22"/>
        </w:rPr>
        <w:t xml:space="preserve">Images are roughly 18% of what a script costs to produce and text generation 82%, so shortening generated text saves far more than capping the number of frames.</w:t>
      </w:r>
    </w:p>
    <w:p>
      <w:pPr>
        <w:pStyle w:val="Heading2"/>
        <w:spacing w:after="160" w:before="320"/>
      </w:pPr>
      <w:r>
        <w:t xml:space="preserve">Week 7: Measuring retrieval quality</w:t>
      </w:r>
    </w:p>
    <w:p>
      <w:pPr>
        <w:spacing w:after="120" w:line="276"/>
        <w:jc w:val="both"/>
      </w:pPr>
      <w:r>
        <w:rPr>
          <w:sz w:val="22"/>
          <w:szCs w:val="22"/>
        </w:rPr>
        <w:t xml:space="preserve">Retrieval is the feature the product is built around, and nobody had measured it. A test set of 34 cases was assembled from the craft library and scored on precision@1 (whether the right answer came first), precision@3, and mean reciprocal rank.</w:t>
      </w:r>
    </w:p>
    <w:p>
      <w:pPr>
        <w:spacing w:after="120" w:line="276"/>
        <w:jc w:val="both"/>
      </w:pPr>
      <w:r>
        <w:rPr>
          <w:sz w:val="22"/>
          <w:szCs w:val="22"/>
        </w:rPr>
        <w:t xml:space="preserve">The first run reported 82.4%, which was encouraging and wrong:</w:t>
      </w:r>
    </w:p>
    <w:p>
      <w:pPr>
        <w:shd w:fill="F4F4F4" w:val="clear"/>
        <w:spacing w:after="0"/>
      </w:pPr>
      <w:r>
        <w:rPr>
          <w:rFonts w:ascii="Consolas" w:cs="Consolas" w:eastAsia="Consolas" w:hAnsi="Consolas"/>
          <w:sz w:val="18"/>
          <w:szCs w:val="18"/>
        </w:rPr>
        <w:t xml:space="preserve">REAL QUERIES (what the editor actually sends, n=5)</w:t>
      </w:r>
    </w:p>
    <w:p>
      <w:pPr>
        <w:shd w:fill="F4F4F4" w:val="clear"/>
        <w:spacing w:after="0"/>
      </w:pPr>
      <w:r>
        <w:rPr>
          <w:rFonts w:ascii="Consolas" w:cs="Consolas" w:eastAsia="Consolas" w:hAnsi="Consolas"/>
          <w:sz w:val="18"/>
          <w:szCs w:val="18"/>
        </w:rPr>
        <w:t xml:space="preserve">  precision@1  20.0%     precision@3  60.0%</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SANITY CHECK (an entry finds itself, n=29)</w:t>
      </w:r>
    </w:p>
    <w:p>
      <w:pPr>
        <w:shd w:fill="F4F4F4" w:val="clear"/>
        <w:spacing w:after="0"/>
      </w:pPr>
      <w:r>
        <w:rPr>
          <w:rFonts w:ascii="Consolas" w:cs="Consolas" w:eastAsia="Consolas" w:hAnsi="Consolas"/>
          <w:sz w:val="18"/>
          <w:szCs w:val="18"/>
        </w:rPr>
        <w:t xml:space="preserve">  precision@1  93.1%     &lt;- should stay near 100%</w:t>
      </w:r>
    </w:p>
    <w:p>
      <w:pPr>
        <w:spacing w:after="200"/>
      </w:pPr>
    </w:p>
    <w:p>
      <w:pPr>
        <w:spacing w:after="120" w:line="276"/>
        <w:jc w:val="both"/>
      </w:pPr>
      <w:r>
        <w:rPr>
          <w:sz w:val="22"/>
          <w:szCs w:val="22"/>
        </w:rPr>
        <w:t xml:space="preserve">Twenty-nine cases search using text that was itself used to build the index, so a correct answer is close to guaranteed. Only five resemble what the application really sends, and averaged together the easy majority hid the figure that mattered.</w:t>
      </w:r>
    </w:p>
    <w:p>
      <w:pPr>
        <w:spacing w:after="120" w:line="276"/>
        <w:jc w:val="both"/>
      </w:pPr>
      <w:r>
        <w:rPr>
          <w:sz w:val="22"/>
          <w:szCs w:val="22"/>
        </w:rPr>
        <w:t xml:space="preserve">The groups are reported separately now and </w:t>
      </w:r>
      <w:r>
        <w:rPr>
          <w:b/>
          <w:bCs/>
          <w:sz w:val="22"/>
          <w:szCs w:val="22"/>
        </w:rPr>
        <w:t xml:space="preserve">the baseline is 20% precision@1</w:t>
      </w:r>
      <w:r>
        <w:rPr>
          <w:sz w:val="22"/>
          <w:szCs w:val="22"/>
        </w:rPr>
        <w:t xml:space="preserve">. It matches what the corpus loader had been showing all along: four built-in checks all reporting success, three of them ranking the wrong answer first.</w:t>
      </w:r>
    </w:p>
    <w:p>
      <w:pPr>
        <w:pStyle w:val="Heading2"/>
        <w:spacing w:after="160" w:before="320"/>
      </w:pPr>
      <w:r>
        <w:t xml:space="preserve">Week 8: Streaming and character analysis</w:t>
      </w:r>
    </w:p>
    <w:p>
      <w:pPr>
        <w:spacing w:after="120" w:line="276"/>
        <w:jc w:val="both"/>
      </w:pPr>
      <w:r>
        <w:rPr>
          <w:sz w:val="22"/>
          <w:szCs w:val="22"/>
        </w:rPr>
        <w:t xml:space="preserve">AI requests used to wait for the whole response before showing anything. Scene generation and rewriting now stream as the text arrives, with errors sent inside the stream, since once a response has started there is no status code left to report a failure with.</w:t>
      </w:r>
    </w:p>
    <w:p>
      <w:pPr>
        <w:spacing w:after="120" w:line="276"/>
        <w:jc w:val="both"/>
      </w:pPr>
      <w:r>
        <w:rPr>
          <w:sz w:val="22"/>
          <w:szCs w:val="22"/>
        </w:rPr>
        <w:t xml:space="preserve">A view called Cast was added. Existing tools examine formatting, shape or scene order, and none help with a problem writers hit constantly: two characters who sound the same. Cast gathers each character's dialogue and reports line length, how much of their wording repeats, and how often they ask a question rather than make a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val="clear"/>
            <w:tcMar>
              <w:top w:type="dxa" w:w="60"/>
              <w:left w:type="dxa" w:w="100"/>
              <w:bottom w:type="dxa" w:w="60"/>
              <w:right w:type="dxa" w:w="100"/>
            </w:tcMar>
          </w:tcPr>
          <w:p>
            <w:r>
              <w:rPr>
                <w:b/>
                <w:bCs/>
                <w:sz w:val="19"/>
                <w:szCs w:val="19"/>
              </w:rPr>
              <w:t xml:space="preserve">Character</w:t>
            </w:r>
          </w:p>
        </w:tc>
        <w:tc>
          <w:tcPr>
            <w:tcW w:type="dxa" w:w="1872"/>
            <w:shd w:fill="EFEFEF" w:val="clear"/>
            <w:tcMar>
              <w:top w:type="dxa" w:w="60"/>
              <w:left w:type="dxa" w:w="100"/>
              <w:bottom w:type="dxa" w:w="60"/>
              <w:right w:type="dxa" w:w="100"/>
            </w:tcMar>
          </w:tcPr>
          <w:p>
            <w:r>
              <w:rPr>
                <w:b/>
                <w:bCs/>
                <w:sz w:val="19"/>
                <w:szCs w:val="19"/>
              </w:rPr>
              <w:t xml:space="preserve">Lines</w:t>
            </w:r>
          </w:p>
        </w:tc>
        <w:tc>
          <w:tcPr>
            <w:tcW w:type="dxa" w:w="1872"/>
            <w:shd w:fill="EFEFEF" w:val="clear"/>
            <w:tcMar>
              <w:top w:type="dxa" w:w="60"/>
              <w:left w:type="dxa" w:w="100"/>
              <w:bottom w:type="dxa" w:w="60"/>
              <w:right w:type="dxa" w:w="100"/>
            </w:tcMar>
          </w:tcPr>
          <w:p>
            <w:r>
              <w:rPr>
                <w:b/>
                <w:bCs/>
                <w:sz w:val="19"/>
                <w:szCs w:val="19"/>
              </w:rPr>
              <w:t xml:space="preserve">Words per line</w:t>
            </w:r>
          </w:p>
        </w:tc>
        <w:tc>
          <w:tcPr>
            <w:tcW w:type="dxa" w:w="1872"/>
            <w:shd w:fill="EFEFEF" w:val="clear"/>
            <w:tcMar>
              <w:top w:type="dxa" w:w="60"/>
              <w:left w:type="dxa" w:w="100"/>
              <w:bottom w:type="dxa" w:w="60"/>
              <w:right w:type="dxa" w:w="100"/>
            </w:tcMar>
          </w:tcPr>
          <w:p>
            <w:r>
              <w:rPr>
                <w:b/>
                <w:bCs/>
                <w:sz w:val="19"/>
                <w:szCs w:val="19"/>
              </w:rPr>
              <w:t xml:space="preserve">Vocabulary</w:t>
            </w:r>
          </w:p>
        </w:tc>
        <w:tc>
          <w:tcPr>
            <w:tcW w:type="dxa" w:w="1872"/>
            <w:shd w:fill="EFEFEF" w:val="clear"/>
            <w:tcMar>
              <w:top w:type="dxa" w:w="60"/>
              <w:left w:type="dxa" w:w="100"/>
              <w:bottom w:type="dxa" w:w="60"/>
              <w:right w:type="dxa" w:w="100"/>
            </w:tcMar>
          </w:tcPr>
          <w:p>
            <w:r>
              <w:rPr>
                <w:b/>
                <w:bCs/>
                <w:sz w:val="19"/>
                <w:szCs w:val="19"/>
              </w:rPr>
              <w:t xml:space="preserve">Asks</w:t>
            </w:r>
          </w:p>
        </w:tc>
      </w:tr>
      <w:tr>
        <w:trPr>
          <w:tblHeader w:val="false"/>
        </w:trPr>
        <w:tc>
          <w:tcPr>
            <w:tcW w:type="dxa" w:w="1872"/>
            <w:tcMar>
              <w:top w:type="dxa" w:w="60"/>
              <w:left w:type="dxa" w:w="100"/>
              <w:bottom w:type="dxa" w:w="60"/>
              <w:right w:type="dxa" w:w="100"/>
            </w:tcMar>
          </w:tcPr>
          <w:p>
            <w:r>
              <w:rPr>
                <w:b w:val="false"/>
                <w:bCs w:val="false"/>
                <w:sz w:val="19"/>
                <w:szCs w:val="19"/>
              </w:rPr>
              <w:t xml:space="preserve">AARATI</w:t>
            </w:r>
          </w:p>
        </w:tc>
        <w:tc>
          <w:tcPr>
            <w:tcW w:type="dxa" w:w="1872"/>
            <w:tcMar>
              <w:top w:type="dxa" w:w="60"/>
              <w:left w:type="dxa" w:w="100"/>
              <w:bottom w:type="dxa" w:w="60"/>
              <w:right w:type="dxa" w:w="100"/>
            </w:tcMar>
          </w:tcPr>
          <w:p>
            <w:r>
              <w:rPr>
                <w:b w:val="false"/>
                <w:bCs w:val="false"/>
                <w:sz w:val="19"/>
                <w:szCs w:val="19"/>
              </w:rPr>
              <w:t xml:space="preserve">30</w:t>
            </w:r>
          </w:p>
        </w:tc>
        <w:tc>
          <w:tcPr>
            <w:tcW w:type="dxa" w:w="1872"/>
            <w:tcMar>
              <w:top w:type="dxa" w:w="60"/>
              <w:left w:type="dxa" w:w="100"/>
              <w:bottom w:type="dxa" w:w="60"/>
              <w:right w:type="dxa" w:w="100"/>
            </w:tcMar>
          </w:tcPr>
          <w:p>
            <w:r>
              <w:rPr>
                <w:b w:val="false"/>
                <w:bCs w:val="false"/>
                <w:sz w:val="19"/>
                <w:szCs w:val="19"/>
              </w:rPr>
              <w:t xml:space="preserve">4.1</w:t>
            </w:r>
          </w:p>
        </w:tc>
        <w:tc>
          <w:tcPr>
            <w:tcW w:type="dxa" w:w="1872"/>
            <w:tcMar>
              <w:top w:type="dxa" w:w="60"/>
              <w:left w:type="dxa" w:w="100"/>
              <w:bottom w:type="dxa" w:w="60"/>
              <w:right w:type="dxa" w:w="100"/>
            </w:tcMar>
          </w:tcPr>
          <w:p>
            <w:r>
              <w:rPr>
                <w:b w:val="false"/>
                <w:bCs w:val="false"/>
                <w:sz w:val="19"/>
                <w:szCs w:val="19"/>
              </w:rPr>
              <w:t xml:space="preserve">0.65</w:t>
            </w:r>
          </w:p>
        </w:tc>
        <w:tc>
          <w:tcPr>
            <w:tcW w:type="dxa" w:w="1872"/>
            <w:tcMar>
              <w:top w:type="dxa" w:w="60"/>
              <w:left w:type="dxa" w:w="100"/>
              <w:bottom w:type="dxa" w:w="60"/>
              <w:right w:type="dxa" w:w="100"/>
            </w:tcMar>
          </w:tcPr>
          <w:p>
            <w:r>
              <w:rPr>
                <w:b w:val="false"/>
                <w:bCs w:val="false"/>
                <w:sz w:val="19"/>
                <w:szCs w:val="19"/>
              </w:rPr>
              <w:t xml:space="preserve">0.17</w:t>
            </w:r>
          </w:p>
        </w:tc>
      </w:tr>
      <w:tr>
        <w:trPr>
          <w:tblHeader w:val="false"/>
        </w:trPr>
        <w:tc>
          <w:tcPr>
            <w:tcW w:type="dxa" w:w="1872"/>
            <w:tcMar>
              <w:top w:type="dxa" w:w="60"/>
              <w:left w:type="dxa" w:w="100"/>
              <w:bottom w:type="dxa" w:w="60"/>
              <w:right w:type="dxa" w:w="100"/>
            </w:tcMar>
          </w:tcPr>
          <w:p>
            <w:r>
              <w:rPr>
                <w:b w:val="false"/>
                <w:bCs w:val="false"/>
                <w:sz w:val="19"/>
                <w:szCs w:val="19"/>
              </w:rPr>
              <w:t xml:space="preserve">KANCHHA</w:t>
            </w:r>
          </w:p>
        </w:tc>
        <w:tc>
          <w:tcPr>
            <w:tcW w:type="dxa" w:w="1872"/>
            <w:tcMar>
              <w:top w:type="dxa" w:w="60"/>
              <w:left w:type="dxa" w:w="100"/>
              <w:bottom w:type="dxa" w:w="60"/>
              <w:right w:type="dxa" w:w="100"/>
            </w:tcMar>
          </w:tcPr>
          <w:p>
            <w:r>
              <w:rPr>
                <w:b w:val="false"/>
                <w:bCs w:val="false"/>
                <w:sz w:val="19"/>
                <w:szCs w:val="19"/>
              </w:rPr>
              <w:t xml:space="preserve">15</w:t>
            </w:r>
          </w:p>
        </w:tc>
        <w:tc>
          <w:tcPr>
            <w:tcW w:type="dxa" w:w="1872"/>
            <w:tcMar>
              <w:top w:type="dxa" w:w="60"/>
              <w:left w:type="dxa" w:w="100"/>
              <w:bottom w:type="dxa" w:w="60"/>
              <w:right w:type="dxa" w:w="100"/>
            </w:tcMar>
          </w:tcPr>
          <w:p>
            <w:r>
              <w:rPr>
                <w:b w:val="false"/>
                <w:bCs w:val="false"/>
                <w:sz w:val="19"/>
                <w:szCs w:val="19"/>
              </w:rPr>
              <w:t xml:space="preserve">4.7</w:t>
            </w:r>
          </w:p>
        </w:tc>
        <w:tc>
          <w:tcPr>
            <w:tcW w:type="dxa" w:w="1872"/>
            <w:tcMar>
              <w:top w:type="dxa" w:w="60"/>
              <w:left w:type="dxa" w:w="100"/>
              <w:bottom w:type="dxa" w:w="60"/>
              <w:right w:type="dxa" w:w="100"/>
            </w:tcMar>
          </w:tcPr>
          <w:p>
            <w:r>
              <w:rPr>
                <w:b w:val="false"/>
                <w:bCs w:val="false"/>
                <w:sz w:val="19"/>
                <w:szCs w:val="19"/>
              </w:rPr>
              <w:t xml:space="preserve">0.77</w:t>
            </w:r>
          </w:p>
        </w:tc>
        <w:tc>
          <w:tcPr>
            <w:tcW w:type="dxa" w:w="1872"/>
            <w:tcMar>
              <w:top w:type="dxa" w:w="60"/>
              <w:left w:type="dxa" w:w="100"/>
              <w:bottom w:type="dxa" w:w="60"/>
              <w:right w:type="dxa" w:w="100"/>
            </w:tcMar>
          </w:tcPr>
          <w:p>
            <w:r>
              <w:rPr>
                <w:b/>
                <w:bCs/>
                <w:sz w:val="19"/>
                <w:szCs w:val="19"/>
              </w:rPr>
              <w:t xml:space="preserve">0.40</w:t>
            </w:r>
          </w:p>
        </w:tc>
      </w:tr>
      <w:tr>
        <w:trPr>
          <w:tblHeader w:val="false"/>
        </w:trPr>
        <w:tc>
          <w:tcPr>
            <w:tcW w:type="dxa" w:w="1872"/>
            <w:tcMar>
              <w:top w:type="dxa" w:w="60"/>
              <w:left w:type="dxa" w:w="100"/>
              <w:bottom w:type="dxa" w:w="60"/>
              <w:right w:type="dxa" w:w="100"/>
            </w:tcMar>
          </w:tcPr>
          <w:p>
            <w:r>
              <w:rPr>
                <w:b w:val="false"/>
                <w:bCs w:val="false"/>
                <w:sz w:val="19"/>
                <w:szCs w:val="19"/>
              </w:rPr>
              <w:t xml:space="preserve">BABA</w:t>
            </w:r>
          </w:p>
        </w:tc>
        <w:tc>
          <w:tcPr>
            <w:tcW w:type="dxa" w:w="1872"/>
            <w:tcMar>
              <w:top w:type="dxa" w:w="60"/>
              <w:left w:type="dxa" w:w="100"/>
              <w:bottom w:type="dxa" w:w="60"/>
              <w:right w:type="dxa" w:w="100"/>
            </w:tcMar>
          </w:tcPr>
          <w:p>
            <w:r>
              <w:rPr>
                <w:b w:val="false"/>
                <w:bCs w:val="false"/>
                <w:sz w:val="19"/>
                <w:szCs w:val="19"/>
              </w:rPr>
              <w:t xml:space="preserve">15</w:t>
            </w:r>
          </w:p>
        </w:tc>
        <w:tc>
          <w:tcPr>
            <w:tcW w:type="dxa" w:w="1872"/>
            <w:tcMar>
              <w:top w:type="dxa" w:w="60"/>
              <w:left w:type="dxa" w:w="100"/>
              <w:bottom w:type="dxa" w:w="60"/>
              <w:right w:type="dxa" w:w="100"/>
            </w:tcMar>
          </w:tcPr>
          <w:p>
            <w:r>
              <w:rPr>
                <w:b w:val="false"/>
                <w:bCs w:val="false"/>
                <w:sz w:val="19"/>
                <w:szCs w:val="19"/>
              </w:rPr>
              <w:t xml:space="preserve">6.3</w:t>
            </w:r>
          </w:p>
        </w:tc>
        <w:tc>
          <w:tcPr>
            <w:tcW w:type="dxa" w:w="1872"/>
            <w:tcMar>
              <w:top w:type="dxa" w:w="60"/>
              <w:left w:type="dxa" w:w="100"/>
              <w:bottom w:type="dxa" w:w="60"/>
              <w:right w:type="dxa" w:w="100"/>
            </w:tcMar>
          </w:tcPr>
          <w:p>
            <w:r>
              <w:rPr>
                <w:b w:val="false"/>
                <w:bCs w:val="false"/>
                <w:sz w:val="19"/>
                <w:szCs w:val="19"/>
              </w:rPr>
              <w:t xml:space="preserve">0.76</w:t>
            </w:r>
          </w:p>
        </w:tc>
        <w:tc>
          <w:tcPr>
            <w:tcW w:type="dxa" w:w="1872"/>
            <w:tcMar>
              <w:top w:type="dxa" w:w="60"/>
              <w:left w:type="dxa" w:w="100"/>
              <w:bottom w:type="dxa" w:w="60"/>
              <w:right w:type="dxa" w:w="100"/>
            </w:tcMar>
          </w:tcPr>
          <w:p>
            <w:r>
              <w:rPr>
                <w:b/>
                <w:bCs/>
                <w:sz w:val="19"/>
                <w:szCs w:val="19"/>
              </w:rPr>
              <w:t xml:space="preserve">0.00</w:t>
            </w:r>
          </w:p>
        </w:tc>
      </w:tr>
    </w:tbl>
    <w:p>
      <w:pPr>
        <w:spacing w:after="200"/>
      </w:pPr>
    </w:p>
    <w:p>
      <w:pPr>
        <w:spacing w:after="120" w:line="276"/>
        <w:jc w:val="both"/>
      </w:pPr>
      <w:r>
        <w:rPr>
          <w:sz w:val="22"/>
          <w:szCs w:val="22"/>
        </w:rPr>
        <w:t xml:space="preserve">Kanchha asks a question in 40% of his lines; Baba never asks one. The difference shows as a number before it shows on the page. The view also displays the character description entered at project setup, which had only ever been used inside AI prompts.</w:t>
      </w:r>
    </w:p>
    <w:p>
      <w:pPr>
        <w:spacing w:after="80" w:before="24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spacing w:after="300"/>
        <w:jc w:val="center"/>
      </w:pPr>
      <w:r>
        <w:rPr>
          <w:b/>
          <w:bCs/>
          <w:sz w:val="19"/>
          <w:szCs w:val="19"/>
        </w:rPr>
        <w:t xml:space="preserve">Figure 1. </w:t>
      </w:r>
      <w:r>
        <w:rPr>
          <w:i/>
          <w:iCs/>
          <w:sz w:val="19"/>
          <w:szCs w:val="19"/>
        </w:rPr>
        <w:t xml:space="preserve">Cast with one character opened. Each line carries its number in the script and clicking it moves the cursor there.</w:t>
      </w:r>
    </w:p>
    <w:p>
      <w:pPr>
        <w:pStyle w:val="Heading1"/>
        <w:spacing w:after="160" w:before="320"/>
      </w:pPr>
      <w:r>
        <w:t xml:space="preserve">2. Work beyond Month 2 scope</w:t>
      </w:r>
    </w:p>
    <w:p>
      <w:pPr>
        <w:pStyle w:val="Heading2"/>
        <w:spacing w:after="160" w:before="320"/>
      </w:pPr>
      <w:r>
        <w:t xml:space="preserve">2.1 Faults found by writing a real screenplay</w:t>
      </w:r>
    </w:p>
    <w:p>
      <w:pPr>
        <w:spacing w:after="120" w:line="276"/>
        <w:jc w:val="both"/>
      </w:pPr>
      <w:r>
        <w:rPr>
          <w:sz w:val="22"/>
          <w:szCs w:val="22"/>
        </w:rPr>
        <w:t xml:space="preserve">A complete short film was written inside the system and put through its own tools. Five faults came out that no test fixture had caught.</w:t>
      </w:r>
    </w:p>
    <w:p>
      <w:pPr>
        <w:spacing w:after="90" w:line="300"/>
        <w:ind w:left="520" w:hanging="260"/>
      </w:pPr>
      <w:r>
        <w:rPr>
          <w:sz w:val="22"/>
          <w:szCs w:val="22"/>
        </w:rPr>
        <w:t xml:space="preserve">1.  </w:t>
      </w:r>
      <w:r>
        <w:rPr>
          <w:rFonts w:ascii="Consolas" w:cs="Consolas" w:eastAsia="Consolas" w:hAnsi="Consolas"/>
          <w:sz w:val="19"/>
          <w:szCs w:val="19"/>
        </w:rPr>
        <w:t xml:space="preserve">FADE IN:</w:t>
      </w:r>
      <w:r>
        <w:rPr>
          <w:sz w:val="22"/>
          <w:szCs w:val="22"/>
        </w:rPr>
        <w:t xml:space="preserve"> was counted as a scene, so a 16-scene script reported 17. The error carried into page statistics and the corpus figures shown to writers.</w:t>
      </w:r>
    </w:p>
    <w:p>
      <w:pPr>
        <w:spacing w:after="90" w:line="300"/>
        <w:ind w:left="520" w:hanging="260"/>
      </w:pPr>
      <w:r>
        <w:rPr>
          <w:sz w:val="22"/>
          <w:szCs w:val="22"/>
        </w:rPr>
        <w:t xml:space="preserve">2.  </w:t>
      </w:r>
      <w:r>
        <w:rPr>
          <w:sz w:val="22"/>
          <w:szCs w:val="22"/>
        </w:rPr>
        <w:t xml:space="preserve">The craft panel analysed the wrong text: choosing a problem category made it examine the category description rather than the script, then report the result as found in the draft.</w:t>
      </w:r>
    </w:p>
    <w:p>
      <w:pPr>
        <w:spacing w:after="90" w:line="300"/>
        <w:ind w:left="520" w:hanging="260"/>
      </w:pPr>
      <w:r>
        <w:rPr>
          <w:sz w:val="22"/>
          <w:szCs w:val="22"/>
        </w:rPr>
        <w:t xml:space="preserve">3.  </w:t>
      </w:r>
      <w:r>
        <w:rPr>
          <w:sz w:val="22"/>
          <w:szCs w:val="22"/>
        </w:rPr>
        <w:t xml:space="preserve">Renaming a scene had no effect on the scene list, so the timeline kept showing a heading no longer in the script.</w:t>
      </w:r>
    </w:p>
    <w:p>
      <w:pPr>
        <w:spacing w:after="90" w:line="300"/>
        <w:ind w:left="520" w:hanging="260"/>
      </w:pPr>
      <w:r>
        <w:rPr>
          <w:sz w:val="22"/>
          <w:szCs w:val="22"/>
        </w:rPr>
        <w:t xml:space="preserve">4.  </w:t>
      </w:r>
      <w:r>
        <w:rPr>
          <w:sz w:val="22"/>
          <w:szCs w:val="22"/>
        </w:rPr>
        <w:t xml:space="preserve">Focus mode drew a 723-pixel page on a 1,274-pixel screen.</w:t>
      </w:r>
    </w:p>
    <w:p>
      <w:pPr>
        <w:spacing w:after="90" w:line="300"/>
        <w:ind w:left="520" w:hanging="260"/>
      </w:pPr>
      <w:r>
        <w:rPr>
          <w:sz w:val="22"/>
          <w:szCs w:val="22"/>
        </w:rPr>
        <w:t xml:space="preserve">5.  </w:t>
      </w:r>
      <w:r>
        <w:rPr>
          <w:sz w:val="22"/>
          <w:szCs w:val="22"/>
        </w:rPr>
        <w:t xml:space="preserve">The editor URL was labelled as carrying a project identifier but carried a script one.</w:t>
      </w:r>
    </w:p>
    <w:p>
      <w:pPr>
        <w:spacing w:after="100"/>
      </w:pPr>
    </w:p>
    <w:p>
      <w:pPr>
        <w:pStyle w:val="Heading2"/>
        <w:spacing w:after="160" w:before="320"/>
      </w:pPr>
      <w:r>
        <w:t xml:space="preserve">2.2 Interface changes</w:t>
      </w:r>
    </w:p>
    <w:p>
      <w:pPr>
        <w:spacing w:after="120" w:line="276"/>
        <w:jc w:val="both"/>
      </w:pPr>
      <w:r>
        <w:rPr>
          <w:sz w:val="22"/>
          <w:szCs w:val="22"/>
        </w:rPr>
        <w:t xml:space="preserve">The four views moved into the left panel, so the script stays visible while reorganising. Page height now matches the pagination rule and screenplay margins were applied. Scene headings can be renamed on the timeline and act durations edited. Typewriter scrolling and custom cursors were added, and Word </w:t>
      </w:r>
      <w:r>
        <w:rPr>
          <w:rFonts w:ascii="Consolas" w:cs="Consolas" w:eastAsia="Consolas" w:hAnsi="Consolas"/>
          <w:sz w:val="19"/>
          <w:szCs w:val="19"/>
        </w:rPr>
        <w:t xml:space="preserve">.docx</w:t>
      </w:r>
      <w:r>
        <w:rPr>
          <w:sz w:val="22"/>
          <w:szCs w:val="22"/>
        </w:rPr>
        <w:t xml:space="preserve"> import now sits alongside Final Draft, Fountain, text and PDF.</w:t>
      </w:r>
    </w:p>
    <w:p>
      <w:pPr>
        <w:spacing w:after="80" w:before="24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81250"/>
                    </a:xfrm>
                    <a:prstGeom prst="rect">
                      <a:avLst/>
                    </a:prstGeom>
                  </pic:spPr>
                </pic:pic>
              </a:graphicData>
            </a:graphic>
          </wp:inline>
        </w:drawing>
      </w:r>
    </w:p>
    <w:p>
      <w:pPr>
        <w:spacing w:after="300"/>
        <w:jc w:val="center"/>
      </w:pPr>
      <w:r>
        <w:rPr>
          <w:b/>
          <w:bCs/>
          <w:sz w:val="19"/>
          <w:szCs w:val="19"/>
        </w:rPr>
        <w:t xml:space="preserve">Figure 2. </w:t>
      </w:r>
      <w:r>
        <w:rPr>
          <w:i/>
          <w:iCs/>
          <w:sz w:val="19"/>
          <w:szCs w:val="19"/>
        </w:rPr>
        <w:t xml:space="preserve">The workspace at the end of Month 2, with the four views and scene cards on the left, the page in the middle and the assistant panel on the right.</w:t>
      </w:r>
    </w:p>
    <w:p>
      <w:pPr>
        <w:pStyle w:val="Heading2"/>
        <w:spacing w:after="160" w:before="320"/>
      </w:pPr>
      <w:r>
        <w:t xml:space="preserve">2.3 Documentation and decisions</w:t>
      </w:r>
    </w:p>
    <w:p>
      <w:pPr>
        <w:spacing w:after="120" w:line="276"/>
        <w:jc w:val="both"/>
      </w:pPr>
      <w:r>
        <w:rPr>
          <w:sz w:val="22"/>
          <w:szCs w:val="22"/>
        </w:rPr>
        <w:t xml:space="preserve">Three open questions were settled: real-time collaborative editing was dropped from scope, leaving sharing, roles and comments; the encryption claim was rewritten to describe what the system does; and the tiers were fixed as free, pro and studio. The deployment guide, which described three migrations when there are four, was corrected.</w:t>
      </w:r>
    </w:p>
    <w:p>
      <w:pPr>
        <w:pStyle w:val="Heading1"/>
        <w:spacing w:after="160" w:before="320"/>
      </w:pPr>
      <w:r>
        <w:t xml:space="preserve">3. Verification status</w:t>
      </w:r>
    </w:p>
    <w:p>
      <w:pPr>
        <w:spacing w:after="120" w:line="276"/>
        <w:jc w:val="both"/>
      </w:pPr>
      <w:r>
        <w:rPr>
          <w:sz w:val="22"/>
          <w:szCs w:val="22"/>
        </w:rPr>
        <w:t xml:space="preserve">Both AI providers can be reached with live credentials and the image path has been run end to end at real cost. Text generation returns a billing error because the account has no credit, so streaming and the paid features remain verified against the mock provider only.</w:t>
      </w:r>
    </w:p>
    <w:p>
      <w:pPr>
        <w:spacing w:after="120" w:line="276"/>
        <w:jc w:val="both"/>
      </w:pPr>
      <w:r>
        <w:rPr>
          <w:sz w:val="22"/>
          <w:szCs w:val="22"/>
        </w:rPr>
        <w:t xml:space="preserve">The system has not been deployed. It runs on a local database, which leaves four schema migrations unapplied, and no payment has been processed through any gateway. A cloud database, a live server and a first real payment are the work of Month 3, and every remaining estimate depends on them.</w:t>
      </w:r>
    </w:p>
    <w:p>
      <w:pPr>
        <w:spacing w:after="120" w:line="276"/>
        <w:jc w:val="both"/>
      </w:pPr>
      <w:r>
        <w:rPr>
          <w:sz w:val="22"/>
          <w:szCs w:val="22"/>
        </w:rPr>
        <w:t xml:space="preserve">Figures were captured from the running system using </w:t>
      </w:r>
      <w:r>
        <w:rPr>
          <w:rFonts w:ascii="Consolas" w:cs="Consolas" w:eastAsia="Consolas" w:hAnsi="Consolas"/>
          <w:sz w:val="19"/>
          <w:szCs w:val="19"/>
        </w:rPr>
        <w:t xml:space="preserve">baakhapaa-frontend/scripts/capture-screenshots.mjs</w:t>
      </w:r>
      <w:r>
        <w:rPr>
          <w:sz w:val="22"/>
          <w:szCs w:val="22"/>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777777"/>
        <w:sz w:val="17"/>
        <w:szCs w:val="17"/>
      </w:rPr>
      <w:t xml:space="preserve">Baakhapaa — Month 2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A1A1A"/>
      <w:sz w:val="30"/>
      <w:szCs w:val="30"/>
    </w:rPr>
  </w:style>
  <w:style w:type="paragraph" w:styleId="Heading2">
    <w:name w:val="Heading 2"/>
    <w:basedOn w:val="Normal"/>
    <w:next w:val="Normal"/>
    <w:qFormat/>
    <w:pPr>
      <w:spacing w:after="140" w:before="280"/>
    </w:pPr>
    <w:rPr>
      <w:b/>
      <w:bCs/>
      <w:color w:val="33333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b44be80a5e8e8ddab6fa73770795139d7b9b2b.png"/><Relationship Id="rId10" Type="http://schemas.openxmlformats.org/officeDocument/2006/relationships/image" Target="media/dc2410310bff1d13e68bfc32f259cc2b4dfc44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2 Progress Report — Baakhapaa</dc:title>
  <dc:creator>TODO: your full name</dc:creator>
  <cp:lastModifiedBy>Un-named</cp:lastModifiedBy>
  <cp:revision>1</cp:revision>
  <dcterms:created xsi:type="dcterms:W3CDTF">2026-09-03T08:05:03.216Z</dcterms:created>
  <dcterms:modified xsi:type="dcterms:W3CDTF">2026-09-03T08:05:03.217Z</dcterms:modified>
</cp:coreProperties>
</file>

<file path=docProps/custom.xml><?xml version="1.0" encoding="utf-8"?>
<Properties xmlns="http://schemas.openxmlformats.org/officeDocument/2006/custom-properties" xmlns:vt="http://schemas.openxmlformats.org/officeDocument/2006/docPropsVTypes"/>
</file>