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Инклюзивное образование в Российской Федерации</w:t>
      </w:r>
    </w:p>
    <w:p>
      <w:pPr>
        <w:spacing w:after="80"/>
      </w:pPr>
      <w:r>
        <w:rPr>
          <w:b/>
          <w:color w:val="2A3036"/>
          <w:sz w:val="28"/>
        </w:rPr>
        <w:t>Правовая основа и финансовое обеспечение</w:t>
      </w:r>
    </w:p>
    <w:p>
      <w:pPr>
        <w:spacing w:after="240"/>
      </w:pPr>
      <w:r>
        <w:rPr>
          <w:color w:val="5C6772"/>
          <w:sz w:val="19"/>
        </w:rPr>
        <w:t>Информационная памятка • актуализировано на 10 августа 2026 года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8F3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F3759"/>
                <w:sz w:val="22"/>
              </w:rPr>
              <w:t>Коротко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Право обучающихся с ограниченными возможностями здоровья и инвалидностью на образование обеспечивается Федеральным законом № 273-ФЗ, специальными требованиями ФГОС, федеральными адаптированными образовательными программами, а также федеральными и региональными механизмами финансирования. Конкретные меры и размеры финансирования зависят от уровня образования, программы и нормативных актов субъекта Российской Федерации.</w:t>
            </w:r>
          </w:p>
        </w:tc>
      </w:tr>
    </w:tbl>
    <w:p>
      <w:pPr>
        <w:pStyle w:val="Heading1"/>
      </w:pPr>
      <w:r>
        <w:t>1. Основная правовая база</w:t>
      </w:r>
    </w:p>
    <w:p>
      <w:r>
        <w:rPr>
          <w:b/>
        </w:rPr>
        <w:t>Федеральный закон от 29.12.2012 № 273-ФЗ «Об образовании в Российской Федерации»</w:t>
      </w:r>
      <w:r>
        <w:t xml:space="preserve"> — основной законодательный акт, регулирующий образование в России, включая образование обучающихся с ОВЗ, инвалидов и детей-инвалидов.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shd w:fill="D9E7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3759"/>
                <w:sz w:val="18"/>
              </w:rPr>
              <w:t>Норма</w:t>
            </w:r>
          </w:p>
        </w:tc>
        <w:tc>
          <w:tcPr>
            <w:tcW w:type="dxa" w:w="3362"/>
            <w:shd w:fill="D9E7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3759"/>
                <w:sz w:val="18"/>
              </w:rPr>
              <w:t>О чём</w:t>
            </w:r>
          </w:p>
        </w:tc>
        <w:tc>
          <w:tcPr>
            <w:tcW w:type="dxa" w:w="3362"/>
            <w:shd w:fill="D9E7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3759"/>
                <w:sz w:val="18"/>
              </w:rPr>
              <w:t>Что важно</w:t>
            </w:r>
          </w:p>
        </w:tc>
      </w:tr>
      <w:tr>
        <w:trPr>
          <w:cantSplit/>
        </w:trPr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Статья 5</w:t>
            </w:r>
          </w:p>
        </w:tc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Право на образование</w:t>
            </w:r>
          </w:p>
        </w:tc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Органы публичной власти создают условия для получения без дискриминации качественного образования лицами с ОВЗ, коррекции нарушений развития, социальной адаптации и организации инклюзивного образования.</w:t>
            </w:r>
          </w:p>
        </w:tc>
      </w:tr>
      <w:tr>
        <w:trPr>
          <w:cantSplit/>
        </w:trPr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Статья 7</w:t>
            </w:r>
          </w:p>
        </w:tc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Переданные полномочия</w:t>
            </w:r>
          </w:p>
        </w:tc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Часть федеральных полномочий в сфере образования передана органам государственной власти субъектов РФ. Их финансовое обеспечение осуществляется в установленном законом порядке.</w:t>
            </w:r>
          </w:p>
        </w:tc>
      </w:tr>
      <w:tr>
        <w:trPr>
          <w:cantSplit/>
        </w:trPr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Статья 11</w:t>
            </w:r>
          </w:p>
        </w:tc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ФГОС</w:t>
            </w:r>
          </w:p>
        </w:tc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Для реализации права на образование обучающихся с ОВЗ устанавливаются специальные требования в федеральных государственных образовательных стандартах.</w:t>
            </w:r>
          </w:p>
        </w:tc>
      </w:tr>
      <w:tr>
        <w:trPr>
          <w:cantSplit/>
        </w:trPr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Статья 79</w:t>
            </w:r>
          </w:p>
        </w:tc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Организация образования обучающихся с ОВЗ и инвалидностью</w:t>
            </w:r>
          </w:p>
        </w:tc>
        <w:tc>
          <w:tcPr>
            <w:tcW w:type="dxa" w:w="33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Определяет специальные условия обучения, воспитания и сопровождения обучающихся с ОВЗ, инвалидов и детей-инвалидов, а также иные гарантии их права на образование.</w:t>
            </w:r>
          </w:p>
        </w:tc>
      </w:tr>
    </w:tbl>
    <w:p>
      <w:pPr>
        <w:pStyle w:val="Heading1"/>
      </w:pPr>
      <w:r>
        <w:t>2. Как устроено финансовое обеспечение</w:t>
      </w:r>
    </w:p>
    <w:p>
      <w:r>
        <w:t>Финансовое обеспечение инклюзивного образования складывается из нескольких механизмов. Ключевые понятия закреплены в Федеральном законе № 273-ФЗ и Бюджетном кодексе РФ.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shd w:fill="F2F6FA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Arial" w:hAnsi="Arial"/>
                <w:b/>
                <w:color w:val="1F3759"/>
                <w:sz w:val="21"/>
              </w:rPr>
              <w:t>Субвенции</w:t>
            </w:r>
          </w:p>
          <w:p>
            <w:pPr>
              <w:spacing w:after="140"/>
            </w:pPr>
            <w:r>
              <w:rPr>
                <w:rFonts w:ascii="Arial" w:hAnsi="Arial"/>
              </w:rPr>
              <w:t>Межбюджетные трансферты, предоставляемые субъектам РФ для финансового обеспечения расходных обязательств, возникающих при выполнении переданных федеральных полномочий.</w:t>
            </w:r>
          </w:p>
          <w:p>
            <w:r>
              <w:rPr>
                <w:rFonts w:ascii="Arial" w:hAnsi="Arial"/>
                <w:color w:val="5C6772"/>
                <w:sz w:val="17"/>
              </w:rPr>
              <w:t>БК РФ, ст. 133</w:t>
            </w:r>
          </w:p>
        </w:tc>
        <w:tc>
          <w:tcPr>
            <w:tcW w:type="dxa" w:w="3362"/>
            <w:shd w:fill="F2F6FA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Arial" w:hAnsi="Arial"/>
                <w:b/>
                <w:color w:val="1F3759"/>
                <w:sz w:val="21"/>
              </w:rPr>
              <w:t>Субсидии</w:t>
            </w:r>
          </w:p>
          <w:p>
            <w:pPr>
              <w:spacing w:after="140"/>
            </w:pPr>
            <w:r>
              <w:rPr>
                <w:rFonts w:ascii="Arial" w:hAnsi="Arial"/>
              </w:rPr>
              <w:t>Средства федерального бюджета, предоставляемые для софинансирования расходных обязательств субъектов РФ и муниципальных образований.</w:t>
            </w:r>
          </w:p>
          <w:p>
            <w:r>
              <w:rPr>
                <w:rFonts w:ascii="Arial" w:hAnsi="Arial"/>
                <w:color w:val="5C6772"/>
                <w:sz w:val="17"/>
              </w:rPr>
              <w:t>БК РФ, ст. 132</w:t>
            </w:r>
          </w:p>
        </w:tc>
        <w:tc>
          <w:tcPr>
            <w:tcW w:type="dxa" w:w="3362"/>
            <w:shd w:fill="F2F6FA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Arial" w:hAnsi="Arial"/>
                <w:b/>
                <w:color w:val="1F3759"/>
                <w:sz w:val="21"/>
              </w:rPr>
              <w:t>Региональные нормативы</w:t>
            </w:r>
          </w:p>
          <w:p>
            <w:pPr>
              <w:spacing w:after="140"/>
            </w:pPr>
            <w:r>
              <w:rPr>
                <w:rFonts w:ascii="Arial" w:hAnsi="Arial"/>
              </w:rPr>
              <w:t>Финансирование государственных гарантий получения общедоступного и бесплатного образования по адаптированным программам осуществляется на основе нормативов, определяемых субъектами РФ.</w:t>
            </w:r>
          </w:p>
          <w:p>
            <w:r>
              <w:rPr>
                <w:rFonts w:ascii="Arial" w:hAnsi="Arial"/>
                <w:color w:val="5C6772"/>
                <w:sz w:val="17"/>
              </w:rPr>
              <w:t>ФГОС № 1598 и № 1599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8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F3759"/>
                <w:sz w:val="22"/>
              </w:rPr>
              <w:t>Важно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Средства, предоставляемые для осуществления переданных полномочий или реализации конкретных мероприятий, имеют целевое назначение. Порядок предоставления и использования средств определяется федеральными и региональными нормативными актами.</w:t>
            </w:r>
          </w:p>
        </w:tc>
      </w:tr>
    </w:tbl>
    <w:p>
      <w:pPr>
        <w:pStyle w:val="Heading1"/>
      </w:pPr>
      <w:r>
        <w:t>3. Государственная программа «Доступная среда»</w:t>
      </w:r>
    </w:p>
    <w:p>
      <w:r>
        <w:rPr>
          <w:b/>
        </w:rPr>
        <w:t xml:space="preserve">Утверждена постановлением Правительства РФ от 29.03.2019 № 363. </w:t>
      </w:r>
      <w:r>
        <w:t>Программа продолжает действовать и включает механизмы федерального софинансирования мероприятий, связанных с доступностью, реабилитацией и инклюзивным профессиональным образованием.</w:t>
      </w:r>
    </w:p>
    <w:p>
      <w:r>
        <w:rPr>
          <w:b/>
        </w:rPr>
        <w:t>Для целей инклюзивного образования особое значение имеют:</w:t>
      </w:r>
    </w:p>
    <w:p>
      <w:pPr>
        <w:pStyle w:val="ListBullet"/>
        <w:spacing w:after="40"/>
      </w:pPr>
      <w:r>
        <w:t>приложение № 1 — правила предоставления и распределения субсидий на мероприятия по формированию системы комплексной реабилитации и абилитации инвалидов, в том числе детей-инвалидов;</w:t>
      </w:r>
    </w:p>
    <w:p>
      <w:pPr>
        <w:pStyle w:val="ListBullet"/>
        <w:spacing w:after="40"/>
      </w:pPr>
      <w:r>
        <w:t>приложение № 2 — правила предоставления и распределения субсидий на создание базовых профессиональных образовательных организаций, обеспечивающих поддержку региональных систем инклюзивного профессионального образования инвалидов и лиц с ОВЗ.</w:t>
      </w:r>
    </w:p>
    <w:p>
      <w:pPr>
        <w:pStyle w:val="Heading1"/>
      </w:pPr>
      <w:r>
        <w:t>4. Государственная программа «Развитие образования»</w:t>
      </w:r>
    </w:p>
    <w:p>
      <w:r>
        <w:rPr>
          <w:b/>
        </w:rPr>
        <w:t xml:space="preserve">Утверждена постановлением Правительства РФ от 26.12.2017 № 1642. </w:t>
      </w:r>
      <w:r>
        <w:t>Стратегические приоритеты программы определены до 2030 года.</w:t>
      </w:r>
    </w:p>
    <w:p>
      <w:r>
        <w:t>В программе сохраняется задача совершенствования условий получения общего, дополнительного и профессионального образования лицами с ОВЗ и инвалидами. Отдельно учитывается необходимость соблюдения баланса между развитием инклюзивного образования и сохранением сети отдельных образовательных организаций, чтобы у родителей и законных представителей сохранялась возможность выбора формы и места обучения.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8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F3759"/>
                <w:sz w:val="22"/>
              </w:rPr>
              <w:t>Обратите внимание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Перечень субсидий и приложения к постановлению № 1642 регулярно меняются. Для конкретного проекта, объекта или мероприятия необходимо проверять действующую редакцию соответствующего приложения на дату обращения.</w:t>
            </w:r>
          </w:p>
        </w:tc>
      </w:tr>
    </w:tbl>
    <w:p>
      <w:r>
        <w:rPr>
          <w:b/>
        </w:rPr>
        <w:t xml:space="preserve">Национальный проект. </w:t>
      </w:r>
      <w:r>
        <w:t>С 2025 года текущей рамкой федеральной образовательной политики является национальный проект «Молодёжь и дети». Ссылки на национальный проект «Образование» могут сохраняться в переходных или ранее принятых нормативных положениях, но не используются как общее описание действующей системы.</w:t>
      </w:r>
    </w:p>
    <w:p>
      <w:pPr>
        <w:pStyle w:val="Heading1"/>
      </w:pPr>
      <w:r>
        <w:t>5. ФГОС и федеральные адаптированные образовательные программы</w:t>
      </w:r>
    </w:p>
    <w:p>
      <w:r>
        <w:t>Для организации обучения обучающихся с ОВЗ и интеллектуальными нарушениями применяются специальные федеральные государственные образовательные стандарты и федеральные адаптированные образовательные программы.</w:t>
      </w:r>
    </w:p>
    <w:p>
      <w:r>
        <w:rPr>
          <w:b/>
          <w:color w:val="2E5E96"/>
        </w:rPr>
        <w:t>Приказ Минобрнауки России № 1598 от 19.12.2014</w:t>
      </w:r>
    </w:p>
    <w:p>
      <w:pPr>
        <w:spacing w:after="120"/>
        <w:ind w:left="283"/>
      </w:pPr>
      <w:r>
        <w:t>ФГОС начального общего образования обучающихся с ограниченными возможностями здоровья.</w:t>
      </w:r>
    </w:p>
    <w:p>
      <w:r>
        <w:rPr>
          <w:b/>
          <w:color w:val="2E5E96"/>
        </w:rPr>
        <w:t>Приказ Минобрнауки России № 1599 от 19.12.2014</w:t>
      </w:r>
    </w:p>
    <w:p>
      <w:pPr>
        <w:spacing w:after="120"/>
        <w:ind w:left="283"/>
      </w:pPr>
      <w:r>
        <w:t>ФГОС образования обучающихся с умственной отсталостью (интеллектуальными нарушениями).</w:t>
      </w:r>
    </w:p>
    <w:p>
      <w:r>
        <w:rPr>
          <w:b/>
        </w:rPr>
        <w:t>Федеральные адаптированные образовательные программы:</w:t>
      </w:r>
    </w:p>
    <w:p>
      <w:pPr>
        <w:pStyle w:val="ListBullet"/>
        <w:spacing w:after="40"/>
      </w:pPr>
      <w:r>
        <w:t>Приказ Минпросвещения России № 1022 от 24.11.2022 — дошкольное образование обучающихся с ОВЗ.</w:t>
      </w:r>
    </w:p>
    <w:p>
      <w:pPr>
        <w:pStyle w:val="ListBullet"/>
        <w:spacing w:after="40"/>
      </w:pPr>
      <w:r>
        <w:t>Приказ Минпросвещения России № 1023 от 24.11.2022 — начальное общее образование обучающихся с ОВЗ.</w:t>
      </w:r>
    </w:p>
    <w:p>
      <w:pPr>
        <w:pStyle w:val="ListBullet"/>
        <w:spacing w:after="40"/>
      </w:pPr>
      <w:r>
        <w:t>Приказ Минпросвещения России № 1025 от 24.11.2022 — основное общее образование обучающихся с ОВЗ.</w:t>
      </w:r>
    </w:p>
    <w:p>
      <w:pPr>
        <w:pStyle w:val="ListBullet"/>
        <w:spacing w:after="40"/>
      </w:pPr>
      <w:r>
        <w:t>Приказ Минпросвещения России № 1026 от 24.11.2022 — обучающиеся с умственной отсталостью (интеллектуальными нарушениями).</w:t>
      </w:r>
    </w:p>
    <w:p>
      <w:pPr>
        <w:pStyle w:val="Heading1"/>
      </w:pPr>
      <w:r>
        <w:t>6. Что регулируется на уровне субъекта РФ</w:t>
      </w:r>
    </w:p>
    <w:p>
      <w:r>
        <w:t>Значительная часть практических вопросов финансирования и организации инклюзивного образования регулируется региональными нормативными актами. В конкретном субъекте РФ рекомендуется проверить:</w:t>
      </w:r>
    </w:p>
    <w:p>
      <w:pPr>
        <w:pStyle w:val="ListBullet"/>
        <w:spacing w:after="40"/>
      </w:pPr>
      <w:r>
        <w:t>закон и иные акты субъекта РФ об образовании;</w:t>
      </w:r>
    </w:p>
    <w:p>
      <w:pPr>
        <w:pStyle w:val="ListBullet"/>
        <w:spacing w:after="40"/>
      </w:pPr>
      <w:r>
        <w:t>закон о региональном бюджете на текущий год и плановый период;</w:t>
      </w:r>
    </w:p>
    <w:p>
      <w:pPr>
        <w:pStyle w:val="ListBullet"/>
        <w:spacing w:after="40"/>
      </w:pPr>
      <w:r>
        <w:t>акты об организации инклюзивного образования лиц с ОВЗ;</w:t>
      </w:r>
    </w:p>
    <w:p>
      <w:pPr>
        <w:pStyle w:val="ListBullet"/>
        <w:spacing w:after="40"/>
      </w:pPr>
      <w:r>
        <w:t>региональные концепции, планы, комплексы мероприятий и дорожные карты;</w:t>
      </w:r>
    </w:p>
    <w:p>
      <w:pPr>
        <w:pStyle w:val="ListBullet"/>
        <w:spacing w:after="40"/>
      </w:pPr>
      <w:r>
        <w:t>порядки расходования и предоставления субсидий;</w:t>
      </w:r>
    </w:p>
    <w:p>
      <w:pPr>
        <w:pStyle w:val="ListBullet"/>
        <w:spacing w:after="40"/>
      </w:pPr>
      <w:r>
        <w:t>нормативы финансового обеспечения реализации адаптированных образовательных программ.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F3759"/>
                <w:sz w:val="22"/>
              </w:rPr>
              <w:t>Важно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Перечень региональных документов носит ориентировочный характер. Названия, структура и содержание нормативных актов различаются в зависимости от субъекта Российской Федерации.</w:t>
            </w:r>
          </w:p>
        </w:tc>
      </w:tr>
    </w:tbl>
    <w:p>
      <w:pPr>
        <w:pStyle w:val="Heading1"/>
      </w:pPr>
      <w:r>
        <w:t>7. Основные нормативные документы</w:t>
      </w:r>
    </w:p>
    <w:p>
      <w:pPr>
        <w:spacing w:after="60"/>
      </w:pPr>
      <w:r>
        <w:t xml:space="preserve">• </w:t>
      </w:r>
      <w:hyperlink r:id="rId9">
        <w:r>
          <w:rPr>
            <w:color w:val="0563C1"/>
            <w:u w:val="single"/>
            <w:rFonts w:ascii="Arial" w:hAnsi="Arial" w:eastAsia="Arial"/>
            <w:sz w:val="20"/>
          </w:rPr>
          <w:t>Федеральный закон № 273-ФЗ «Об образовании в Российской Федерации»</w:t>
        </w:r>
      </w:hyperlink>
    </w:p>
    <w:p>
      <w:pPr>
        <w:spacing w:after="60"/>
      </w:pPr>
      <w:r>
        <w:t xml:space="preserve">• </w:t>
      </w:r>
      <w:hyperlink r:id="rId10">
        <w:r>
          <w:rPr>
            <w:color w:val="0563C1"/>
            <w:u w:val="single"/>
            <w:rFonts w:ascii="Arial" w:hAnsi="Arial" w:eastAsia="Arial"/>
            <w:sz w:val="20"/>
          </w:rPr>
          <w:t>Статья 79 Федерального закона № 273-ФЗ</w:t>
        </w:r>
      </w:hyperlink>
    </w:p>
    <w:p>
      <w:pPr>
        <w:spacing w:after="60"/>
      </w:pPr>
      <w:r>
        <w:t xml:space="preserve">• </w:t>
      </w:r>
      <w:hyperlink r:id="rId11">
        <w:r>
          <w:rPr>
            <w:color w:val="0563C1"/>
            <w:u w:val="single"/>
            <w:rFonts w:ascii="Arial" w:hAnsi="Arial" w:eastAsia="Arial"/>
            <w:sz w:val="20"/>
          </w:rPr>
          <w:t>Бюджетный кодекс Российской Федерации</w:t>
        </w:r>
      </w:hyperlink>
    </w:p>
    <w:p>
      <w:pPr>
        <w:spacing w:after="60"/>
      </w:pPr>
      <w:r>
        <w:t xml:space="preserve">• </w:t>
      </w:r>
      <w:hyperlink r:id="rId12">
        <w:r>
          <w:rPr>
            <w:color w:val="0563C1"/>
            <w:u w:val="single"/>
            <w:rFonts w:ascii="Arial" w:hAnsi="Arial" w:eastAsia="Arial"/>
            <w:sz w:val="20"/>
          </w:rPr>
          <w:t>Постановление Правительства РФ № 363 — «Доступная среда»</w:t>
        </w:r>
      </w:hyperlink>
    </w:p>
    <w:p>
      <w:pPr>
        <w:spacing w:after="60"/>
      </w:pPr>
      <w:r>
        <w:t xml:space="preserve">• </w:t>
      </w:r>
      <w:hyperlink r:id="rId13">
        <w:r>
          <w:rPr>
            <w:color w:val="0563C1"/>
            <w:u w:val="single"/>
            <w:rFonts w:ascii="Arial" w:hAnsi="Arial" w:eastAsia="Arial"/>
            <w:sz w:val="20"/>
          </w:rPr>
          <w:t>Постановление Правительства РФ № 1642 — «Развитие образования»</w:t>
        </w:r>
      </w:hyperlink>
    </w:p>
    <w:p>
      <w:pPr>
        <w:spacing w:after="60"/>
      </w:pPr>
      <w:r>
        <w:t xml:space="preserve">• </w:t>
      </w:r>
      <w:hyperlink r:id="rId14">
        <w:r>
          <w:rPr>
            <w:color w:val="0563C1"/>
            <w:u w:val="single"/>
            <w:rFonts w:ascii="Arial" w:hAnsi="Arial" w:eastAsia="Arial"/>
            <w:sz w:val="20"/>
          </w:rPr>
          <w:t>Приказ Минобрнауки России № 1598</w:t>
        </w:r>
      </w:hyperlink>
    </w:p>
    <w:p>
      <w:pPr>
        <w:spacing w:after="60"/>
      </w:pPr>
      <w:r>
        <w:t xml:space="preserve">• </w:t>
      </w:r>
      <w:hyperlink r:id="rId15">
        <w:r>
          <w:rPr>
            <w:color w:val="0563C1"/>
            <w:u w:val="single"/>
            <w:rFonts w:ascii="Arial" w:hAnsi="Arial" w:eastAsia="Arial"/>
            <w:sz w:val="20"/>
          </w:rPr>
          <w:t>Приказ Минобрнауки России № 1599</w:t>
        </w:r>
      </w:hyperlink>
    </w:p>
    <w:p>
      <w:pPr>
        <w:spacing w:after="60"/>
      </w:pPr>
      <w:r>
        <w:t xml:space="preserve">• </w:t>
      </w:r>
      <w:hyperlink r:id="rId16">
        <w:r>
          <w:rPr>
            <w:color w:val="0563C1"/>
            <w:u w:val="single"/>
            <w:rFonts w:ascii="Arial" w:hAnsi="Arial" w:eastAsia="Arial"/>
            <w:sz w:val="20"/>
          </w:rPr>
          <w:t>Приказ Минпросвещения России № 1022</w:t>
        </w:r>
      </w:hyperlink>
    </w:p>
    <w:p>
      <w:pPr>
        <w:spacing w:after="60"/>
      </w:pPr>
      <w:r>
        <w:t xml:space="preserve">• </w:t>
      </w:r>
      <w:hyperlink r:id="rId17">
        <w:r>
          <w:rPr>
            <w:color w:val="0563C1"/>
            <w:u w:val="single"/>
            <w:rFonts w:ascii="Arial" w:hAnsi="Arial" w:eastAsia="Arial"/>
            <w:sz w:val="20"/>
          </w:rPr>
          <w:t>Приказ Минпросвещения России № 1023</w:t>
        </w:r>
      </w:hyperlink>
    </w:p>
    <w:p>
      <w:pPr>
        <w:spacing w:after="60"/>
      </w:pPr>
      <w:r>
        <w:t xml:space="preserve">• </w:t>
      </w:r>
      <w:hyperlink r:id="rId18">
        <w:r>
          <w:rPr>
            <w:color w:val="0563C1"/>
            <w:u w:val="single"/>
            <w:rFonts w:ascii="Arial" w:hAnsi="Arial" w:eastAsia="Arial"/>
            <w:sz w:val="20"/>
          </w:rPr>
          <w:t>Приказ Минпросвещения России № 1025</w:t>
        </w:r>
      </w:hyperlink>
    </w:p>
    <w:p>
      <w:pPr>
        <w:spacing w:after="60"/>
      </w:pPr>
      <w:r>
        <w:t xml:space="preserve">• </w:t>
      </w:r>
      <w:hyperlink r:id="rId19">
        <w:r>
          <w:rPr>
            <w:color w:val="0563C1"/>
            <w:u w:val="single"/>
            <w:rFonts w:ascii="Arial" w:hAnsi="Arial" w:eastAsia="Arial"/>
            <w:sz w:val="20"/>
          </w:rPr>
          <w:t>Приказ Минпросвещения России № 1026</w:t>
        </w:r>
      </w:hyperlink>
    </w:p>
    <w:p>
      <w:pPr>
        <w:spacing w:after="60"/>
      </w:pPr>
      <w:r>
        <w:t xml:space="preserve">• </w:t>
      </w:r>
      <w:hyperlink r:id="rId20">
        <w:r>
          <w:rPr>
            <w:color w:val="0563C1"/>
            <w:u w:val="single"/>
            <w:rFonts w:ascii="Arial" w:hAnsi="Arial" w:eastAsia="Arial"/>
            <w:sz w:val="20"/>
          </w:rPr>
          <w:t>Национальный проект «Молодёжь и дети» — Правительство России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8F3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F3759"/>
                <w:sz w:val="22"/>
              </w:rPr>
              <w:t>Для практической работы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Если вы готовите проект, обосновываете расходы или определяете источник финансирования конкретной меры инклюзивного образования, сначала определите уровень образования и категорию обучающихся, затем проверьте федеральный акт и действующие региональные нормативы. Именно региональные документы часто определяют конкретный порядок расчёта и предоставления средств.</w:t>
            </w:r>
          </w:p>
        </w:tc>
      </w:tr>
    </w:tbl>
    <w:p>
      <w:pPr>
        <w:spacing w:before="280"/>
      </w:pPr>
      <w:r>
        <w:rPr>
          <w:color w:val="5C6772"/>
          <w:sz w:val="17"/>
        </w:rPr>
        <w:t>Информация актуализирована по состоянию на 10 августа 2026 года. Материал носит справочно-информационный характер. Перед официальным использованием конкретной нормы рекомендуется проверить её действующую редакцию на дату обращения.</w:t>
      </w:r>
    </w:p>
    <w:sectPr w:rsidR="00FC693F" w:rsidRPr="0006063C" w:rsidSect="00034616">
      <w:footerReference w:type="default" r:id="rId21"/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772"/>
        <w:sz w:val="16"/>
      </w:rPr>
      <w:t>Инклюзивное образование • информационная памятка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7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5E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75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40174/" TargetMode="External"/><Relationship Id="rId10" Type="http://schemas.openxmlformats.org/officeDocument/2006/relationships/hyperlink" Target="https://www.consultant.ru/document/cons_doc_LAW_140174/6c54646c803424bc1fff4634c4e925d90c4affec/" TargetMode="External"/><Relationship Id="rId11" Type="http://schemas.openxmlformats.org/officeDocument/2006/relationships/hyperlink" Target="https://www.consultant.ru/document/cons_doc_LAW_19702/" TargetMode="External"/><Relationship Id="rId12" Type="http://schemas.openxmlformats.org/officeDocument/2006/relationships/hyperlink" Target="https://www.consultant.ru/document/cons_doc_LAW_322085/" TargetMode="External"/><Relationship Id="rId13" Type="http://schemas.openxmlformats.org/officeDocument/2006/relationships/hyperlink" Target="https://www.consultant.ru/document/cons_doc_LAW_286474/" TargetMode="External"/><Relationship Id="rId14" Type="http://schemas.openxmlformats.org/officeDocument/2006/relationships/hyperlink" Target="https://www.consultant.ru/document/cons_doc_LAW_175495/" TargetMode="External"/><Relationship Id="rId15" Type="http://schemas.openxmlformats.org/officeDocument/2006/relationships/hyperlink" Target="https://www.consultant.ru/document/cons_doc_LAW_175316/" TargetMode="External"/><Relationship Id="rId16" Type="http://schemas.openxmlformats.org/officeDocument/2006/relationships/hyperlink" Target="https://www.consultant.ru/document/cons_doc_LAW_438538/" TargetMode="External"/><Relationship Id="rId17" Type="http://schemas.openxmlformats.org/officeDocument/2006/relationships/hyperlink" Target="https://www.consultant.ru/document/cons_doc_LAW_442699/" TargetMode="External"/><Relationship Id="rId18" Type="http://schemas.openxmlformats.org/officeDocument/2006/relationships/hyperlink" Target="https://www.consultant.ru/document/cons_doc_LAW_442698/" TargetMode="External"/><Relationship Id="rId19" Type="http://schemas.openxmlformats.org/officeDocument/2006/relationships/hyperlink" Target="https://www.consultant.ru/document/cons_doc_LAW_436515/" TargetMode="External"/><Relationship Id="rId20" Type="http://schemas.openxmlformats.org/officeDocument/2006/relationships/hyperlink" Target="https://government.ru/rugovclassifier/914/about/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Инклюзивное образование в Российской Федерации: правовая основа и финансовое обеспечение</dc:title>
  <dc:subject>Информационная памятка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