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�������������������� �������������������� StarRocks 4.1.7</w:t>
      </w:r>
    </w:p>
    <w:bookmarkStart w:id="26" w:name="Xfc6a5dba4d08b27842bbcbac79b89dd7e77b8d8"/>
    <w:p>
      <w:pPr>
        <w:pStyle w:val="Heading1"/>
      </w:pPr>
      <w:r>
        <w:t xml:space="preserve">Экспертное заключение по результатам аудита безопасности СУБД StarRocks 4.1.7</w:t>
      </w:r>
    </w:p>
    <w:p>
      <w:pPr>
        <w:pStyle w:val="FirstParagraph"/>
      </w:pPr>
      <w:r>
        <w:rPr>
          <w:bCs/>
          <w:b/>
        </w:rPr>
        <w:t xml:space="preserve">Статус документа:</w:t>
      </w:r>
      <w:r>
        <w:t xml:space="preserve"> </w:t>
      </w:r>
      <w:r>
        <w:t xml:space="preserve">черновик (draft) для рассмотрения владельцем риска КБ.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StarRocks (open source), тег</w:t>
            </w:r>
            <w:r>
              <w:t xml:space="preserve"> </w:t>
            </w:r>
            <w:r>
              <w:rPr>
                <w:rStyle w:val="VerbatimChar"/>
              </w:rPr>
              <w:t xml:space="preserve">4.1.7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b81ff9cc465a5f2e5e53104d87a59b349808abd9</w:t>
            </w:r>
            <w:r>
              <w:t xml:space="preserve"> </w:t>
            </w:r>
            <w:r>
              <w:t xml:space="preserve">от 2026-10-22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Архитектуры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shared-nothing (исследована статически и на стенде), shared-data (статически, частично)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стандарт КБ</w:t>
            </w:r>
            <w:r>
              <w:t xml:space="preserve"> </w:t>
            </w:r>
            <w:r>
              <w:rPr>
                <w:rStyle w:val="VerbatimChar"/>
              </w:rPr>
              <w:t xml:space="preserve">db_dec.docx</w:t>
            </w:r>
            <w:r>
              <w:t xml:space="preserve">, требования 2.1–5.6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исходного кода + динамическая проверка на</w:t>
            </w:r>
            <w:r>
              <w:t xml:space="preserve"> </w:t>
            </w:r>
            <w:r>
              <w:rPr>
                <w:rStyle w:val="VerbatimChar"/>
              </w:rPr>
              <w:t xml:space="preserve">starrocks/allin1-ubuntu:4.1.7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[ФИО, подразделение]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cc7625c37bb33d1c94887348a3b72c6d1f906e7"/>
    <w:p>
      <w:pPr>
        <w:pStyle w:val="Heading2"/>
      </w:pPr>
      <w:r>
        <w:t xml:space="preserve">1. Вердикт</w:t>
      </w:r>
    </w:p>
    <w:p>
      <w:pPr>
        <w:pStyle w:val="FirstParagraph"/>
      </w:pPr>
      <w:r>
        <w:t xml:space="preserve">StarRocks 4.1.7</w:t>
      </w:r>
      <w:r>
        <w:t xml:space="preserve"> </w:t>
      </w:r>
      <w:r>
        <w:rPr>
          <w:bCs/>
          <w:b/>
        </w:rPr>
        <w:t xml:space="preserve">в конфигурации по умолчанию стандарту не соответствует</w:t>
      </w:r>
      <w:r>
        <w:t xml:space="preserve">. После применения рекомендованного</w:t>
      </w:r>
      <w:r>
        <w:t xml:space="preserve"> </w:t>
      </w:r>
      <w:r>
        <w:t xml:space="preserve">профиля настроек (раздел 5) и внешних компенсирующих мер продукт может эксплуатироваться</w:t>
      </w:r>
      <w:r>
        <w:t xml:space="preserve"> </w:t>
      </w:r>
      <w:r>
        <w:rPr>
          <w:bCs/>
          <w:b/>
        </w:rPr>
        <w:t xml:space="preserve">только как принятый</w:t>
      </w:r>
      <w:r>
        <w:rPr>
          <w:bCs/>
          <w:b/>
        </w:rPr>
        <w:t xml:space="preserve"> </w:t>
      </w:r>
      <w:r>
        <w:rPr>
          <w:bCs/>
          <w:b/>
        </w:rPr>
        <w:t xml:space="preserve">риск КБ</w:t>
      </w:r>
      <w:r>
        <w:t xml:space="preserve"> </w:t>
      </w:r>
      <w:r>
        <w:t xml:space="preserve">по п. 2.1 стандарта. Полное соответствие ключевому требованию 4.5 (защита прикладных данных от</w:t>
      </w:r>
      <w:r>
        <w:t xml:space="preserve"> </w:t>
      </w:r>
      <w:r>
        <w:t xml:space="preserve">администраторов СУБД) в текущей архитектуре</w:t>
      </w:r>
      <w:r>
        <w:t xml:space="preserve"> </w:t>
      </w:r>
      <w:r>
        <w:rPr>
          <w:bCs/>
          <w:b/>
        </w:rPr>
        <w:t xml:space="preserve">технически недостижимо</w:t>
      </w:r>
      <w:r>
        <w:t xml:space="preserve"> </w:t>
      </w:r>
      <w:r>
        <w:t xml:space="preserve">— риск минимизируется, но не устраняется.</w:t>
      </w:r>
    </w:p>
    <w:p>
      <w:pPr>
        <w:pStyle w:val="BodyText"/>
      </w:pPr>
      <w:r>
        <w:t xml:space="preserve">По 76 проверяемым критериям: соответствует — 12, соответствует при условиях — 15, не соответствует — 17,</w:t>
      </w:r>
      <w:r>
        <w:t xml:space="preserve"> </w:t>
      </w:r>
      <w:r>
        <w:t xml:space="preserve">не поддерживается — 11, не подтверждено — 5, требует эксплуатационной проверки — 16.</w:t>
      </w:r>
    </w:p>
    <w:p>
      <w:pPr>
        <w:pStyle w:val="BodyText"/>
      </w:pPr>
      <w:r>
        <w:t xml:space="preserve">Для зон PCI DSS и АС финансовых услуг без исправлений вендора соответствие</w:t>
      </w:r>
      <w:r>
        <w:t xml:space="preserve"> </w:t>
      </w:r>
      <w:r>
        <w:rPr>
          <w:bCs/>
          <w:b/>
        </w:rPr>
        <w:t xml:space="preserve">не достигается</w:t>
      </w:r>
      <w:r>
        <w:t xml:space="preserve"> </w:t>
      </w:r>
      <w:r>
        <w:t xml:space="preserve">(см. раздел 4).</w:t>
      </w:r>
    </w:p>
    <w:bookmarkEnd w:id="20"/>
    <w:bookmarkStart w:id="21" w:name="X8c3e732124f67f6077bc508fc7992ba959af043"/>
    <w:p>
      <w:pPr>
        <w:pStyle w:val="Heading2"/>
      </w:pPr>
      <w:r>
        <w:t xml:space="preserve">2. Ключевые нарушения</w:t>
      </w:r>
    </w:p>
    <w:p>
      <w:pPr>
        <w:pStyle w:val="FirstParagraph"/>
      </w:pPr>
      <w:r>
        <w:rPr>
          <w:bCs/>
          <w:b/>
        </w:rPr>
        <w:t xml:space="preserve">Критические: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F-01.</w:t>
      </w:r>
      <w:r>
        <w:t xml:space="preserve"> </w:t>
      </w:r>
      <w:r>
        <w:t xml:space="preserve">Встроенная роль</w:t>
      </w:r>
      <w:r>
        <w:t xml:space="preserve"> </w:t>
      </w:r>
      <w:r>
        <w:rPr>
          <w:rStyle w:val="VerbatimChar"/>
        </w:rPr>
        <w:t xml:space="preserve">db_admin</w:t>
      </w:r>
      <w:r>
        <w:t xml:space="preserve"> </w:t>
      </w:r>
      <w:r>
        <w:t xml:space="preserve">имеет чтение и выгрузку всех прикладных данных; роль неизменяема.</w:t>
      </w:r>
      <w:r>
        <w:t xml:space="preserve"> </w:t>
      </w:r>
      <w:r>
        <w:rPr>
          <w:iCs/>
          <w:i/>
        </w:rPr>
        <w:t xml:space="preserve">(4.5)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F-03.</w:t>
      </w:r>
      <w:r>
        <w:t xml:space="preserve"> </w:t>
      </w:r>
      <w:r>
        <w:t xml:space="preserve">Выполнение произвольного кода в процессе FE (</w:t>
      </w:r>
      <w:r>
        <w:rPr>
          <w:rStyle w:val="VerbatimChar"/>
        </w:rPr>
        <w:t xml:space="preserve">ADMIN EXECUTE ON FRONTEND</w:t>
      </w:r>
      <w:r>
        <w:t xml:space="preserve">, Groovy) включено по</w:t>
      </w:r>
      <w:r>
        <w:t xml:space="preserve"> </w:t>
      </w:r>
      <w:r>
        <w:t xml:space="preserve">умолчанию и доступно обладателю привилегии OPERATE, в т.ч. роли</w:t>
      </w:r>
      <w:r>
        <w:t xml:space="preserve"> </w:t>
      </w:r>
      <w:r>
        <w:rPr>
          <w:rStyle w:val="VerbatimChar"/>
        </w:rPr>
        <w:t xml:space="preserve">security_admin</w:t>
      </w:r>
      <w:r>
        <w:t xml:space="preserve">.</w:t>
      </w:r>
      <w:r>
        <w:t xml:space="preserve"> </w:t>
      </w:r>
      <w:r>
        <w:rPr>
          <w:iCs/>
          <w:i/>
        </w:rPr>
        <w:t xml:space="preserve">(4.5, 4.1)</w:t>
      </w:r>
    </w:p>
    <w:p>
      <w:pPr>
        <w:pStyle w:val="FirstParagraph"/>
      </w:pPr>
      <w:r>
        <w:rPr>
          <w:bCs/>
          <w:b/>
        </w:rPr>
        <w:t xml:space="preserve">Высокие: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F-02.</w:t>
      </w:r>
      <w:r>
        <w:t xml:space="preserve"> </w:t>
      </w:r>
      <w:r>
        <w:rPr>
          <w:rStyle w:val="VerbatimChar"/>
        </w:rPr>
        <w:t xml:space="preserve">user_admin</w:t>
      </w:r>
      <w:r>
        <w:t xml:space="preserve"> </w:t>
      </w:r>
      <w:r>
        <w:t xml:space="preserve">выдаёт себе любые права и действует от имени любого пользователя.</w:t>
      </w:r>
      <w:r>
        <w:t xml:space="preserve"> </w:t>
      </w:r>
      <w:r>
        <w:rPr>
          <w:iCs/>
          <w:i/>
        </w:rPr>
        <w:t xml:space="preserve">(4.5)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F-04.</w:t>
      </w:r>
      <w:r>
        <w:t xml:space="preserve"> </w:t>
      </w:r>
      <w:r>
        <w:t xml:space="preserve">Встроенная УЗ</w:t>
      </w:r>
      <w:r>
        <w:t xml:space="preserve"> </w:t>
      </w:r>
      <w:r>
        <w:rPr>
          <w:rStyle w:val="VerbatimChar"/>
        </w:rPr>
        <w:t xml:space="preserve">root</w:t>
      </w:r>
      <w:r>
        <w:t xml:space="preserve">: пустой пароль по умолчанию, неудаляема, обходит Ranger.</w:t>
      </w:r>
      <w:r>
        <w:t xml:space="preserve"> </w:t>
      </w:r>
      <w:r>
        <w:rPr>
          <w:iCs/>
          <w:i/>
        </w:rPr>
        <w:t xml:space="preserve">(4.2, 4.5)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F-05.</w:t>
      </w:r>
      <w:r>
        <w:t xml:space="preserve"> </w:t>
      </w:r>
      <w:r>
        <w:t xml:space="preserve">Нет парольной политики (длина, срок) и блокировки учётных записей.</w:t>
      </w:r>
      <w:r>
        <w:t xml:space="preserve"> </w:t>
      </w:r>
      <w:r>
        <w:rPr>
          <w:iCs/>
          <w:i/>
        </w:rPr>
        <w:t xml:space="preserve">(4.8, 4.2)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F-06.</w:t>
      </w:r>
      <w:r>
        <w:t xml:space="preserve"> </w:t>
      </w:r>
      <w:r>
        <w:t xml:space="preserve">Административные HTTP-эндпоинты BE (изменение конфигурации, просмотр журналов) по умолчанию доступны</w:t>
      </w:r>
      <w:r>
        <w:t xml:space="preserve"> </w:t>
      </w:r>
      <w:r>
        <w:t xml:space="preserve">без аутентификации и без записи в аудит.</w:t>
      </w:r>
      <w:r>
        <w:t xml:space="preserve"> </w:t>
      </w:r>
      <w:r>
        <w:rPr>
          <w:iCs/>
          <w:i/>
        </w:rPr>
        <w:t xml:space="preserve">(4.3, 5.1)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F-07.</w:t>
      </w:r>
      <w:r>
        <w:t xml:space="preserve"> </w:t>
      </w:r>
      <w:r>
        <w:t xml:space="preserve">Штатный аудит неполон: вход и неуспешный вход по умолчанию не регистрируются, выход не</w:t>
      </w:r>
      <w:r>
        <w:t xml:space="preserve"> </w:t>
      </w:r>
      <w:r>
        <w:t xml:space="preserve">регистрируется никогда, отсутствует атрибут «приложение».</w:t>
      </w:r>
      <w:r>
        <w:t xml:space="preserve"> </w:t>
      </w:r>
      <w:r>
        <w:rPr>
          <w:iCs/>
          <w:i/>
        </w:rPr>
        <w:t xml:space="preserve">(5.1, 5.2)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F-09.</w:t>
      </w:r>
      <w:r>
        <w:t xml:space="preserve"> </w:t>
      </w:r>
      <w:r>
        <w:t xml:space="preserve">Межузловые каналы (Thrift FE↔BE, репликация BDB JE) не поддерживают TLS; узлы не аутентифицируют</w:t>
      </w:r>
      <w:r>
        <w:t xml:space="preserve"> </w:t>
      </w:r>
      <w:r>
        <w:t xml:space="preserve">друг друга. Авторизация выполняется только на FE.</w:t>
      </w:r>
      <w:r>
        <w:t xml:space="preserve"> </w:t>
      </w:r>
      <w:r>
        <w:rPr>
          <w:iCs/>
          <w:i/>
        </w:rPr>
        <w:t xml:space="preserve">(2.4, 4.3)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F-11.</w:t>
      </w:r>
      <w:r>
        <w:t xml:space="preserve"> </w:t>
      </w:r>
      <w:r>
        <w:t xml:space="preserve">Привилегия SECURITY (у</w:t>
      </w:r>
      <w:r>
        <w:t xml:space="preserve"> </w:t>
      </w:r>
      <w:r>
        <w:rPr>
          <w:rStyle w:val="VerbatimChar"/>
        </w:rPr>
        <w:t xml:space="preserve">db_admin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security_admin</w:t>
      </w:r>
      <w:r>
        <w:t xml:space="preserve">) позволяет управлять источником аутентификации;</w:t>
      </w:r>
      <w:r>
        <w:t xml:space="preserve"> </w:t>
      </w:r>
      <w:r>
        <w:t xml:space="preserve">LDAP по умолчанию без шифрования.</w:t>
      </w:r>
      <w:r>
        <w:t xml:space="preserve"> </w:t>
      </w:r>
      <w:r>
        <w:rPr>
          <w:iCs/>
          <w:i/>
        </w:rPr>
        <w:t xml:space="preserve">(4.3, 4.5)</w:t>
      </w:r>
    </w:p>
    <w:p>
      <w:pPr>
        <w:pStyle w:val="FirstParagraph"/>
      </w:pPr>
      <w:r>
        <w:rPr>
          <w:bCs/>
          <w:b/>
        </w:rPr>
        <w:t xml:space="preserve">Средние:</w:t>
      </w:r>
      <w:r>
        <w:t xml:space="preserve"> </w:t>
      </w:r>
      <w:r>
        <w:t xml:space="preserve">F-08 (анонимные метаданные FE), F-10 (TLS клиента не принудителен), F-12 (защита журналов зависит</w:t>
      </w:r>
      <w:r>
        <w:t xml:space="preserve"> </w:t>
      </w:r>
      <w:r>
        <w:t xml:space="preserve">от ОС), F-14 (собственная роль «DBA без данных» реализуема по конфиденциальности, но остаются утечки</w:t>
      </w:r>
      <w:r>
        <w:t xml:space="preserve"> </w:t>
      </w:r>
      <w:r>
        <w:t xml:space="preserve">метаданных и небезопасный дефолт</w:t>
      </w:r>
      <w:r>
        <w:t xml:space="preserve"> </w:t>
      </w:r>
      <w:r>
        <w:rPr>
          <w:rStyle w:val="VerbatimChar"/>
        </w:rPr>
        <w:t xml:space="preserve">enable_udf=true</w:t>
      </w:r>
      <w:r>
        <w:t xml:space="preserve"> </w:t>
      </w:r>
      <w:r>
        <w:t xml:space="preserve">в образе).</w:t>
      </w:r>
    </w:p>
    <w:bookmarkEnd w:id="21"/>
    <w:bookmarkStart w:id="22" w:name="Xd035197c97beb7c2fe6c6796df3650d637b5546"/>
    <w:p>
      <w:pPr>
        <w:pStyle w:val="Heading2"/>
      </w:pPr>
      <w:r>
        <w:t xml:space="preserve">3. Что устраняется, а что нет</w:t>
      </w:r>
    </w:p>
    <w:p>
      <w:pPr>
        <w:pStyle w:val="FirstParagraph"/>
      </w:pPr>
      <w:r>
        <w:rPr>
          <w:bCs/>
          <w:b/>
        </w:rPr>
        <w:t xml:space="preserve">Устраняется настройкой (проверено на стенде):</w:t>
      </w:r>
    </w:p>
    <w:p>
      <w:pPr>
        <w:numPr>
          <w:ilvl w:val="0"/>
          <w:numId w:val="1003"/>
        </w:numPr>
        <w:pStyle w:val="Compact"/>
      </w:pPr>
      <w:r>
        <w:t xml:space="preserve">обязательный TLS клиентских подключений (с исключением для localhost);</w:t>
      </w:r>
    </w:p>
    <w:p>
      <w:pPr>
        <w:numPr>
          <w:ilvl w:val="0"/>
          <w:numId w:val="1003"/>
        </w:numPr>
        <w:pStyle w:val="Compact"/>
      </w:pPr>
      <w:r>
        <w:t xml:space="preserve">аутентификация HTTP-эндпоинтов FE и BE, блокировка анонимного изменения конфигурации;</w:t>
      </w:r>
    </w:p>
    <w:p>
      <w:pPr>
        <w:numPr>
          <w:ilvl w:val="0"/>
          <w:numId w:val="1003"/>
        </w:numPr>
        <w:pStyle w:val="Compact"/>
      </w:pPr>
      <w:r>
        <w:t xml:space="preserve">отключение исполнения Groovy-скриптов;</w:t>
      </w:r>
    </w:p>
    <w:p>
      <w:pPr>
        <w:numPr>
          <w:ilvl w:val="0"/>
          <w:numId w:val="1003"/>
        </w:numPr>
        <w:pStyle w:val="Compact"/>
      </w:pPr>
      <w:r>
        <w:t xml:space="preserve">регистрация входов и неуспешных попыток (модуль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замена встроенного</w:t>
      </w:r>
      <w:r>
        <w:t xml:space="preserve"> </w:t>
      </w:r>
      <w:r>
        <w:rPr>
          <w:rStyle w:val="VerbatimChar"/>
        </w:rPr>
        <w:t xml:space="preserve">db_admin</w:t>
      </w:r>
      <w:r>
        <w:t xml:space="preserve"> </w:t>
      </w:r>
      <w:r>
        <w:t xml:space="preserve">собственной ролью без доступа к данным.</w:t>
      </w:r>
    </w:p>
    <w:p>
      <w:pPr>
        <w:pStyle w:val="FirstParagraph"/>
      </w:pPr>
      <w:r>
        <w:rPr>
          <w:bCs/>
          <w:b/>
        </w:rPr>
        <w:t xml:space="preserve">Не устраняется настройкой продукта (неустранимые ограничения архитектуры):</w:t>
      </w:r>
    </w:p>
    <w:p>
      <w:pPr>
        <w:numPr>
          <w:ilvl w:val="0"/>
          <w:numId w:val="1004"/>
        </w:numPr>
        <w:pStyle w:val="Compact"/>
      </w:pPr>
      <w:r>
        <w:t xml:space="preserve">доступ встроенных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user_admin</w:t>
      </w:r>
      <w:r>
        <w:t xml:space="preserve"> </w:t>
      </w:r>
      <w:r>
        <w:t xml:space="preserve">к прикладным данным (4.5);</w:t>
      </w:r>
    </w:p>
    <w:p>
      <w:pPr>
        <w:numPr>
          <w:ilvl w:val="0"/>
          <w:numId w:val="1004"/>
        </w:numPr>
        <w:pStyle w:val="Compact"/>
      </w:pPr>
      <w:r>
        <w:t xml:space="preserve">отсутствие парольной политики и блокировки для встроенной аутентификации (4.8, 5.1);</w:t>
      </w:r>
    </w:p>
    <w:p>
      <w:pPr>
        <w:numPr>
          <w:ilvl w:val="0"/>
          <w:numId w:val="1004"/>
        </w:numPr>
        <w:pStyle w:val="Compact"/>
      </w:pPr>
      <w:r>
        <w:t xml:space="preserve">отсутствие TLS и взаимной аутентификации узлов на Thrift и BDB JE (2.4);</w:t>
      </w:r>
    </w:p>
    <w:p>
      <w:pPr>
        <w:numPr>
          <w:ilvl w:val="0"/>
          <w:numId w:val="1004"/>
        </w:numPr>
        <w:pStyle w:val="Compact"/>
      </w:pPr>
      <w:r>
        <w:t xml:space="preserve">отсутствие события выхода пользователя и атрибута «приложение» в аудите (5.1, 5.2).</w:t>
      </w:r>
    </w:p>
    <w:p>
      <w:pPr>
        <w:pStyle w:val="FirstParagraph"/>
      </w:pPr>
      <w:r>
        <w:t xml:space="preserve">Эти пункты закрываются только внешними компенсирующими мерами (PAM, DAM, сетевая сегментация и шифрование</w:t>
      </w:r>
      <w:r>
        <w:t xml:space="preserve"> </w:t>
      </w:r>
      <w:r>
        <w:t xml:space="preserve">инфраструктурой, внешняя аутентификация СУДИР/LDAP) или исправлениями на стороне вендора.</w:t>
      </w:r>
    </w:p>
    <w:bookmarkEnd w:id="22"/>
    <w:bookmarkStart w:id="23" w:name="X9a1548ba550b0025553247d17999eb274e75d03"/>
    <w:p>
      <w:pPr>
        <w:pStyle w:val="Heading2"/>
      </w:pPr>
      <w:r>
        <w:t xml:space="preserve">4. Вывод по защите данных от администраторов (приоритет 1)</w:t>
      </w:r>
    </w:p>
    <w:p>
      <w:pPr>
        <w:pStyle w:val="FirstParagraph"/>
      </w:pPr>
      <w:r>
        <w:t xml:space="preserve">Инвариант «администратор выполняет администрирование СУБД, но не получает содержимое прикладных данных» в</w:t>
      </w:r>
      <w:r>
        <w:t xml:space="preserve"> </w:t>
      </w:r>
      <w:r>
        <w:t xml:space="preserve">StarRocks 4.1.7</w:t>
      </w:r>
      <w:r>
        <w:t xml:space="preserve"> </w:t>
      </w:r>
      <w:r>
        <w:rPr>
          <w:bCs/>
          <w:b/>
        </w:rPr>
        <w:t xml:space="preserve">не обеспечивается</w:t>
      </w:r>
      <w:r>
        <w:t xml:space="preserve"> </w:t>
      </w:r>
      <w:r>
        <w:t xml:space="preserve">для встроенных ролей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user_admin</w:t>
      </w:r>
      <w:r>
        <w:t xml:space="preserve"> </w:t>
      </w:r>
      <w:r>
        <w:t xml:space="preserve">и (до отключения</w:t>
      </w:r>
      <w:r>
        <w:t xml:space="preserve"> </w:t>
      </w:r>
      <w:r>
        <w:t xml:space="preserve">Groovy)</w:t>
      </w:r>
      <w:r>
        <w:t xml:space="preserve"> </w:t>
      </w:r>
      <w:r>
        <w:rPr>
          <w:rStyle w:val="VerbatimChar"/>
        </w:rPr>
        <w:t xml:space="preserve">security_admin</w:t>
      </w:r>
      <w:r>
        <w:t xml:space="preserve">. Это подтверждено на стенде. Собственная роль «DBA без данных» закрывает прямое и</w:t>
      </w:r>
      <w:r>
        <w:t xml:space="preserve"> </w:t>
      </w:r>
      <w:r>
        <w:t xml:space="preserve">косвенное чтение по всем 12 проверенным путям, но сохраняет утечки метаданных и контроль над целостностью</w:t>
      </w:r>
      <w:r>
        <w:t xml:space="preserve"> </w:t>
      </w:r>
      <w:r>
        <w:t xml:space="preserve">данных через операции изменения схемы.</w:t>
      </w:r>
    </w:p>
    <w:p>
      <w:pPr>
        <w:pStyle w:val="BodyText"/>
      </w:pPr>
      <w:r>
        <w:t xml:space="preserve">Требование 4.5 следует оформить как риск КБ по п. 2.1 (типовой риск — доступ с повышенными привилегиями) с</w:t>
      </w:r>
      <w:r>
        <w:t xml:space="preserve"> </w:t>
      </w:r>
      <w:r>
        <w:t xml:space="preserve">мероприятиями по минимизации и принятием владельцем АС/ФП или владельцем инфраструктурного продукта.</w:t>
      </w:r>
    </w:p>
    <w:bookmarkEnd w:id="23"/>
    <w:bookmarkStart w:id="24" w:name="X6b0c28ea7df68419809fa7aaca0bb97c12bb70c"/>
    <w:p>
      <w:pPr>
        <w:pStyle w:val="Heading2"/>
      </w:pPr>
      <w:r>
        <w:t xml:space="preserve">5. Условия допустимости эксплуатации</w:t>
      </w:r>
    </w:p>
    <w:p>
      <w:pPr>
        <w:pStyle w:val="FirstParagraph"/>
      </w:pPr>
      <w:r>
        <w:t xml:space="preserve">Эксплуатация StarRocks 4.1.7 в корпоративной среде допустима при одновременном выполнении условий:</w:t>
      </w:r>
    </w:p>
    <w:p>
      <w:pPr>
        <w:numPr>
          <w:ilvl w:val="0"/>
          <w:numId w:val="1005"/>
        </w:numPr>
        <w:pStyle w:val="Compact"/>
      </w:pPr>
      <w:r>
        <w:t xml:space="preserve">применён профиль безопасной конфигурации (</w:t>
      </w:r>
      <w:r>
        <w:rPr>
          <w:rStyle w:val="VerbatimChar"/>
        </w:rPr>
        <w:t xml:space="preserve">final_report.md</w:t>
      </w:r>
      <w:r>
        <w:t xml:space="preserve">, §11.2) и проверен тестами (</w:t>
      </w:r>
      <w:r>
        <w:rPr>
          <w:rStyle w:val="VerbatimChar"/>
        </w:rPr>
        <w:t xml:space="preserve">test_plan.md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встроенные административные роли не выдаются людям;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— только аварийный доступ (break-glass) через PAM;</w:t>
      </w:r>
    </w:p>
    <w:p>
      <w:pPr>
        <w:numPr>
          <w:ilvl w:val="0"/>
          <w:numId w:val="1005"/>
        </w:numPr>
        <w:pStyle w:val="Compact"/>
      </w:pPr>
      <w:r>
        <w:t xml:space="preserve">кластер размещён в изолированном сетевом сегменте с шифрованием межузлового трафика средствами инфраструктуры;</w:t>
      </w:r>
    </w:p>
    <w:p>
      <w:pPr>
        <w:numPr>
          <w:ilvl w:val="0"/>
          <w:numId w:val="1005"/>
        </w:numPr>
        <w:pStyle w:val="Compact"/>
      </w:pPr>
      <w:r>
        <w:t xml:space="preserve">все привилегированные учётные записи работают через PAM с записью сессий; установлен агент DAM;</w:t>
      </w:r>
    </w:p>
    <w:p>
      <w:pPr>
        <w:numPr>
          <w:ilvl w:val="0"/>
          <w:numId w:val="1005"/>
        </w:numPr>
        <w:pStyle w:val="Compact"/>
      </w:pPr>
      <w:r>
        <w:t xml:space="preserve">пользователи аутентифицируются через СУДИР/LDAP (ldaps), встроенные пароли не используются;</w:t>
      </w:r>
    </w:p>
    <w:p>
      <w:pPr>
        <w:numPr>
          <w:ilvl w:val="0"/>
          <w:numId w:val="1005"/>
        </w:numPr>
        <w:pStyle w:val="Compact"/>
      </w:pPr>
      <w:r>
        <w:t xml:space="preserve">журнал аудита в реальном времени доставляется в ПКБ, настроены корреляционные правила на действия</w:t>
      </w:r>
      <w:r>
        <w:t xml:space="preserve"> </w:t>
      </w:r>
      <w:r>
        <w:t xml:space="preserve">администраторов (GRANT себе, EXECUTE AS, ADMIN EXECUTE, изменение источника аутентификации, BACKUP/EXPORT);</w:t>
      </w:r>
    </w:p>
    <w:p>
      <w:pPr>
        <w:numPr>
          <w:ilvl w:val="0"/>
          <w:numId w:val="1005"/>
        </w:numPr>
        <w:pStyle w:val="Compact"/>
      </w:pPr>
      <w:r>
        <w:t xml:space="preserve">риски по F-01, F-03, F-05, F-09 заведены и приняты в установленном порядке.</w:t>
      </w:r>
    </w:p>
    <w:p>
      <w:pPr>
        <w:pStyle w:val="FirstParagraph"/>
      </w:pPr>
      <w:r>
        <w:t xml:space="preserve">Без исправлений вендора по F-01, F-05, F-07, F-09 размещение данных платёжных карт и данных АС для</w:t>
      </w:r>
      <w:r>
        <w:t xml:space="preserve"> </w:t>
      </w:r>
      <w:r>
        <w:t xml:space="preserve">предоставления финансовых услуг</w:t>
      </w:r>
      <w:r>
        <w:t xml:space="preserve"> </w:t>
      </w:r>
      <w:r>
        <w:rPr>
          <w:bCs/>
          <w:b/>
        </w:rPr>
        <w:t xml:space="preserve">не рекомендуется</w:t>
      </w:r>
      <w:r>
        <w:t xml:space="preserve">.</w:t>
      </w:r>
    </w:p>
    <w:bookmarkEnd w:id="24"/>
    <w:bookmarkStart w:id="25" w:name="X6492019305b24c8e78f2a4bd802b12882812316"/>
    <w:p>
      <w:pPr>
        <w:pStyle w:val="Heading2"/>
      </w:pPr>
      <w:r>
        <w:t xml:space="preserve">6. Ограничения заключения</w:t>
      </w:r>
    </w:p>
    <w:p>
      <w:pPr>
        <w:pStyle w:val="FirstParagraph"/>
      </w:pPr>
      <w:r>
        <w:t xml:space="preserve">Заключение основано на анализе исходного кода версии 4.1.7 и проверках на изолированном стенде. Эксплуатация</w:t>
      </w:r>
      <w:r>
        <w:t xml:space="preserve"> </w:t>
      </w:r>
      <w:r>
        <w:t xml:space="preserve">уязвимостей не выполнялась; ряд направлений (внешние каталоги, JWT/OAuth2, shared-data, шифрование данных «на</w:t>
      </w:r>
      <w:r>
        <w:t xml:space="preserve"> </w:t>
      </w:r>
      <w:r>
        <w:t xml:space="preserve">покое», сторонние зависимости) исследован частично или не исследован (</w:t>
      </w:r>
      <w:r>
        <w:rPr>
          <w:rStyle w:val="VerbatimChar"/>
        </w:rPr>
        <w:t xml:space="preserve">coverage.md</w:t>
      </w:r>
      <w:r>
        <w:t xml:space="preserve">). Нормативные документы</w:t>
      </w:r>
      <w:r>
        <w:t xml:space="preserve"> </w:t>
      </w:r>
      <w:r>
        <w:t xml:space="preserve">/4/–/12/ стандарта не предоставлены — зависимые от них критерии оценены только в не зависящей от их содержания</w:t>
      </w:r>
      <w:r>
        <w:t xml:space="preserve"> </w:t>
      </w:r>
      <w:r>
        <w:t xml:space="preserve">части. Процент покрытия не следует трактовать как уровень защищённости продукта.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Приложения:</w:t>
      </w:r>
      <w:r>
        <w:t xml:space="preserve"> </w:t>
      </w:r>
      <w:r>
        <w:rPr>
          <w:rStyle w:val="VerbatimChar"/>
        </w:rPr>
        <w:t xml:space="preserve">final_report.md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requirements_matrix.md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Подготовил:</w:t>
      </w:r>
      <w:r>
        <w:t xml:space="preserve"> </w:t>
      </w:r>
      <w:r>
        <w:t xml:space="preserve">_____________________ [ФИО, должность, дата]</w:t>
      </w:r>
    </w:p>
    <w:p>
      <w:pPr>
        <w:pStyle w:val="BodyText"/>
      </w:pPr>
      <w:r>
        <w:rPr>
          <w:bCs/>
          <w:b/>
        </w:rPr>
        <w:t xml:space="preserve">Рассмотрел (владелец риска КБ):</w:t>
      </w:r>
      <w:r>
        <w:t xml:space="preserve"> </w:t>
      </w:r>
      <w:r>
        <w:t xml:space="preserve">_____________________ [ФИО, должность, дата]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�������������������� �������������������� StarRocks 4.1.7</dc:title>
  <dc:creator/>
  <cp:keywords/>
  <dcterms:created xsi:type="dcterms:W3CDTF">2026-10-30T09:51:38Z</dcterms:created>
  <dcterms:modified xsi:type="dcterms:W3CDTF">2026-10-30T09:51:38Z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