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3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How Fast Do Agents Rot? An Empirical Study of</w:t>
      </w:r>
      <w:r>
        <w:br/>
      </w:r>
      <w:r>
        <w:rPr>
          <w:b/>
          <w:bCs/>
        </w:rPr>
        <w:t xml:space="preserve">Long-Horizon Degradation in LLM Agents</w:t>
      </w:r>
    </w:p>
    <w:p>
      <w:pPr>
        <w:pStyle w:val="AbstractTitle"/>
      </w:pPr>
      <w:r>
        <w:t xml:space="preserve">Abstract</w:t>
      </w:r>
    </w:p>
    <w:p>
      <w:pPr>
        <w:pStyle w:val="Abstract"/>
      </w:pPr>
      <w:r>
        <w:t xml:space="preserve">Agent benchmarks report steadily rising success rates, yet deployed LLM agents</w:t>
      </w:r>
      <w:r>
        <w:t xml:space="preserve"> </w:t>
      </w:r>
      <w:r>
        <w:t xml:space="preserve">remain unreliable on long, multi-step tasks. We argue much of this tension is an</w:t>
      </w:r>
      <w:r>
        <w:t xml:space="preserve"> </w:t>
      </w:r>
      <w:r>
        <w:t xml:space="preserve">artifact of</w:t>
      </w:r>
      <w:r>
        <w:t xml:space="preserve"> </w:t>
      </w:r>
      <w:r>
        <w:rPr>
          <w:i/>
          <w:iCs/>
        </w:rPr>
        <w:t xml:space="preserve">horizon</w:t>
      </w:r>
      <w:r>
        <w:t xml:space="preserve">: benchmarks score agents at task lengths where success is</w:t>
      </w:r>
      <w:r>
        <w:t xml:space="preserve"> </w:t>
      </w:r>
      <w:r>
        <w:t xml:space="preserve">still high, while production demands far longer horizons. We measure the effect</w:t>
      </w:r>
      <w:r>
        <w:t xml:space="preserve"> </w:t>
      </w:r>
      <w:r>
        <w:t xml:space="preserve">directly. Across 10</w:t>
      </w:r>
      <w:r>
        <w:t xml:space="preserve">,</w:t>
      </w:r>
      <w:r>
        <w:t xml:space="preserve">664 controlled agent trajectories spanning nine models</w:t>
      </w:r>
      <w:r>
        <w:t xml:space="preserve"> </w:t>
      </w:r>
      <w:r>
        <w:t xml:space="preserve">(1.2B–671B parameters and four proprietary deployed models, across six vendor</w:t>
      </w:r>
      <w:r>
        <w:t xml:space="preserve"> </w:t>
      </w:r>
      <w:r>
        <w:t xml:space="preserve">families), four task families—including a genuinely agentic tool-use loop—five</w:t>
      </w:r>
      <w:r>
        <w:t xml:space="preserve"> </w:t>
      </w:r>
      <w:r>
        <w:t xml:space="preserve">horizons (</w:t>
      </w:r>
      <m:oMath>
        <m:r>
          <m:t>H</m:t>
        </m:r>
        <m:r>
          <m:t>​</m:t>
        </m:r>
        <m:r>
          <m:rPr>
            <m:sty m:val="p"/>
          </m:rPr>
          <m:t>∈</m:t>
        </m:r>
        <m:r>
          <m:t>​</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dependent steps), and three context regimes, we</w:t>
      </w:r>
      <w:r>
        <w:t xml:space="preserve"> </w:t>
      </w:r>
      <w:r>
        <w:t xml:space="preserve">characterize the</w:t>
      </w:r>
      <w:r>
        <w:t xml:space="preserve"> </w:t>
      </w:r>
      <w:r>
        <w:rPr>
          <w:i/>
          <w:iCs/>
        </w:rPr>
        <w:t xml:space="preserve">shape</w:t>
      </w:r>
      <w:r>
        <w:t xml:space="preserve"> </w:t>
      </w:r>
      <w:r>
        <w:t xml:space="preserve">of degradation and disentangle its cause. Task success</w:t>
      </w:r>
      <w:r>
        <w:t xml:space="preserve"> </w:t>
      </w:r>
      <w:r>
        <w:t xml:space="preserve">follows a geometric law,</w:t>
      </w:r>
      <w:r>
        <w:t xml:space="preserve"> </w:t>
      </w:r>
      <m:oMath>
        <m:r>
          <m:t>P</m:t>
        </m:r>
        <m:r>
          <m:rPr>
            <m:sty m:val="p"/>
          </m:rPr>
          <m:t>(</m:t>
        </m:r>
        <m:r>
          <m:rPr>
            <m:nor/>
            <m:sty m:val="p"/>
          </m:rPr>
          <m:t>success</m:t>
        </m:r>
        <m:r>
          <m:rPr>
            <m:sty m:val="p"/>
          </m:rPr>
          <m:t>)</m:t>
        </m:r>
        <m:r>
          <m:rPr>
            <m:sty m:val="p"/>
          </m:rPr>
          <m:t>≈</m:t>
        </m:r>
        <m:r>
          <m:t>a</m:t>
        </m:r>
        <m:r>
          <m:t> </m:t>
        </m:r>
        <m:sSup>
          <m:e>
            <m:r>
              <m:t>r</m:t>
            </m:r>
          </m:e>
          <m:sup>
            <m:r>
              <m:t>H</m:t>
            </m:r>
          </m:sup>
        </m:sSup>
      </m:oMath>
      <w:r>
        <w:t xml:space="preserve">, where</w:t>
      </w:r>
      <w:r>
        <w:t xml:space="preserve"> </w:t>
      </w:r>
      <m:oMath>
        <m:r>
          <m:t>r</m:t>
        </m:r>
      </m:oMath>
      <w:r>
        <w:t xml:space="preserve"> </w:t>
      </w:r>
      <w:r>
        <w:t xml:space="preserve">is a model- and task-specific per-step reliability: geometric is the</w:t>
      </w:r>
      <w:r>
        <w:t xml:space="preserve"> </w:t>
      </w:r>
      <w:r>
        <w:t xml:space="preserve">best-fitting shape in</w:t>
      </w:r>
      <w:r>
        <w:t xml:space="preserve"> </w:t>
      </w:r>
      <m:oMath>
        <m:r>
          <m:t>28</m:t>
        </m:r>
        <m:r>
          <m:rPr>
            <m:sty m:val="p"/>
          </m:rPr>
          <m:t>/</m:t>
        </m:r>
        <m:r>
          <m:t>36</m:t>
        </m:r>
      </m:oMath>
      <w:r>
        <w:t xml:space="preserve"> </w:t>
      </w:r>
      <w:r>
        <w:t xml:space="preserve">model</w:t>
      </w:r>
      <m:oMath>
        <m:r>
          <m:rPr>
            <m:sty m:val="p"/>
          </m:rPr>
          <m:t>×</m:t>
        </m:r>
      </m:oMath>
      <w:r>
        <w:t xml:space="preserve">task cells. Per-step reliability rises with</w:t>
      </w:r>
      <w:r>
        <w:t xml:space="preserve"> </w:t>
      </w:r>
      <w:r>
        <w:t xml:space="preserve">model scale (Pearson</w:t>
      </w:r>
      <w:r>
        <w:t xml:space="preserve"> </w:t>
      </w:r>
      <m:oMath>
        <m:r>
          <m:t>r</m:t>
        </m:r>
        <m:r>
          <m:rPr>
            <m:sty m:val="p"/>
          </m:rPr>
          <m:t>=</m:t>
        </m:r>
        <m:r>
          <m:t>0.36</m:t>
        </m:r>
      </m:oMath>
      <w:r>
        <w:t xml:space="preserve"> </w:t>
      </w:r>
      <w:r>
        <w:t xml:space="preserve">vs. </w:t>
      </w:r>
      <m:oMath>
        <m:r>
          <m:rPr>
            <m:sty m:val="p"/>
          </m:rPr>
          <m:t>log</m:t>
        </m:r>
      </m:oMath>
      <w:r>
        <w:t xml:space="preserve"> </w:t>
      </w:r>
      <w:r>
        <w:t xml:space="preserve">parameters) and saturates near</w:t>
      </w:r>
      <w:r>
        <w:t xml:space="preserve"> </w:t>
      </w:r>
      <m:oMath>
        <m:r>
          <m:t>0.7</m:t>
        </m:r>
      </m:oMath>
      <w:r>
        <w:t xml:space="preserve"> </w:t>
      </w:r>
      <w:r>
        <w:t xml:space="preserve">even</w:t>
      </w:r>
      <w:r>
        <w:t xml:space="preserve"> </w:t>
      </w:r>
      <w:r>
        <w:t xml:space="preserve">for the strongest models and deployed systems—so geometric compounding guarantees</w:t>
      </w:r>
      <w:r>
        <w:t xml:space="preserve"> </w:t>
      </w:r>
      <w:r>
        <w:t xml:space="preserve">collapse at long horizons for every model we tested. The effect is sharpest on the</w:t>
      </w:r>
      <w:r>
        <w:t xml:space="preserve"> </w:t>
      </w:r>
      <w:r>
        <w:rPr>
          <w:i/>
          <w:iCs/>
        </w:rPr>
        <w:t xml:space="preserve">agentic</w:t>
      </w:r>
      <w:r>
        <w:t xml:space="preserve"> </w:t>
      </w:r>
      <w:r>
        <w:t xml:space="preserve">task: on a multi-hop tool-use loop, every model—including GPT-4o-mini,</w:t>
      </w:r>
      <w:r>
        <w:t xml:space="preserve"> </w:t>
      </w:r>
      <w:r>
        <w:t xml:space="preserve">Gemini, and Claude—falls from</w:t>
      </w:r>
      <w:r>
        <w:t xml:space="preserve"> </w:t>
      </w:r>
      <m:oMath>
        <m:r>
          <m:rPr>
            <m:sty m:val="p"/>
          </m:rPr>
          <m:t>∼</m:t>
        </m:r>
      </m:oMath>
      <w:r>
        <w:t xml:space="preserve">1.0 success at</w:t>
      </w:r>
      <w:r>
        <w:t xml:space="preserve"> </w:t>
      </w:r>
      <m:oMath>
        <m:r>
          <m:t>H</m:t>
        </m:r>
        <m:r>
          <m:rPr>
            <m:sty m:val="p"/>
          </m:rPr>
          <m:t>=</m:t>
        </m:r>
        <m:r>
          <m:t>2</m:t>
        </m:r>
      </m:oMath>
      <w:r>
        <w:t xml:space="preserve"> </w:t>
      </w:r>
      <w:r>
        <w:t xml:space="preserve">to near zero by</w:t>
      </w:r>
      <w:r>
        <w:t xml:space="preserve"> </w:t>
      </w:r>
      <m:oMath>
        <m:r>
          <m:t>H</m:t>
        </m:r>
        <m:r>
          <m:rPr>
            <m:sty m:val="p"/>
          </m:rPr>
          <m:t>=</m:t>
        </m:r>
        <m:r>
          <m:t>16</m:t>
        </m:r>
      </m:oMath>
      <w:r>
        <w:t xml:space="preserve">.</w:t>
      </w:r>
      <w:r>
        <w:t xml:space="preserve"> </w:t>
      </w:r>
      <w:r>
        <w:t xml:space="preserve">Degradation also</w:t>
      </w:r>
      <w:r>
        <w:t xml:space="preserve"> </w:t>
      </w:r>
      <w:r>
        <w:rPr>
          <w:i/>
          <w:iCs/>
        </w:rPr>
        <w:t xml:space="preserve">accelerates</w:t>
      </w:r>
      <w:r>
        <w:t xml:space="preserve"> </w:t>
      </w:r>
      <w:r>
        <w:t xml:space="preserve">within a trajectory (per-step accuracy</w:t>
      </w:r>
      <w:r>
        <w:t xml:space="preserve"> </w:t>
      </w:r>
      <m:oMath>
        <m:r>
          <m:t>0.58</m:t>
        </m:r>
        <m:r>
          <m:rPr>
            <m:sty m:val="p"/>
          </m:rPr>
          <m:t>→</m:t>
        </m:r>
        <m:r>
          <m:t>0.44</m:t>
        </m:r>
      </m:oMath>
      <w:r>
        <w:t xml:space="preserve"> </w:t>
      </w:r>
      <w:r>
        <w:t xml:space="preserve">from the first to the last third). Disentangling step-count from context-length,</w:t>
      </w:r>
      <w:r>
        <w:t xml:space="preserve"> </w:t>
      </w:r>
      <w:r>
        <w:t xml:space="preserve">the rot is intrinsic to executing many dependent steps, not raw context length:</w:t>
      </w:r>
      <w:r>
        <w:t xml:space="preserve"> </w:t>
      </w:r>
      <w:r>
        <w:t xml:space="preserve">bounding the context window</w:t>
      </w:r>
      <w:r>
        <w:t xml:space="preserve"> </w:t>
      </w:r>
      <w:r>
        <w:rPr>
          <w:i/>
          <w:iCs/>
        </w:rPr>
        <w:t xml:space="preserve">steepens</w:t>
      </w:r>
      <w:r>
        <w:t xml:space="preserve"> </w:t>
      </w:r>
      <w:r>
        <w:t xml:space="preserve">decay (</w:t>
      </w:r>
      <m:oMath>
        <m:r>
          <m:t>p</m:t>
        </m:r>
        <m:r>
          <m:rPr>
            <m:sty m:val="p"/>
          </m:rPr>
          <m:t>=</m:t>
        </m:r>
        <m:r>
          <m:t>3</m:t>
        </m:r>
        <m:r>
          <m:rPr>
            <m:sty m:val="p"/>
          </m:rPr>
          <m:t>×</m:t>
        </m:r>
        <m:sSup>
          <m:e>
            <m:r>
              <m:t>10</m:t>
            </m:r>
          </m:e>
          <m:sup>
            <m:r>
              <m:rPr>
                <m:sty m:val="p"/>
              </m:rPr>
              <m:t>−</m:t>
            </m:r>
            <m:r>
              <m:t>6</m:t>
            </m:r>
          </m:sup>
        </m:sSup>
      </m:oMath>
      <w:r>
        <w:t xml:space="preserve">), the opposite</w:t>
      </w:r>
      <w:r>
        <w:t xml:space="preserve"> </w:t>
      </w:r>
      <w:r>
        <w:t xml:space="preserve">of a lost-in-the-middle prediction, so naive context truncation backfires. Projecting</w:t>
      </w:r>
      <w:r>
        <w:t xml:space="preserve"> </w:t>
      </w:r>
      <w:r>
        <w:t xml:space="preserve">measured reliability onto benchmark horizons shows the gap: mean projected success</w:t>
      </w:r>
      <w:r>
        <w:t xml:space="preserve"> </w:t>
      </w:r>
      <w:r>
        <w:t xml:space="preserve">falls from</w:t>
      </w:r>
      <w:r>
        <w:t xml:space="preserve"> </w:t>
      </w:r>
      <m:oMath>
        <m:r>
          <m:t>0.42</m:t>
        </m:r>
      </m:oMath>
      <w:r>
        <w:t xml:space="preserve"> </w:t>
      </w:r>
      <w:r>
        <w:t xml:space="preserve">at GAIA-length tasks to</w:t>
      </w:r>
      <w:r>
        <w:t xml:space="preserve"> </w:t>
      </w:r>
      <m:oMath>
        <m:r>
          <m:t>0.30</m:t>
        </m:r>
      </m:oMath>
      <w:r>
        <w:t xml:space="preserve"> </w:t>
      </w:r>
      <w:r>
        <w:t xml:space="preserve">at SWE-bench-length to</w:t>
      </w:r>
      <w:r>
        <w:t xml:space="preserve"> </w:t>
      </w:r>
      <m:oMath>
        <m:r>
          <m:t>0.24</m:t>
        </m:r>
      </m:oMath>
      <w:r>
        <w:t xml:space="preserve"> </w:t>
      </w:r>
      <w:r>
        <w:t xml:space="preserve">at</w:t>
      </w:r>
      <w:r>
        <w:t xml:space="preserve"> </w:t>
      </w:r>
      <w:r>
        <w:t xml:space="preserve">100-step production horizons. We release all code, prompts, seeds, and raw</w:t>
      </w:r>
      <w:r>
        <w:t xml:space="preserve"> </w:t>
      </w:r>
      <w:r>
        <w:t xml:space="preserve">trajectories.</w:t>
      </w:r>
    </w:p>
    <w:bookmarkStart w:id="9" w:name="introduction"/>
    <w:p>
      <w:pPr>
        <w:pStyle w:val="Heading1"/>
      </w:pPr>
      <w:r>
        <w:t xml:space="preserve">Introduction</w:t>
      </w:r>
    </w:p>
    <w:p>
      <w:pPr>
        <w:pStyle w:val="FirstParagraph"/>
      </w:pPr>
      <w:r>
        <w:t xml:space="preserve">Large language model (LLM) agents—models that perceive context, plan, call tools,</w:t>
      </w:r>
      <w:r>
        <w:t xml:space="preserve"> </w:t>
      </w:r>
      <w:r>
        <w:t xml:space="preserve">and update state in a loop—now score highly on a fast-growing suite of benchmarks</w:t>
      </w:r>
      <w:r>
        <w:t xml:space="preserve"> </w:t>
      </w:r>
      <w:r>
        <w:t xml:space="preserve">(Jimenez et al. 2024; Yao et al. 2024;</w:t>
      </w:r>
      <w:r>
        <w:t xml:space="preserve"> </w:t>
      </w:r>
      <w:r>
        <w:t xml:space="preserve">Zhou et al.</w:t>
      </w:r>
      <w:r>
        <w:t xml:space="preserve"> </w:t>
      </w:r>
      <w:r>
        <w:t xml:space="preserve">2023; Mialon et al. 2023)</w:t>
      </w:r>
      <w:r>
        <w:t xml:space="preserve">, and the</w:t>
      </w:r>
      <w:r>
        <w:t xml:space="preserve"> </w:t>
      </w:r>
      <w:r>
        <w:t xml:space="preserve">time horizon of tasks they can complete has been doubling rapidly</w:t>
      </w:r>
      <w:r>
        <w:t xml:space="preserve"> </w:t>
      </w:r>
      <w:r>
        <w:t xml:space="preserve">(</w:t>
      </w:r>
      <w:r>
        <w:t xml:space="preserve">Kwa et al.</w:t>
      </w:r>
      <w:r>
        <w:t xml:space="preserve"> </w:t>
      </w:r>
      <w:r>
        <w:t xml:space="preserve">2025)</w:t>
      </w:r>
      <w:r>
        <w:t xml:space="preserve">. Yet practitioners who deploy agents report a stubborn gap: agents</w:t>
      </w:r>
      <w:r>
        <w:t xml:space="preserve"> </w:t>
      </w:r>
      <w:r>
        <w:t xml:space="preserve">that pass benchmark tasks remain unreliable on the long, open-ended workflows</w:t>
      </w:r>
      <w:r>
        <w:t xml:space="preserve"> </w:t>
      </w:r>
      <w:r>
        <w:t xml:space="preserve">production demands.</w:t>
      </w:r>
    </w:p>
    <w:p>
      <w:pPr>
        <w:pStyle w:val="BodyText"/>
      </w:pPr>
      <w:r>
        <w:t xml:space="preserve">We take a specific position on why. A task has a</w:t>
      </w:r>
      <w:r>
        <w:t xml:space="preserve"> </w:t>
      </w:r>
      <w:r>
        <w:rPr>
          <w:i/>
          <w:iCs/>
        </w:rPr>
        <w:t xml:space="preserve">horizon</w:t>
      </w:r>
      <w:r>
        <w:t xml:space="preserve">: the number of</w:t>
      </w:r>
      <w:r>
        <w:t xml:space="preserve"> </w:t>
      </w:r>
      <w:r>
        <w:t xml:space="preserve">dependent steps an agent must execute correctly. If each step succeeds independently</w:t>
      </w:r>
      <w:r>
        <w:t xml:space="preserve"> </w:t>
      </w:r>
      <w:r>
        <w:t xml:space="preserve">with probability</w:t>
      </w:r>
      <w:r>
        <w:t xml:space="preserve"> </w:t>
      </w:r>
      <m:oMath>
        <m:r>
          <m:t>r</m:t>
        </m:r>
        <m:r>
          <m:rPr>
            <m:sty m:val="p"/>
          </m:rPr>
          <m:t>&lt;</m:t>
        </m:r>
        <m:r>
          <m:t>1</m:t>
        </m:r>
      </m:oMath>
      <w:r>
        <w:t xml:space="preserve">, a task of horizon</w:t>
      </w:r>
      <w:r>
        <w:t xml:space="preserve"> </w:t>
      </w:r>
      <m:oMath>
        <m:r>
          <m:t>H</m:t>
        </m:r>
      </m:oMath>
      <w:r>
        <w:t xml:space="preserve"> </w:t>
      </w:r>
      <w:r>
        <w:t xml:space="preserve">succeeds with probability</w:t>
      </w:r>
      <w:r>
        <w:t xml:space="preserve"> </w:t>
      </w:r>
      <m:oMath>
        <m:r>
          <m:rPr>
            <m:sty m:val="p"/>
          </m:rPr>
          <m:t>≈</m:t>
        </m:r>
        <m:sSup>
          <m:e>
            <m:r>
              <m:t>r</m:t>
            </m:r>
          </m:e>
          <m:sup>
            <m:r>
              <m:t>H</m:t>
            </m:r>
          </m:sup>
        </m:sSup>
      </m:oMath>
      <w:r>
        <w:t xml:space="preserve">—close to</w:t>
      </w:r>
      <w:r>
        <w:t xml:space="preserve"> </w:t>
      </w:r>
      <m:oMath>
        <m:r>
          <m:t>r</m:t>
        </m:r>
      </m:oMath>
      <w:r>
        <w:t xml:space="preserve"> </w:t>
      </w:r>
      <w:r>
        <w:t xml:space="preserve">for short tasks but collapsing</w:t>
      </w:r>
      <w:r>
        <w:t xml:space="preserve"> </w:t>
      </w:r>
      <w:r>
        <w:t xml:space="preserve">geometrically as</w:t>
      </w:r>
      <w:r>
        <w:t xml:space="preserve"> </w:t>
      </w:r>
      <m:oMath>
        <m:r>
          <m:t>H</m:t>
        </m:r>
      </m:oMath>
      <w:r>
        <w:t xml:space="preserve"> </w:t>
      </w:r>
      <w:r>
        <w:t xml:space="preserve">grows. Benchmarks predominantly sample short-to-medium</w:t>
      </w:r>
      <w:r>
        <w:t xml:space="preserve"> </w:t>
      </w:r>
      <w:r>
        <w:t xml:space="preserve">horizons; production agents operate an order of magnitude longer. If degradation is</w:t>
      </w:r>
      <w:r>
        <w:t xml:space="preserve"> </w:t>
      </w:r>
      <w:r>
        <w:t xml:space="preserve">geometric, then</w:t>
      </w:r>
      <w:r>
        <w:t xml:space="preserve"> </w:t>
      </w:r>
      <w:r>
        <w:rPr>
          <w:i/>
          <w:iCs/>
        </w:rPr>
        <w:t xml:space="preserve">benchmarks sample the flat top of the decay curve</w:t>
      </w:r>
      <w:r>
        <w:t xml:space="preserve">, and the</w:t>
      </w:r>
      <w:r>
        <w:t xml:space="preserve"> </w:t>
      </w:r>
      <w:r>
        <w:t xml:space="preserve">production gap is an expected consequence of horizon rather than noise.</w:t>
      </w:r>
    </w:p>
    <w:p>
      <w:pPr>
        <w:pStyle w:val="BodyText"/>
      </w:pPr>
      <w:r>
        <w:t xml:space="preserve">We test this empirically, characterizing the</w:t>
      </w:r>
      <w:r>
        <w:t xml:space="preserve"> </w:t>
      </w:r>
      <w:r>
        <w:rPr>
          <w:i/>
          <w:iCs/>
        </w:rPr>
        <w:t xml:space="preserve">law</w:t>
      </w:r>
      <w:r>
        <w:t xml:space="preserve"> </w:t>
      </w:r>
      <w:r>
        <w:t xml:space="preserve">(the functional form of</w:t>
      </w:r>
      <w:r>
        <w:t xml:space="preserve"> </w:t>
      </w:r>
      <w:r>
        <w:t xml:space="preserve">success vs. horizon) and</w:t>
      </w:r>
      <w:r>
        <w:t xml:space="preserve"> </w:t>
      </w:r>
      <w:r>
        <w:rPr>
          <w:i/>
          <w:iCs/>
        </w:rPr>
        <w:t xml:space="preserve">disentangling its cause</w:t>
      </w:r>
      <w:r>
        <w:t xml:space="preserve"> </w:t>
      </w:r>
      <w:r>
        <w:t xml:space="preserve">(step count vs. context</w:t>
      </w:r>
      <w:r>
        <w:t xml:space="preserve"> </w:t>
      </w:r>
      <w:r>
        <w:t xml:space="preserve">length). Contributions:</w:t>
      </w:r>
    </w:p>
    <w:p>
      <w:pPr>
        <w:numPr>
          <w:ilvl w:val="0"/>
          <w:numId w:val="1001"/>
        </w:numPr>
      </w:pPr>
      <w:r>
        <w:rPr>
          <w:b/>
          <w:bCs/>
        </w:rPr>
        <w:t xml:space="preserve">A measured law of horizon decay.</w:t>
      </w:r>
      <w:r>
        <w:t xml:space="preserve"> </w:t>
      </w:r>
      <w:r>
        <w:t xml:space="preserve">On controlled, oracle-verifiable agent</w:t>
      </w:r>
      <w:r>
        <w:t xml:space="preserve"> </w:t>
      </w:r>
      <w:r>
        <w:t xml:space="preserve">tasks—including a genuinely agentic tool-use loop—success follows a geometric law</w:t>
      </w:r>
      <w:r>
        <w:t xml:space="preserve"> </w:t>
      </w:r>
      <m:oMath>
        <m:r>
          <m:t>P</m:t>
        </m:r>
        <m:r>
          <m:rPr>
            <m:sty m:val="p"/>
          </m:rPr>
          <m:t>≈</m:t>
        </m:r>
        <m:r>
          <m:t>a</m:t>
        </m:r>
        <m:r>
          <m:t> </m:t>
        </m:r>
        <m:sSup>
          <m:e>
            <m:r>
              <m:t>r</m:t>
            </m:r>
          </m:e>
          <m:sup>
            <m:r>
              <m:t>H</m:t>
            </m:r>
          </m:sup>
        </m:sSup>
      </m:oMath>
      <w:r>
        <w:t xml:space="preserve"> </w:t>
      </w:r>
      <w:r>
        <w:t xml:space="preserve">(best fit in</w:t>
      </w:r>
      <w:r>
        <w:t xml:space="preserve"> </w:t>
      </w:r>
      <m:oMath>
        <m:r>
          <m:t>28</m:t>
        </m:r>
        <m:r>
          <m:rPr>
            <m:sty m:val="p"/>
          </m:rPr>
          <m:t>/</m:t>
        </m:r>
        <m:r>
          <m:t>36</m:t>
        </m:r>
      </m:oMath>
      <w:r>
        <w:t xml:space="preserve"> </w:t>
      </w:r>
      <w:r>
        <w:t xml:space="preserve">model</w:t>
      </w:r>
      <m:oMath>
        <m:r>
          <m:rPr>
            <m:sty m:val="p"/>
          </m:rPr>
          <m:t>×</m:t>
        </m:r>
      </m:oMath>
      <w:r>
        <w:t xml:space="preserve">task cells;</w:t>
      </w:r>
      <w:r>
        <w:t xml:space="preserve"> </w:t>
      </w:r>
      <w:r>
        <w:t xml:space="preserve">§</w:t>
      </w:r>
      <w:hyperlink w:anchor="sec:law">
        <w:r>
          <w:rPr>
            <w:rStyle w:val="Hyperlink"/>
          </w:rPr>
          <w:t xml:space="preserve">4.1</w:t>
        </w:r>
      </w:hyperlink>
      <w:r>
        <w:t xml:space="preserve">). The single quantity</w:t>
      </w:r>
      <w:r>
        <w:t xml:space="preserve"> </w:t>
      </w:r>
      <m:oMath>
        <m:r>
          <m:t>r</m:t>
        </m:r>
      </m:oMath>
      <w:r>
        <w:t xml:space="preserve"> </w:t>
      </w:r>
      <w:r>
        <w:t xml:space="preserve">governs it.</w:t>
      </w:r>
    </w:p>
    <w:p>
      <w:pPr>
        <w:numPr>
          <w:ilvl w:val="0"/>
          <w:numId w:val="1001"/>
        </w:numPr>
      </w:pPr>
      <w:r>
        <w:rPr>
          <w:b/>
          <w:bCs/>
        </w:rPr>
        <w:t xml:space="preserve">The effect holds for deployed models and real agent loops.</w:t>
      </w:r>
      <w:r>
        <w:t xml:space="preserve"> </w:t>
      </w:r>
      <w:r>
        <w:t xml:space="preserve">Nine models</w:t>
      </w:r>
      <w:r>
        <w:t xml:space="preserve"> </w:t>
      </w:r>
      <w:r>
        <w:t xml:space="preserve">including GPT-4o-mini, Gemini, and Claude all decay; on the agentic task they collapse</w:t>
      </w:r>
      <w:r>
        <w:t xml:space="preserve"> </w:t>
      </w:r>
      <w:r>
        <w:t xml:space="preserve">from</w:t>
      </w:r>
      <w:r>
        <w:t xml:space="preserve"> </w:t>
      </w:r>
      <m:oMath>
        <m:r>
          <m:rPr>
            <m:sty m:val="p"/>
          </m:rPr>
          <m:t>∼</m:t>
        </m:r>
      </m:oMath>
      <w:r>
        <w:t xml:space="preserve">1.0 to near zero by</w:t>
      </w:r>
      <w:r>
        <w:t xml:space="preserve"> </w:t>
      </w:r>
      <m:oMath>
        <m:r>
          <m:t>H</m:t>
        </m:r>
        <m:r>
          <m:rPr>
            <m:sty m:val="p"/>
          </m:rPr>
          <m:t>=</m:t>
        </m:r>
        <m:r>
          <m:t>16</m:t>
        </m:r>
      </m:oMath>
      <w:r>
        <w:t xml:space="preserve"> </w:t>
      </w:r>
      <w:r>
        <w:t xml:space="preserve">(§</w:t>
      </w:r>
      <w:hyperlink w:anchor="sec:agentic">
        <w:r>
          <w:rPr>
            <w:rStyle w:val="Hyperlink"/>
          </w:rPr>
          <w:t xml:space="preserve">4.2</w:t>
        </w:r>
      </w:hyperlink>
      <w:r>
        <w:t xml:space="preserve">).</w:t>
      </w:r>
    </w:p>
    <w:p>
      <w:pPr>
        <w:numPr>
          <w:ilvl w:val="0"/>
          <w:numId w:val="1001"/>
        </w:numPr>
      </w:pPr>
      <w:r>
        <w:rPr>
          <w:b/>
          <w:bCs/>
        </w:rPr>
        <w:t xml:space="preserve">Degradation accelerates</w:t>
      </w:r>
      <w:r>
        <w:t xml:space="preserve"> </w:t>
      </w:r>
      <w:r>
        <w:t xml:space="preserve">within a trajectory (</w:t>
      </w:r>
      <m:oMath>
        <m:r>
          <m:t>0.58</m:t>
        </m:r>
        <m:r>
          <m:rPr>
            <m:sty m:val="p"/>
          </m:rPr>
          <m:t>→</m:t>
        </m:r>
        <m:r>
          <m:t>0.44</m:t>
        </m:r>
      </m:oMath>
      <w:r>
        <w:t xml:space="preserve"> </w:t>
      </w:r>
      <w:r>
        <w:t xml:space="preserve">per-step</w:t>
      </w:r>
      <w:r>
        <w:t xml:space="preserve"> </w:t>
      </w:r>
      <w:r>
        <w:t xml:space="preserve">accuracy), a super-geometric tail (§</w:t>
      </w:r>
      <w:hyperlink w:anchor="sec:accel">
        <w:r>
          <w:rPr>
            <w:rStyle w:val="Hyperlink"/>
          </w:rPr>
          <w:t xml:space="preserve">4.4</w:t>
        </w:r>
      </w:hyperlink>
      <w:r>
        <w:t xml:space="preserve">).</w:t>
      </w:r>
    </w:p>
    <w:p>
      <w:pPr>
        <w:numPr>
          <w:ilvl w:val="0"/>
          <w:numId w:val="1001"/>
        </w:numPr>
      </w:pPr>
      <w:r>
        <w:rPr>
          <w:b/>
          <w:bCs/>
        </w:rPr>
        <w:t xml:space="preserve">Cause: step count, not context length.</w:t>
      </w:r>
      <w:r>
        <w:t xml:space="preserve"> </w:t>
      </w:r>
      <w:r>
        <w:t xml:space="preserve">Bounding context</w:t>
      </w:r>
      <w:r>
        <w:t xml:space="preserve"> </w:t>
      </w:r>
      <w:r>
        <w:rPr>
          <w:i/>
          <w:iCs/>
        </w:rPr>
        <w:t xml:space="preserve">steepens</w:t>
      </w:r>
      <w:r>
        <w:t xml:space="preserve"> </w:t>
      </w:r>
      <w:r>
        <w:t xml:space="preserve">decay; the rot is intrinsic to many dependent steps, and naive context truncation</w:t>
      </w:r>
      <w:r>
        <w:t xml:space="preserve"> </w:t>
      </w:r>
      <w:r>
        <w:t xml:space="preserve">backfires (§</w:t>
      </w:r>
      <w:hyperlink w:anchor="sec:cause">
        <w:r>
          <w:rPr>
            <w:rStyle w:val="Hyperlink"/>
          </w:rPr>
          <w:t xml:space="preserve">4.5</w:t>
        </w:r>
      </w:hyperlink>
      <w:r>
        <w:t xml:space="preserve">).</w:t>
      </w:r>
    </w:p>
    <w:p>
      <w:pPr>
        <w:numPr>
          <w:ilvl w:val="0"/>
          <w:numId w:val="1001"/>
        </w:numPr>
      </w:pPr>
      <w:r>
        <w:rPr>
          <w:b/>
          <w:bCs/>
        </w:rPr>
        <w:t xml:space="preserve">The benchmark gap, quantified</w:t>
      </w:r>
      <w:r>
        <w:t xml:space="preserve"> </w:t>
      </w:r>
      <w:r>
        <w:t xml:space="preserve">(§</w:t>
      </w:r>
      <w:hyperlink w:anchor="sec:gap">
        <w:r>
          <w:rPr>
            <w:rStyle w:val="Hyperlink"/>
          </w:rPr>
          <w:t xml:space="preserve">4.7</w:t>
        </w:r>
      </w:hyperlink>
      <w:r>
        <w:t xml:space="preserve">).</w:t>
      </w:r>
    </w:p>
    <w:p>
      <w:pPr>
        <w:pStyle w:val="FirstParagraph"/>
      </w:pPr>
      <w:r>
        <w:t xml:space="preserve">The study is deliberately reproducible: synthetic tasks with exact oracles (no</w:t>
      </w:r>
      <w:r>
        <w:t xml:space="preserve"> </w:t>
      </w:r>
      <w:r>
        <w:t xml:space="preserve">LLM-judge noise), nine public/deployed models, recorded seeds, and a released dataset.</w:t>
      </w:r>
      <w:r>
        <w:t xml:space="preserve"> </w:t>
      </w:r>
      <w:r>
        <w:t xml:space="preserve">Our novelty over prior reports that agents degrade with length</w:t>
      </w:r>
      <w:r>
        <w:t xml:space="preserve"> </w:t>
      </w:r>
      <w:r>
        <w:t xml:space="preserve">(</w:t>
      </w:r>
      <w:r>
        <w:t xml:space="preserve">Kwa et al.</w:t>
      </w:r>
      <w:r>
        <w:t xml:space="preserve"> </w:t>
      </w:r>
      <w:r>
        <w:t xml:space="preserve">2025; Laban et al. 2025)</w:t>
      </w:r>
      <w:r>
        <w:t xml:space="preserve"> </w:t>
      </w:r>
      <w:r>
        <w:t xml:space="preserve">is the</w:t>
      </w:r>
      <w:r>
        <w:t xml:space="preserve"> </w:t>
      </w:r>
      <w:r>
        <w:rPr>
          <w:i/>
          <w:iCs/>
        </w:rPr>
        <w:t xml:space="preserve">controlled disentangling</w:t>
      </w:r>
      <w:r>
        <w:t xml:space="preserve"> </w:t>
      </w:r>
      <w:r>
        <w:t xml:space="preserve">of step-count from</w:t>
      </w:r>
      <w:r>
        <w:t xml:space="preserve"> </w:t>
      </w:r>
      <w:r>
        <w:t xml:space="preserve">context-length and the</w:t>
      </w:r>
      <w:r>
        <w:t xml:space="preserve"> </w:t>
      </w:r>
      <w:r>
        <w:rPr>
          <w:i/>
          <w:iCs/>
        </w:rPr>
        <w:t xml:space="preserve">geometric-law</w:t>
      </w:r>
      <w:r>
        <w:t xml:space="preserve"> </w:t>
      </w:r>
      <w:r>
        <w:t xml:space="preserve">characterization with a directly measured</w:t>
      </w:r>
      <w:r>
        <w:t xml:space="preserve"> </w:t>
      </w:r>
      <w:r>
        <w:t xml:space="preserve">per-step reliability.</w:t>
      </w:r>
    </w:p>
    <w:bookmarkEnd w:id="9"/>
    <w:bookmarkStart w:id="10" w:name="related-work"/>
    <w:p>
      <w:pPr>
        <w:pStyle w:val="Heading1"/>
      </w:pPr>
      <w:r>
        <w:t xml:space="preserve">Related Work</w:t>
      </w:r>
    </w:p>
    <w:p>
      <w:pPr>
        <w:pStyle w:val="FirstParagraph"/>
      </w:pPr>
      <w:r>
        <w:rPr>
          <w:b/>
          <w:bCs/>
        </w:rPr>
        <w:t xml:space="preserve">Agent benchmarks</w:t>
      </w:r>
      <w:r>
        <w:t xml:space="preserve"> </w:t>
      </w:r>
      <w:r>
        <w:t xml:space="preserve">evaluate agents on software issues</w:t>
      </w:r>
      <w:r>
        <w:t xml:space="preserve"> </w:t>
      </w:r>
      <w:r>
        <w:t xml:space="preserve">(Jimenez et al. 2024)</w:t>
      </w:r>
      <w:r>
        <w:t xml:space="preserve">, tool-and-user interaction</w:t>
      </w:r>
      <w:r>
        <w:t xml:space="preserve"> </w:t>
      </w:r>
      <w:r>
        <w:t xml:space="preserve">(Yao et al. 2024;</w:t>
      </w:r>
      <w:r>
        <w:t xml:space="preserve"> </w:t>
      </w:r>
      <w:r>
        <w:t xml:space="preserve">Barres et al.</w:t>
      </w:r>
      <w:r>
        <w:t xml:space="preserve"> </w:t>
      </w:r>
      <w:r>
        <w:t xml:space="preserve">2025)</w:t>
      </w:r>
      <w:r>
        <w:t xml:space="preserve">, web navigation</w:t>
      </w:r>
      <w:r>
        <w:t xml:space="preserve"> </w:t>
      </w:r>
      <w:r>
        <w:t xml:space="preserve">(</w:t>
      </w:r>
      <w:r>
        <w:t xml:space="preserve">Zhou et al.</w:t>
      </w:r>
      <w:r>
        <w:t xml:space="preserve"> </w:t>
      </w:r>
      <w:r>
        <w:t xml:space="preserve">2023;</w:t>
      </w:r>
      <w:r>
        <w:t xml:space="preserve"> </w:t>
      </w:r>
      <w:r>
        <w:t xml:space="preserve">Deng et al.</w:t>
      </w:r>
      <w:r>
        <w:t xml:space="preserve"> </w:t>
      </w:r>
      <w:r>
        <w:t xml:space="preserve">2023)</w:t>
      </w:r>
      <w:r>
        <w:t xml:space="preserve">, general assistance</w:t>
      </w:r>
      <w:r>
        <w:t xml:space="preserve"> </w:t>
      </w:r>
      <w:r>
        <w:t xml:space="preserve">(Mialon et al. 2023)</w:t>
      </w:r>
      <w:r>
        <w:t xml:space="preserve">,</w:t>
      </w:r>
      <w:r>
        <w:t xml:space="preserve"> </w:t>
      </w:r>
      <w:r>
        <w:t xml:space="preserve">OS/app control</w:t>
      </w:r>
      <w:r>
        <w:t xml:space="preserve"> </w:t>
      </w:r>
      <w:r>
        <w:t xml:space="preserve">(</w:t>
      </w:r>
      <w:r>
        <w:t xml:space="preserve">Xie et al.</w:t>
      </w:r>
      <w:r>
        <w:t xml:space="preserve"> </w:t>
      </w:r>
      <w:r>
        <w:t xml:space="preserve">2024;</w:t>
      </w:r>
      <w:r>
        <w:t xml:space="preserve"> </w:t>
      </w:r>
      <w:r>
        <w:t xml:space="preserve">Trivedi et al.</w:t>
      </w:r>
      <w:r>
        <w:t xml:space="preserve"> </w:t>
      </w:r>
      <w:r>
        <w:t xml:space="preserve">2024)</w:t>
      </w:r>
      <w:r>
        <w:t xml:space="preserve">, function calling</w:t>
      </w:r>
      <w:r>
        <w:t xml:space="preserve"> </w:t>
      </w:r>
      <w:r>
        <w:t xml:space="preserve">(</w:t>
      </w:r>
      <w:r>
        <w:t xml:space="preserve">Patil et al.</w:t>
      </w:r>
      <w:r>
        <w:t xml:space="preserve"> </w:t>
      </w:r>
      <w:r>
        <w:t xml:space="preserve">2025)</w:t>
      </w:r>
      <w:r>
        <w:t xml:space="preserve">, multi-environment suites</w:t>
      </w:r>
      <w:r>
        <w:t xml:space="preserve"> </w:t>
      </w:r>
      <w:r>
        <w:t xml:space="preserve">(</w:t>
      </w:r>
      <w:r>
        <w:t xml:space="preserve">X. Liu et al.</w:t>
      </w:r>
      <w:r>
        <w:t xml:space="preserve"> </w:t>
      </w:r>
      <w:r>
        <w:t xml:space="preserve">2024)</w:t>
      </w:r>
      <w:r>
        <w:t xml:space="preserve">, and company</w:t>
      </w:r>
      <w:r>
        <w:t xml:space="preserve"> </w:t>
      </w:r>
      <w:r>
        <w:t xml:space="preserve">workflows</w:t>
      </w:r>
      <w:r>
        <w:t xml:space="preserve"> </w:t>
      </w:r>
      <w:r>
        <w:t xml:space="preserve">(</w:t>
      </w:r>
      <w:r>
        <w:t xml:space="preserve">Xu et al.</w:t>
      </w:r>
      <w:r>
        <w:t xml:space="preserve"> </w:t>
      </w:r>
      <w:r>
        <w:t xml:space="preserve">2024)</w:t>
      </w:r>
      <w:r>
        <w:t xml:space="preserve">. They report aggregate single-attempt success and</w:t>
      </w:r>
      <w:r>
        <w:t xml:space="preserve"> </w:t>
      </w:r>
      <w:r>
        <w:t xml:space="preserve">span short to very long horizons, but rarely a horizon-resolved decay curve.</w:t>
      </w:r>
      <w:r>
        <w:t xml:space="preserve"> </w:t>
      </w:r>
      <w:r>
        <w:t xml:space="preserve">Kwa et al.</w:t>
      </w:r>
      <w:r>
        <w:t xml:space="preserve"> </w:t>
      </w:r>
      <w:r>
        <w:t xml:space="preserve">(2025)</w:t>
      </w:r>
      <w:r>
        <w:t xml:space="preserve"> </w:t>
      </w:r>
      <w:r>
        <w:t xml:space="preserve">track the</w:t>
      </w:r>
      <w:r>
        <w:t xml:space="preserve"> </w:t>
      </w:r>
      <w:r>
        <w:rPr>
          <w:i/>
          <w:iCs/>
        </w:rPr>
        <w:t xml:space="preserve">time horizon</w:t>
      </w:r>
      <w:r>
        <w:t xml:space="preserve"> </w:t>
      </w:r>
      <w:r>
        <w:t xml:space="preserve">of completable tasks across model</w:t>
      </w:r>
      <w:r>
        <w:t xml:space="preserve"> </w:t>
      </w:r>
      <w:r>
        <w:t xml:space="preserve">generations; we fix the models and resolve success</w:t>
      </w:r>
      <w:r>
        <w:t xml:space="preserve"> </w:t>
      </w:r>
      <w:r>
        <w:rPr>
          <w:i/>
          <w:iCs/>
        </w:rPr>
        <w:t xml:space="preserve">against</w:t>
      </w:r>
      <w:r>
        <w:t xml:space="preserve"> </w:t>
      </w:r>
      <w:r>
        <w:t xml:space="preserve">horizon in a</w:t>
      </w:r>
      <w:r>
        <w:t xml:space="preserve"> </w:t>
      </w:r>
      <w:r>
        <w:t xml:space="preserve">controlled environment.</w:t>
      </w:r>
    </w:p>
    <w:p>
      <w:pPr>
        <w:pStyle w:val="BodyText"/>
      </w:pPr>
      <w:r>
        <w:rPr>
          <w:b/>
          <w:bCs/>
        </w:rPr>
        <w:t xml:space="preserve">Evaluation validity and reliability.</w:t>
      </w:r>
      <w:r>
        <w:t xml:space="preserve"> </w:t>
      </w:r>
      <w:r>
        <w:t xml:space="preserve">Kapoor et al. (2024)</w:t>
      </w:r>
      <w:r>
        <w:t xml:space="preserve"> </w:t>
      </w:r>
      <w:r>
        <w:t xml:space="preserve">document</w:t>
      </w:r>
      <w:r>
        <w:t xml:space="preserve"> </w:t>
      </w:r>
      <w:r>
        <w:t xml:space="preserve">cost-blindness and evaluation shortcomings;</w:t>
      </w:r>
      <w:r>
        <w:t xml:space="preserve"> </w:t>
      </w:r>
      <w:r>
        <w:t xml:space="preserve">Zhu et al.</w:t>
      </w:r>
      <w:r>
        <w:t xml:space="preserve"> </w:t>
      </w:r>
      <w:r>
        <w:t xml:space="preserve">(2025)</w:t>
      </w:r>
      <w:r>
        <w:t xml:space="preserve"> </w:t>
      </w:r>
      <w:r>
        <w:t xml:space="preserve">establish best practices</w:t>
      </w:r>
      <w:r>
        <w:t xml:space="preserve"> </w:t>
      </w:r>
      <w:r>
        <w:t xml:space="preserve">for rigorous agentic benchmarks; both motivate horizon-aware, reliability-oriented</w:t>
      </w:r>
      <w:r>
        <w:t xml:space="preserve"> </w:t>
      </w:r>
      <w:r>
        <w:t xml:space="preserve">measurement.</w:t>
      </w:r>
      <w:r>
        <w:t xml:space="preserve"> </w:t>
      </w:r>
      <w:r>
        <w:t xml:space="preserve">Cemri et al.</w:t>
      </w:r>
      <w:r>
        <w:t xml:space="preserve"> </w:t>
      </w:r>
      <w:r>
        <w:t xml:space="preserve">(2025)</w:t>
      </w:r>
      <w:r>
        <w:t xml:space="preserve"> </w:t>
      </w:r>
      <w:r>
        <w:t xml:space="preserve">taxonomize multi-agent failures; our compounding</w:t>
      </w:r>
      <w:r>
        <w:t xml:space="preserve"> </w:t>
      </w:r>
      <w:r>
        <w:t xml:space="preserve">result quantifies their core observation that local errors cascade.</w:t>
      </w:r>
    </w:p>
    <w:p>
      <w:pPr>
        <w:pStyle w:val="BodyText"/>
      </w:pPr>
      <w:r>
        <w:rPr>
          <w:b/>
          <w:bCs/>
        </w:rPr>
        <w:t xml:space="preserve">Long context and compounding.</w:t>
      </w:r>
      <w:r>
        <w:t xml:space="preserve"> </w:t>
      </w:r>
      <w:r>
        <w:t xml:space="preserve">A complementary line studies degradation with</w:t>
      </w:r>
      <w:r>
        <w:t xml:space="preserve"> </w:t>
      </w:r>
      <w:r>
        <w:t xml:space="preserve">input position</w:t>
      </w:r>
      <w:r>
        <w:t xml:space="preserve"> </w:t>
      </w:r>
      <w:r>
        <w:t xml:space="preserve">(N. F. Liu et al. 2024)</w:t>
      </w:r>
      <w:r>
        <w:t xml:space="preserve">, with input length at fixed task</w:t>
      </w:r>
      <w:r>
        <w:t xml:space="preserve"> </w:t>
      </w:r>
      <w:r>
        <w:t xml:space="preserve">(Levy et al. 2024)</w:t>
      </w:r>
      <w:r>
        <w:t xml:space="preserve">, and on synthetic long-context probes</w:t>
      </w:r>
      <w:r>
        <w:t xml:space="preserve"> </w:t>
      </w:r>
      <w:r>
        <w:t xml:space="preserve">(Hsieh et al. 2024; Modarressi et al. 2025)</w:t>
      </w:r>
      <w:r>
        <w:t xml:space="preserve">.</w:t>
      </w:r>
      <w:r>
        <w:t xml:space="preserve"> </w:t>
      </w:r>
      <w:r>
        <w:t xml:space="preserve">Dziri et al. (2023)</w:t>
      </w:r>
      <w:r>
        <w:t xml:space="preserve"> </w:t>
      </w:r>
      <w:r>
        <w:t xml:space="preserve">show</w:t>
      </w:r>
      <w:r>
        <w:t xml:space="preserve"> </w:t>
      </w:r>
      <w:r>
        <w:t xml:space="preserve">transformer accuracy decays rapidly with compositional complexity, and</w:t>
      </w:r>
      <w:r>
        <w:t xml:space="preserve"> </w:t>
      </w:r>
      <w:r>
        <w:t xml:space="preserve">Laban et al. (2025)</w:t>
      </w:r>
      <w:r>
        <w:t xml:space="preserve"> </w:t>
      </w:r>
      <w:r>
        <w:t xml:space="preserve">show large single- to multi-turn drops. These predict</w:t>
      </w:r>
      <w:r>
        <w:t xml:space="preserve"> </w:t>
      </w:r>
      <w:r>
        <w:rPr>
          <w:i/>
          <w:iCs/>
        </w:rPr>
        <w:t xml:space="preserve">context length</w:t>
      </w:r>
      <w:r>
        <w:t xml:space="preserve"> </w:t>
      </w:r>
      <w:r>
        <w:t xml:space="preserve">drives agent degradation; our disentangling tests this directly</w:t>
      </w:r>
      <w:r>
        <w:t xml:space="preserve"> </w:t>
      </w:r>
      <w:r>
        <w:t xml:space="preserve">and finds the opposite—bounding context worsens performance, implicating step count.</w:t>
      </w:r>
    </w:p>
    <w:p>
      <w:pPr>
        <w:pStyle w:val="BodyText"/>
      </w:pPr>
      <w:r>
        <w:rPr>
          <w:b/>
          <w:bCs/>
        </w:rPr>
        <w:t xml:space="preserve">Agent methods.</w:t>
      </w:r>
      <w:r>
        <w:t xml:space="preserve"> </w:t>
      </w:r>
      <w:r>
        <w:t xml:space="preserve">ReAct-style reasoning-and-acting</w:t>
      </w:r>
      <w:r>
        <w:t xml:space="preserve"> </w:t>
      </w:r>
      <w:r>
        <w:t xml:space="preserve">(Yao et al. 2023)</w:t>
      </w:r>
      <w:r>
        <w:t xml:space="preserve"> </w:t>
      </w:r>
      <w:r>
        <w:t xml:space="preserve">and</w:t>
      </w:r>
      <w:r>
        <w:t xml:space="preserve"> </w:t>
      </w:r>
      <w:r>
        <w:t xml:space="preserve">verbal self-reflection</w:t>
      </w:r>
      <w:r>
        <w:t xml:space="preserve"> </w:t>
      </w:r>
      <w:r>
        <w:t xml:space="preserve">(Shinn et al. 2023)</w:t>
      </w:r>
      <w:r>
        <w:t xml:space="preserve"> </w:t>
      </w:r>
      <w:r>
        <w:t xml:space="preserve">are the dominant loops; our agentic</w:t>
      </w:r>
      <w:r>
        <w:t xml:space="preserve"> </w:t>
      </w:r>
      <w:r>
        <w:t xml:space="preserve">family uses a ReAct loop. We study unmodified loops to measure intrinsic degradation.</w:t>
      </w:r>
    </w:p>
    <w:bookmarkEnd w:id="10"/>
    <w:bookmarkStart w:id="14" w:name="sec:method"/>
    <w:p>
      <w:pPr>
        <w:pStyle w:val="Heading1"/>
      </w:pPr>
      <w:r>
        <w:t xml:space="preserve">Method</w:t>
      </w:r>
    </w:p>
    <w:bookmarkStart w:id="11" w:name="task-families"/>
    <w:p>
      <w:pPr>
        <w:pStyle w:val="Heading2"/>
      </w:pPr>
      <w:r>
        <w:t xml:space="preserve">Task families</w:t>
      </w:r>
    </w:p>
    <w:p>
      <w:pPr>
        <w:pStyle w:val="FirstParagraph"/>
      </w:pPr>
      <w:r>
        <w:t xml:space="preserve">We use four synthetic families, each a tool-using agent loop with a ground-truth</w:t>
      </w:r>
      <w:r>
        <w:t xml:space="preserve"> </w:t>
      </w:r>
      <w:r>
        <w:t xml:space="preserve">simulator that verifies success</w:t>
      </w:r>
      <w:r>
        <w:t xml:space="preserve"> </w:t>
      </w:r>
      <w:r>
        <w:rPr>
          <w:i/>
          <w:iCs/>
        </w:rPr>
        <w:t xml:space="preserve">exactly</w:t>
      </w:r>
      <w:r>
        <w:t xml:space="preserve"> </w:t>
      </w:r>
      <w:r>
        <w:t xml:space="preserve">(no LLM judge). Three are</w:t>
      </w:r>
      <w:r>
        <w:t xml:space="preserve"> </w:t>
      </w:r>
      <w:r>
        <w:rPr>
          <w:i/>
          <w:iCs/>
        </w:rPr>
        <w:t xml:space="preserve">streaming</w:t>
      </w:r>
      <w:r>
        <w:t xml:space="preserve"> </w:t>
      </w:r>
      <w:r>
        <w:t xml:space="preserve">state-tracking tasks with</w:t>
      </w:r>
      <w:r>
        <w:t xml:space="preserve"> </w:t>
      </w:r>
      <m:oMath>
        <m:r>
          <m:t>O</m:t>
        </m:r>
        <m:r>
          <m:rPr>
            <m:sty m:val="p"/>
          </m:rPr>
          <m:t>(</m:t>
        </m:r>
        <m:r>
          <m:t>1</m:t>
        </m:r>
        <m:r>
          <m:rPr>
            <m:sty m:val="p"/>
          </m:rPr>
          <m:t>)</m:t>
        </m:r>
      </m:oMath>
      <w:r>
        <w:t xml:space="preserve">–</w:t>
      </w:r>
      <m:oMath>
        <m:r>
          <m:t>O</m:t>
        </m:r>
        <m:r>
          <m:rPr>
            <m:sty m:val="p"/>
          </m:rPr>
          <m:t>(</m:t>
        </m:r>
        <m:r>
          <m:t>k</m:t>
        </m:r>
        <m:r>
          <m:rPr>
            <m:sty m:val="p"/>
          </m:rPr>
          <m:t>)</m:t>
        </m:r>
      </m:oMath>
      <w:r>
        <w:t xml:space="preserve"> </w:t>
      </w:r>
      <w:r>
        <w:t xml:space="preserve">per-step state, so step count</w:t>
      </w:r>
      <w:r>
        <w:t xml:space="preserve"> </w:t>
      </w:r>
      <w:r>
        <w:t xml:space="preserve">and context length can be varied independently (§</w:t>
      </w:r>
      <w:hyperlink w:anchor="sec:regimes">
        <w:r>
          <w:rPr>
            <w:rStyle w:val="Hyperlink"/>
          </w:rPr>
          <w:t xml:space="preserve">3.2</w:t>
        </w:r>
      </w:hyperlink>
      <w:r>
        <w:t xml:space="preserve">); the fourth is a</w:t>
      </w:r>
      <w:r>
        <w:t xml:space="preserve"> </w:t>
      </w:r>
      <w:r>
        <w:rPr>
          <w:i/>
          <w:iCs/>
        </w:rPr>
        <w:t xml:space="preserve">genuinely agentic</w:t>
      </w:r>
      <w:r>
        <w:t xml:space="preserve"> </w:t>
      </w:r>
      <w:r>
        <w:t xml:space="preserve">tool-use loop. Each family stresses a distinct capability:</w:t>
      </w:r>
    </w:p>
    <w:p>
      <w:pPr>
        <w:numPr>
          <w:ilvl w:val="0"/>
          <w:numId w:val="1002"/>
        </w:numPr>
      </w:pPr>
      <w:r>
        <w:rPr>
          <w:b/>
          <w:bCs/>
        </w:rPr>
        <w:t xml:space="preserve">ledger</w:t>
      </w:r>
      <w:r>
        <w:t xml:space="preserve"> </w:t>
      </w:r>
      <w:r>
        <w:t xml:space="preserve">(arithmetic working memory): maintain three account balances</w:t>
      </w:r>
      <w:r>
        <w:t xml:space="preserve"> </w:t>
      </w:r>
      <w:r>
        <w:t xml:space="preserve">through</w:t>
      </w:r>
      <w:r>
        <w:t xml:space="preserve"> </w:t>
      </w:r>
      <m:oMath>
        <m:r>
          <m:t>H</m:t>
        </m:r>
      </m:oMath>
      <w:r>
        <w:t xml:space="preserve"> </w:t>
      </w:r>
      <w:r>
        <w:t xml:space="preserve">operations; report a queried balance.</w:t>
      </w:r>
    </w:p>
    <w:p>
      <w:pPr>
        <w:numPr>
          <w:ilvl w:val="0"/>
          <w:numId w:val="1002"/>
        </w:numPr>
      </w:pPr>
      <w:r>
        <w:rPr>
          <w:b/>
          <w:bCs/>
        </w:rPr>
        <w:t xml:space="preserve">refchain</w:t>
      </w:r>
      <w:r>
        <w:t xml:space="preserve"> </w:t>
      </w:r>
      <w:r>
        <w:t xml:space="preserve">(long-range retrieval): track one announced variable through</w:t>
      </w:r>
      <w:r>
        <w:t xml:space="preserve"> </w:t>
      </w:r>
      <m:oMath>
        <m:r>
          <m:t>H</m:t>
        </m:r>
      </m:oMath>
      <w:r>
        <w:t xml:space="preserve"> </w:t>
      </w:r>
      <w:r>
        <w:t xml:space="preserve">assignments amid distractors; report its final value.</w:t>
      </w:r>
    </w:p>
    <w:p>
      <w:pPr>
        <w:numPr>
          <w:ilvl w:val="0"/>
          <w:numId w:val="1002"/>
        </w:numPr>
      </w:pPr>
      <w:r>
        <w:rPr>
          <w:b/>
          <w:bCs/>
        </w:rPr>
        <w:t xml:space="preserve">cipher</w:t>
      </w:r>
      <w:r>
        <w:t xml:space="preserve"> </w:t>
      </w:r>
      <w:r>
        <w:t xml:space="preserve">(procedural execution): apply</w:t>
      </w:r>
      <w:r>
        <w:t xml:space="preserve"> </w:t>
      </w:r>
      <m:oMath>
        <m:r>
          <m:t>H</m:t>
        </m:r>
      </m:oMath>
      <w:r>
        <w:t xml:space="preserve"> </w:t>
      </w:r>
      <w:r>
        <w:t xml:space="preserve">ordered string edits to</w:t>
      </w:r>
      <w:r>
        <w:t xml:space="preserve"> </w:t>
      </w:r>
      <w:r>
        <w:t xml:space="preserve">a 5-character string; report the result.</w:t>
      </w:r>
    </w:p>
    <w:p>
      <w:pPr>
        <w:numPr>
          <w:ilvl w:val="0"/>
          <w:numId w:val="1002"/>
        </w:numPr>
      </w:pPr>
      <w:r>
        <w:rPr>
          <w:b/>
          <w:bCs/>
        </w:rPr>
        <w:t xml:space="preserve">toolqa</w:t>
      </w:r>
      <w:r>
        <w:t xml:space="preserve"> </w:t>
      </w:r>
      <w:r>
        <w:t xml:space="preserve">(agentic tool use): the agent must reach a node</w:t>
      </w:r>
      <w:r>
        <w:t xml:space="preserve"> </w:t>
      </w:r>
      <m:oMath>
        <m:r>
          <m:t>H</m:t>
        </m:r>
      </m:oMath>
      <w:r>
        <w:t xml:space="preserve"> </w:t>
      </w:r>
      <w:r>
        <w:t xml:space="preserve">hops</w:t>
      </w:r>
      <w:r>
        <w:t xml:space="preserve"> </w:t>
      </w:r>
      <w:r>
        <w:t xml:space="preserve">along a hidden chain by issuing its own</w:t>
      </w:r>
      <w:r>
        <w:t xml:space="preserve"> </w:t>
      </w:r>
      <w:r>
        <w:rPr>
          <w:rStyle w:val="VerbatimChar"/>
        </w:rPr>
        <w:t xml:space="preserve">inspect</w:t>
      </w:r>
      <w:r>
        <w:t xml:space="preserve"> </w:t>
      </w:r>
      <w:r>
        <w:t xml:space="preserve">tool calls—it cannot</w:t>
      </w:r>
      <w:r>
        <w:t xml:space="preserve"> </w:t>
      </w:r>
      <w:r>
        <w:t xml:space="preserve">pre-plan, since each hop’s target is revealed only by inspecting the previous node—</w:t>
      </w:r>
      <w:r>
        <w:t xml:space="preserve"> </w:t>
      </w:r>
      <w:r>
        <w:t xml:space="preserve">then report the destination’s key. This is a real ReAct loop: the agent chooses its</w:t>
      </w:r>
      <w:r>
        <w:t xml:space="preserve"> </w:t>
      </w:r>
      <w:r>
        <w:t xml:space="preserve">actions.</w:t>
      </w:r>
    </w:p>
    <w:p>
      <w:pPr>
        <w:pStyle w:val="FirstParagraph"/>
      </w:pPr>
      <w:r>
        <w:t xml:space="preserve">In the streaming families, each step delivers one instruction and the agent emits a</w:t>
      </w:r>
      <w:r>
        <w:t xml:space="preserve"> </w:t>
      </w:r>
      <w:r>
        <w:t xml:space="preserve">JSON state; no correctness feedback is given, so per-step errors compound and are</w:t>
      </w:r>
      <w:r>
        <w:t xml:space="preserve"> </w:t>
      </w:r>
      <w:r>
        <w:t xml:space="preserve">measured. The simulator scores each state and the final answer against the oracle.</w:t>
      </w:r>
    </w:p>
    <w:bookmarkEnd w:id="11"/>
    <w:bookmarkStart w:id="12" w:name="sec:regimes"/>
    <w:p>
      <w:pPr>
        <w:pStyle w:val="Heading2"/>
      </w:pPr>
      <w:r>
        <w:t xml:space="preserve">Context regimes: disentangling step count from context length</w:t>
      </w:r>
    </w:p>
    <w:p>
      <w:pPr>
        <w:pStyle w:val="FirstParagraph"/>
      </w:pPr>
      <w:r>
        <w:t xml:space="preserve">For the streaming families, at a fixed horizon the number of operations is held equal</w:t>
      </w:r>
      <w:r>
        <w:t xml:space="preserve"> </w:t>
      </w:r>
      <w:r>
        <w:t xml:space="preserve">across three regimes that vary only the two axes of interest:</w:t>
      </w:r>
      <w:r>
        <w:t xml:space="preserve"> </w:t>
      </w:r>
      <w:r>
        <w:rPr>
          <w:b/>
          <w:bCs/>
        </w:rPr>
        <w:t xml:space="preserve">natural</w:t>
      </w:r>
      <w:r>
        <w:t xml:space="preserve"> </w:t>
      </w:r>
      <w:r>
        <w:t xml:space="preserve">(</w:t>
      </w:r>
      <m:oMath>
        <m:r>
          <m:t>H</m:t>
        </m:r>
      </m:oMath>
      <w:r>
        <w:t xml:space="preserve"> </w:t>
      </w:r>
      <w:r>
        <w:t xml:space="preserve">turns, full history),</w:t>
      </w:r>
      <w:r>
        <w:t xml:space="preserve"> </w:t>
      </w:r>
      <w:r>
        <w:rPr>
          <w:b/>
          <w:bCs/>
        </w:rPr>
        <w:t xml:space="preserve">compressed</w:t>
      </w:r>
      <w:r>
        <w:t xml:space="preserve"> </w:t>
      </w:r>
      <w:r>
        <w:t xml:space="preserve">(</w:t>
      </w:r>
      <m:oMath>
        <m:r>
          <m:t>H</m:t>
        </m:r>
      </m:oMath>
      <w:r>
        <w:t xml:space="preserve"> </w:t>
      </w:r>
      <w:r>
        <w:t xml:space="preserve">turns, short context</w:t>
      </w:r>
      <w:r>
        <w:t xml:space="preserve"> </w:t>
      </w:r>
      <w:r>
        <w:t xml:space="preserve">via carried state and windowed history), and</w:t>
      </w:r>
      <w:r>
        <w:t xml:space="preserve"> </w:t>
      </w:r>
      <w:r>
        <w:rPr>
          <w:b/>
          <w:bCs/>
        </w:rPr>
        <w:t xml:space="preserve">padded</w:t>
      </w:r>
      <w:r>
        <w:t xml:space="preserve"> </w:t>
      </w:r>
      <w:r>
        <w:t xml:space="preserve">(1 turn, all</w:t>
      </w:r>
      <w:r>
        <w:t xml:space="preserve"> </w:t>
      </w:r>
      <m:oMath>
        <m:r>
          <m:t>H</m:t>
        </m:r>
      </m:oMath>
      <w:r>
        <w:t xml:space="preserve"> </w:t>
      </w:r>
      <w:r>
        <w:t xml:space="preserve">operations in one prompt). natural-vs-compressed isolates context length;</w:t>
      </w:r>
      <w:r>
        <w:t xml:space="preserve"> </w:t>
      </w:r>
      <w:r>
        <w:t xml:space="preserve">natural-vs-padded isolates the multi-step process. The same instance is reused across</w:t>
      </w:r>
      <w:r>
        <w:t xml:space="preserve"> </w:t>
      </w:r>
      <w:r>
        <w:t xml:space="preserve">regimes (paired). The agentic family runs only the natural regime.</w:t>
      </w:r>
    </w:p>
    <w:bookmarkEnd w:id="12"/>
    <w:bookmarkStart w:id="13" w:name="models-design-and-metrics"/>
    <w:p>
      <w:pPr>
        <w:pStyle w:val="Heading2"/>
      </w:pPr>
      <w:r>
        <w:t xml:space="preserve">Models, design, and metrics</w:t>
      </w:r>
    </w:p>
    <w:p>
      <w:pPr>
        <w:pStyle w:val="FirstParagraph"/>
      </w:pPr>
      <w:r>
        <w:t xml:space="preserve">We evaluate nine instruction-tuned models via OpenRouter: six open</w:t>
      </w:r>
      <w:r>
        <w:t xml:space="preserve"> </w:t>
      </w:r>
      <w:r>
        <w:t xml:space="preserve">(Llama-3.2-1B, Qwen2.5-7B, Llama-3.1-8B, Llama-3.3-70B, Qwen2.5-72B, DeepSeek-V3;</w:t>
      </w:r>
      <w:r>
        <w:t xml:space="preserve"> </w:t>
      </w:r>
      <w:r>
        <w:t xml:space="preserve">1.2B–671B, known sizes) and three proprietary deployed models (GPT-4o-mini, Gemini</w:t>
      </w:r>
      <w:r>
        <w:t xml:space="preserve"> </w:t>
      </w:r>
      <w:r>
        <w:t xml:space="preserve">2.5 Flash-Lite, Claude-3-Haiku; sizes undisclosed). The streaming design is</w:t>
      </w:r>
      <w:r>
        <w:t xml:space="preserve"> </w:t>
      </w:r>
      <m:oMath>
        <m:r>
          <m:t>9</m:t>
        </m:r>
        <m:r>
          <m:rPr>
            <m:sty m:val="p"/>
          </m:rPr>
          <m:t>×</m:t>
        </m:r>
        <m:r>
          <m:t>3</m:t>
        </m:r>
        <m:r>
          <m:rPr>
            <m:sty m:val="p"/>
          </m:rPr>
          <m:t>×</m:t>
        </m:r>
        <m:r>
          <m:t>5</m:t>
        </m:r>
        <m:r>
          <m:rPr>
            <m:sty m:val="p"/>
          </m:rPr>
          <m:t>×</m:t>
        </m:r>
        <m:r>
          <m:t>3</m:t>
        </m:r>
        <m:r>
          <m:rPr>
            <m:sty m:val="p"/>
          </m:rPr>
          <m:t>×</m:t>
        </m:r>
        <m:r>
          <m:t>25</m:t>
        </m:r>
      </m:oMath>
      <w:r>
        <w:t xml:space="preserve"> </w:t>
      </w:r>
      <w:r>
        <w:t xml:space="preserve">trajectories; the agentic family adds</w:t>
      </w:r>
      <w:r>
        <w:t xml:space="preserve"> </w:t>
      </w:r>
      <m:oMath>
        <m:r>
          <m:t>9</m:t>
        </m:r>
        <m:r>
          <m:rPr>
            <m:sty m:val="p"/>
          </m:rPr>
          <m:t>×</m:t>
        </m:r>
        <m:r>
          <m:t>4</m:t>
        </m:r>
        <m:r>
          <m:rPr>
            <m:sty m:val="p"/>
          </m:rPr>
          <m:t>×</m:t>
        </m:r>
        <m:r>
          <m:t>15</m:t>
        </m:r>
      </m:oMath>
      <w:r>
        <w:t xml:space="preserve"> </w:t>
      </w:r>
      <w:r>
        <w:t xml:space="preserve">(natural). Total analyzed: 10</w:t>
      </w:r>
      <w:r>
        <w:t xml:space="preserve">,</w:t>
      </w:r>
      <w:r>
        <w:t xml:space="preserve">664. Temperature is fixed at</w:t>
      </w:r>
      <w:r>
        <w:t xml:space="preserve"> </w:t>
      </w:r>
      <m:oMath>
        <m:r>
          <m:t>0.2</m:t>
        </m:r>
      </m:oMath>
      <w:r>
        <w:t xml:space="preserve">;</w:t>
      </w:r>
      <w:r>
        <w:t xml:space="preserve"> </w:t>
      </w:r>
      <w:r>
        <w:t xml:space="preserve">seeds are recorded. We report per-cell success with Wilson 95% intervals; fit</w:t>
      </w:r>
      <w:r>
        <w:t xml:space="preserve"> </w:t>
      </w:r>
      <w:r>
        <w:t xml:space="preserve">geometric/threshold/linear shapes and select by AIC; estimate per-step reliability</w:t>
      </w:r>
      <w:r>
        <w:t xml:space="preserve"> </w:t>
      </w:r>
      <m:oMath>
        <m:r>
          <m:t>r</m:t>
        </m:r>
      </m:oMath>
      <w:r>
        <w:t xml:space="preserve"> </w:t>
      </w:r>
      <w:r>
        <w:t xml:space="preserve">directly as the fraction of individual steps correct; and fit</w:t>
      </w:r>
      <w:r>
        <w:t xml:space="preserve"> </w:t>
      </w:r>
      <m:oMath>
        <m:r>
          <m:rPr>
            <m:sty m:val="p"/>
          </m:rPr>
          <m:t>l</m:t>
        </m:r>
        <m:r>
          <m:rPr>
            <m:sty m:val="p"/>
          </m:rPr>
          <m:t>o</m:t>
        </m:r>
        <m:r>
          <m:rPr>
            <m:sty m:val="p"/>
          </m:rPr>
          <m:t>g</m:t>
        </m:r>
        <m:r>
          <m:rPr>
            <m:sty m:val="p"/>
          </m:rPr>
          <m:t>i</m:t>
        </m:r>
        <m:r>
          <m:rPr>
            <m:sty m:val="p"/>
          </m:rPr>
          <m:t>t</m:t>
        </m:r>
        <m:r>
          <m:t> </m:t>
        </m:r>
        <m:r>
          <m:t>P</m:t>
        </m:r>
        <m:r>
          <m:rPr>
            <m:sty m:val="p"/>
          </m:rPr>
          <m:t>=</m:t>
        </m:r>
        <m:sSub>
          <m:e>
            <m:r>
              <m:t>β</m:t>
            </m:r>
          </m:e>
          <m:sub>
            <m:r>
              <m:t>0</m:t>
            </m:r>
          </m:sub>
        </m:sSub>
        <m:r>
          <m:rPr>
            <m:sty m:val="p"/>
          </m:rPr>
          <m:t>+</m:t>
        </m:r>
        <m:sSub>
          <m:e>
            <m:r>
              <m:t>β</m:t>
            </m:r>
          </m:e>
          <m:sub>
            <m:r>
              <m:t>H</m:t>
            </m:r>
          </m:sub>
        </m:sSub>
        <m:sSub>
          <m:e>
            <m:r>
              <m:rPr>
                <m:sty m:val="p"/>
              </m:rPr>
              <m:t>log</m:t>
            </m:r>
          </m:e>
          <m:sub>
            <m:r>
              <m:t>2</m:t>
            </m:r>
          </m:sub>
        </m:sSub>
        <m:r>
          <m:t>​</m:t>
        </m:r>
        <m:r>
          <m:t>H</m:t>
        </m:r>
        <m:r>
          <m:rPr>
            <m:sty m:val="p"/>
          </m:rPr>
          <m:t>⋅</m:t>
        </m:r>
        <m:r>
          <m:t>C</m:t>
        </m:r>
        <m:r>
          <m:rPr>
            <m:sty m:val="p"/>
          </m:rPr>
          <m:t>(</m:t>
        </m:r>
        <m:r>
          <m:rPr>
            <m:nor/>
            <m:sty m:val="p"/>
          </m:rPr>
          <m:t>regime</m:t>
        </m:r>
        <m:r>
          <m:rPr>
            <m:sty m:val="p"/>
          </m:rPr>
          <m:t>)</m:t>
        </m:r>
      </m:oMath>
      <w:r>
        <w:t xml:space="preserve"> </w:t>
      </w:r>
      <w:r>
        <w:t xml:space="preserve">for the</w:t>
      </w:r>
      <w:r>
        <w:t xml:space="preserve"> </w:t>
      </w:r>
      <w:r>
        <w:t xml:space="preserve">disentangling. Hypotheses, design, and analysis plan were pre-registered before the</w:t>
      </w:r>
      <w:r>
        <w:t xml:space="preserve"> </w:t>
      </w:r>
      <w:r>
        <w:t xml:space="preserve">full run; deviations are logged in the released repository.</w:t>
      </w:r>
    </w:p>
    <w:bookmarkEnd w:id="13"/>
    <w:bookmarkEnd w:id="14"/>
    <w:bookmarkStart w:id="38" w:name="results"/>
    <w:p>
      <w:pPr>
        <w:pStyle w:val="Heading1"/>
      </w:pPr>
      <w:r>
        <w:t xml:space="preserve">Results</w:t>
      </w:r>
    </w:p>
    <w:bookmarkStart w:id="21" w:name="sec:law"/>
    <w:p>
      <w:pPr>
        <w:pStyle w:val="Heading2"/>
      </w:pPr>
      <w:r>
        <w:t xml:space="preserve">Degradation follows a geometric law</w:t>
      </w:r>
    </w:p>
    <w:p>
      <w:pPr>
        <w:pStyle w:val="FirstParagraph"/>
      </w:pPr>
      <w:r>
        <w:t xml:space="preserve">Figure </w:t>
      </w:r>
      <w:hyperlink w:anchor="fig:decay">
        <w:r>
          <w:rPr>
            <w:rStyle w:val="Hyperlink"/>
          </w:rPr>
          <w:t xml:space="preserve">1</w:t>
        </w:r>
      </w:hyperlink>
      <w:r>
        <w:t xml:space="preserve"> </w:t>
      </w:r>
      <w:r>
        <w:t xml:space="preserve">shows success vs. horizon for every model and family. Success</w:t>
      </w:r>
      <w:r>
        <w:t xml:space="preserve"> </w:t>
      </w:r>
      <w:r>
        <w:t xml:space="preserve">declines monotonically with horizon wherever the task is non-trivial for the model.</w:t>
      </w:r>
      <w:r>
        <w:t xml:space="preserve"> </w:t>
      </w:r>
      <w:r>
        <w:t xml:space="preserve">Selecting among geometric, threshold, and linear forms by AIC, the</w:t>
      </w:r>
      <w:r>
        <w:t xml:space="preserve"> </w:t>
      </w:r>
      <w:r>
        <w:rPr>
          <w:b/>
          <w:bCs/>
        </w:rPr>
        <w:t xml:space="preserve">geometric</w:t>
      </w:r>
      <w:r>
        <w:rPr>
          <w:b/>
          <w:bCs/>
        </w:rPr>
        <w:t xml:space="preserve"> </w:t>
      </w:r>
      <w:r>
        <w:rPr>
          <w:b/>
          <w:bCs/>
        </w:rPr>
        <w:t xml:space="preserve">form wins in</w:t>
      </w:r>
      <w:r>
        <w:rPr>
          <w:b/>
          <w:bCs/>
        </w:rPr>
        <w:t xml:space="preserve"> </w:t>
      </w:r>
      <m:oMath>
        <m:r>
          <m:t>28</m:t>
        </m:r>
      </m:oMath>
      <w:r>
        <w:rPr>
          <w:b/>
          <w:bCs/>
        </w:rPr>
        <w:t xml:space="preserve"> </w:t>
      </w:r>
      <w:r>
        <w:rPr>
          <w:b/>
          <w:bCs/>
        </w:rPr>
        <w:t xml:space="preserve">of</w:t>
      </w:r>
      <w:r>
        <w:rPr>
          <w:b/>
          <w:bCs/>
        </w:rPr>
        <w:t xml:space="preserve"> </w:t>
      </w:r>
      <m:oMath>
        <m:r>
          <m:t>36</m:t>
        </m:r>
      </m:oMath>
      <w:r>
        <w:t xml:space="preserve"> </w:t>
      </w:r>
      <w:r>
        <w:t xml:space="preserve">model</w:t>
      </w:r>
      <m:oMath>
        <m:r>
          <m:rPr>
            <m:sty m:val="p"/>
          </m:rPr>
          <m:t>×</m:t>
        </m:r>
      </m:oMath>
      <w:r>
        <w:t xml:space="preserve">task cells; the rest are threshold-shaped—the</w:t>
      </w:r>
      <w:r>
        <w:t xml:space="preserve"> </w:t>
      </w:r>
      <w:r>
        <w:t xml:space="preserve">“cliff”</w:t>
      </w:r>
      <w:r>
        <w:t xml:space="preserve"> </w:t>
      </w:r>
      <w:r>
        <w:t xml:space="preserve">where strong models hold near-perfect accuracy until</w:t>
      </w:r>
      <w:r>
        <w:t xml:space="preserve"> </w:t>
      </w:r>
      <m:oMath>
        <m:r>
          <m:t>H</m:t>
        </m:r>
        <m:r>
          <m:rPr>
            <m:sty m:val="p"/>
          </m:rPr>
          <m:t>=</m:t>
        </m:r>
        <m:r>
          <m:t>32</m:t>
        </m:r>
      </m:oMath>
      <w:r>
        <w:t xml:space="preserve">. The</w:t>
      </w:r>
      <w:r>
        <w:t xml:space="preserve"> </w:t>
      </w:r>
      <w:r>
        <w:t xml:space="preserve">geometric law is thus the dominant description, and per-step reliability</w:t>
      </w:r>
      <w:r>
        <w:t xml:space="preserve"> </w:t>
      </w:r>
      <m:oMath>
        <m:r>
          <m:t>r</m:t>
        </m:r>
      </m:oMath>
      <w:r>
        <w:t xml:space="preserve"> </w:t>
      </w:r>
      <w:r>
        <w:t xml:space="preserve">is the</w:t>
      </w:r>
      <w:r>
        <w:t xml:space="preserve"> </w:t>
      </w:r>
      <w:r>
        <w:t xml:space="preserve">quantity that governs it.</w:t>
      </w:r>
    </w:p>
    <w:p>
      <w:pPr>
        <w:pStyle w:val="BodyText"/>
      </w:pPr>
      <w:r>
        <w:t xml:space="preserve">The magnitude of decay is governed by</w:t>
      </w:r>
      <w:r>
        <w:t xml:space="preserve"> </w:t>
      </w:r>
      <m:oMath>
        <m:r>
          <m:t>r</m:t>
        </m:r>
      </m:oMath>
      <w:r>
        <w:t xml:space="preserve">, which varies with model and task</w:t>
      </w:r>
      <w:r>
        <w:t xml:space="preserve"> </w:t>
      </w:r>
      <w:r>
        <w:t xml:space="preserve">difficulty (Table </w:t>
      </w:r>
      <w:hyperlink w:anchor="tab:rstep">
        <w:r>
          <w:rPr>
            <w:rStyle w:val="Hyperlink"/>
          </w:rPr>
          <w:t xml:space="preserve">2</w:t>
        </w:r>
      </w:hyperlink>
      <w:r>
        <w:t xml:space="preserve">). On</w:t>
      </w:r>
      <w:r>
        <w:t xml:space="preserve"> </w:t>
      </w:r>
      <w:r>
        <w:rPr>
          <w:rStyle w:val="VerbatimChar"/>
        </w:rPr>
        <w:t xml:space="preserve">refchain</w:t>
      </w:r>
      <w:r>
        <w:t xml:space="preserve"> </w:t>
      </w:r>
      <w:r>
        <w:t xml:space="preserve">the strong models have</w:t>
      </w:r>
      <w:r>
        <w:t xml:space="preserve"> </w:t>
      </w:r>
      <m:oMath>
        <m:r>
          <m:t>r</m:t>
        </m:r>
        <m:r>
          <m:t>​</m:t>
        </m:r>
        <m:r>
          <m:rPr>
            <m:sty m:val="p"/>
          </m:rPr>
          <m:t>≈</m:t>
        </m:r>
        <m:r>
          <m:t>​</m:t>
        </m:r>
        <m:r>
          <m:t>1</m:t>
        </m:r>
      </m:oMath>
      <w:r>
        <w:t xml:space="preserve"> </w:t>
      </w:r>
      <w:r>
        <w:t xml:space="preserve">and show essentially no decay (a ceiling); on</w:t>
      </w:r>
      <w:r>
        <w:t xml:space="preserve"> </w:t>
      </w:r>
      <w:r>
        <w:rPr>
          <w:rStyle w:val="VerbatimChar"/>
        </w:rPr>
        <w:t xml:space="preserve">cipher</w:t>
      </w:r>
      <w:r>
        <w:t xml:space="preserve"> </w:t>
      </w:r>
      <w:r>
        <w:t xml:space="preserve">even</w:t>
      </w:r>
      <w:r>
        <w:t xml:space="preserve"> </w:t>
      </w:r>
      <w:r>
        <w:t xml:space="preserve">the best models have low</w:t>
      </w:r>
      <w:r>
        <w:t xml:space="preserve"> </w:t>
      </w:r>
      <m:oMath>
        <m:r>
          <m:t>r</m:t>
        </m:r>
      </m:oMath>
      <w:r>
        <w:t xml:space="preserve"> </w:t>
      </w:r>
      <w:r>
        <w:t xml:space="preserve">and collapse within a few steps. The same models thus</w:t>
      </w:r>
      <w:r>
        <w:t xml:space="preserve"> </w:t>
      </w:r>
      <w:r>
        <w:t xml:space="preserve">appear robust or fragile depending entirely on per-step reliability, exactly as</w:t>
      </w:r>
      <w:r>
        <w:t xml:space="preserve"> </w:t>
      </w:r>
      <m:oMath>
        <m:r>
          <m:t>P</m:t>
        </m:r>
        <m:r>
          <m:rPr>
            <m:sty m:val="p"/>
          </m:rPr>
          <m:t>≈</m:t>
        </m:r>
        <m:sSup>
          <m:e>
            <m:r>
              <m:t>r</m:t>
            </m:r>
          </m:e>
          <m:sup>
            <m:r>
              <m:t>H</m:t>
            </m:r>
          </m:sup>
        </m:sSup>
      </m:oMath>
      <w:r>
        <w:t xml:space="preserve"> </w:t>
      </w:r>
      <w:r>
        <w:t xml:space="preserve">predicts. Whether degradation is</w:t>
      </w:r>
      <w:r>
        <w:t xml:space="preserve"> </w:t>
      </w:r>
      <w:r>
        <w:rPr>
          <w:i/>
          <w:iCs/>
        </w:rPr>
        <w:t xml:space="preserve">visible</w:t>
      </w:r>
      <w:r>
        <w:t xml:space="preserve"> </w:t>
      </w:r>
      <w:r>
        <w:t xml:space="preserve">depends on</w:t>
      </w:r>
      <w:r>
        <w:t xml:space="preserve"> </w:t>
      </w:r>
      <m:oMath>
        <m:r>
          <m:t>r</m:t>
        </m:r>
      </m:oMath>
      <w:r>
        <w:t xml:space="preserve"> </w:t>
      </w:r>
      <w:r>
        <w:t xml:space="preserve">and the horizon sampled, but</w:t>
      </w:r>
      <w:r>
        <w:t xml:space="preserve"> </w:t>
      </w:r>
      <m:oMath>
        <m:r>
          <m:t>r</m:t>
        </m:r>
        <m:r>
          <m:rPr>
            <m:sty m:val="p"/>
          </m:rPr>
          <m:t>&lt;</m:t>
        </m:r>
        <m:r>
          <m:t>1</m:t>
        </m:r>
      </m:oMath>
      <w:r>
        <w:t xml:space="preserve"> </w:t>
      </w:r>
      <w:r>
        <w:t xml:space="preserve">on any non-trivial task makes collapse</w:t>
      </w:r>
      <w:r>
        <w:t xml:space="preserve"> </w:t>
      </w:r>
      <w:r>
        <w:t xml:space="preserve">at long horizon inevitable.</w:t>
      </w:r>
    </w:p>
    <w:bookmarkStart w:id="18" w:name="fig:decay"/>
    <w:p>
      <w:pPr>
        <w:pStyle w:val="CaptionedFigure"/>
      </w:pPr>
      <w:r>
        <w:drawing>
          <wp:inline>
            <wp:extent cx="5334000" cy="1066800"/>
            <wp:effectExtent b="0" l="0" r="0" t="0"/>
            <wp:docPr descr="" title="" id="16" name="Picture"/>
            <a:graphic>
              <a:graphicData uri="http://schemas.openxmlformats.org/drawingml/2006/picture">
                <pic:pic>
                  <pic:nvPicPr>
                    <pic:cNvPr descr="../figures/fig1_decay_curves.png" id="17" name="Picture"/>
                    <pic:cNvPicPr>
                      <a:picLocks noChangeArrowheads="1" noChangeAspect="1"/>
                    </pic:cNvPicPr>
                  </pic:nvPicPr>
                  <pic:blipFill>
                    <a:blip r:embed="rId15"/>
                    <a:stretch>
                      <a:fillRect/>
                    </a:stretch>
                  </pic:blipFill>
                  <pic:spPr bwMode="auto">
                    <a:xfrm>
                      <a:off x="0" y="0"/>
                      <a:ext cx="5334000" cy="1066800"/>
                    </a:xfrm>
                    <a:prstGeom prst="rect">
                      <a:avLst/>
                    </a:prstGeom>
                    <a:noFill/>
                    <a:ln w="9525">
                      <a:noFill/>
                      <a:headEnd/>
                      <a:tailEnd/>
                    </a:ln>
                  </pic:spPr>
                </pic:pic>
              </a:graphicData>
            </a:graphic>
          </wp:inline>
        </w:drawing>
      </w:r>
    </w:p>
    <w:p>
      <w:pPr>
        <w:pStyle w:val="ImageCaption"/>
      </w:pPr>
      <w:r>
        <w:t xml:space="preserve">Task success vs. horizon (natural regime), per family, per model (Wilson 95%</w:t>
      </w:r>
      <w:r>
        <w:t xml:space="preserve"> </w:t>
      </w:r>
      <w:r>
        <w:t xml:space="preserve">intervals;</w:t>
      </w:r>
      <w:r>
        <w:t xml:space="preserve"> </w:t>
      </w:r>
      <m:oMath>
        <m:sSub>
          <m:e>
            <m:r>
              <m:rPr>
                <m:sty m:val="p"/>
              </m:rPr>
              <m:t>log</m:t>
            </m:r>
          </m:e>
          <m:sub>
            <m:r>
              <m:t>2</m:t>
            </m:r>
          </m:sub>
        </m:sSub>
      </m:oMath>
      <w:r>
        <w:t xml:space="preserve"> </w:t>
      </w:r>
      <w:r>
        <w:t xml:space="preserve">horizon axis). Decay is steep where per-step reliability is low</w:t>
      </w:r>
      <w:r>
        <w:t xml:space="preserve"> </w:t>
      </w:r>
      <w:r>
        <w:t xml:space="preserve">(</w:t>
      </w:r>
      <w:r>
        <w:rPr>
          <w:rStyle w:val="VerbatimChar"/>
        </w:rPr>
        <w:t xml:space="preserve">cipher</w:t>
      </w:r>
      <w:r>
        <w:t xml:space="preserve">), a long-horizon cliff at medium difficulty (</w:t>
      </w:r>
      <w:r>
        <w:rPr>
          <w:rStyle w:val="VerbatimChar"/>
        </w:rPr>
        <w:t xml:space="preserve">ledger</w:t>
      </w:r>
      <w:r>
        <w:t xml:space="preserve">), a</w:t>
      </w:r>
      <w:r>
        <w:t xml:space="preserve"> </w:t>
      </w:r>
      <w:r>
        <w:t xml:space="preserve">ceiling where reliability is near-perfect (</w:t>
      </w:r>
      <w:r>
        <w:rPr>
          <w:rStyle w:val="VerbatimChar"/>
        </w:rPr>
        <w:t xml:space="preserve">refchain</w:t>
      </w:r>
      <w:r>
        <w:t xml:space="preserve">, strong models), and</w:t>
      </w:r>
      <w:r>
        <w:t xml:space="preserve"> </w:t>
      </w:r>
      <w:r>
        <w:t xml:space="preserve">sharpest on the agentic</w:t>
      </w:r>
      <w:r>
        <w:t xml:space="preserve"> </w:t>
      </w:r>
      <w:r>
        <w:rPr>
          <w:rStyle w:val="VerbatimChar"/>
        </w:rPr>
        <w:t xml:space="preserve">toolqa</w:t>
      </w:r>
      <w:r>
        <w:t xml:space="preserve"> </w:t>
      </w:r>
      <w:r>
        <w:t xml:space="preserve">loop, where all nine models collapse by</w:t>
      </w:r>
      <w:r>
        <w:t xml:space="preserve"> </w:t>
      </w:r>
      <m:oMath>
        <m:r>
          <m:t>H</m:t>
        </m:r>
        <m:r>
          <m:rPr>
            <m:sty m:val="p"/>
          </m:rPr>
          <m:t>=</m:t>
        </m:r>
        <m:r>
          <m:t>16</m:t>
        </m:r>
      </m:oMath>
      <w:r>
        <w:t xml:space="preserve">. All are consistent with</w:t>
      </w:r>
      <w:r>
        <w:t xml:space="preserve"> </w:t>
      </w:r>
      <m:oMath>
        <m:r>
          <m:t>P</m:t>
        </m:r>
        <m:r>
          <m:rPr>
            <m:sty m:val="p"/>
          </m:rPr>
          <m:t>≈</m:t>
        </m:r>
        <m:sSup>
          <m:e>
            <m:r>
              <m:t>r</m:t>
            </m:r>
          </m:e>
          <m:sup>
            <m:r>
              <m:t>H</m:t>
            </m:r>
          </m:sup>
        </m:sSup>
      </m:oMath>
      <w:r>
        <w:t xml:space="preserve">.</w:t>
      </w:r>
    </w:p>
    <w:bookmarkEnd w:id="18"/>
    <w:bookmarkStart w:id="19" w:name="tab:decay"/>
    <w:p>
      <w:pPr>
        <w:pStyle w:val="TableCaption"/>
      </w:pPr>
      <w:r>
        <w:t xml:space="preserve">Success decays monotonically with horizon for every model, including the</w:t>
      </w:r>
      <w:r>
        <w:t xml:space="preserve"> </w:t>
      </w:r>
      <w:r>
        <w:t xml:space="preserve">deployed proprietary systems. Larger/stronger models start higher and decay more</w:t>
      </w:r>
      <w:r>
        <w:t xml:space="preserve"> </w:t>
      </w:r>
      <w:r>
        <w:t xml:space="preserve">gently, but all decay.</w:t>
      </w:r>
    </w:p>
    <w:tbl>
      <w:tblPr>
        <w:tblStyle w:val="Table"/>
        <w:tblW w:type="auto" w:w="0"/>
        <w:tblLook w:firstRow="0" w:lastRow="0" w:firstColumn="0" w:lastColumn="0" w:noHBand="0" w:noVBand="0" w:val="0000"/>
        <w:tblCaption w:val="Success decays monotonically with horizon for every model, including the deployed proprietary systems. Larger/stronger models start higher and decay more gently, but all decay."/>
      </w:tblPr>
      <w:tblGrid>
        <w:gridCol w:w="1320"/>
        <w:gridCol w:w="1320"/>
        <w:gridCol w:w="1320"/>
        <w:gridCol w:w="1320"/>
        <w:gridCol w:w="1320"/>
        <w:gridCol w:w="1320"/>
      </w:tblGrid>
      <w:tr>
        <w:tc>
          <w:tcPr/>
          <w:p>
            <w:pPr>
              <w:pStyle w:val="Compact"/>
            </w:pPr>
          </w:p>
        </w:tc>
        <w:tc>
          <w:tcPr>
            <w:gridSpan w:val="5"/>
          </w:tcPr>
          <w:p>
            <w:pPr>
              <w:pStyle w:val="Compact"/>
              <w:jc w:val="center"/>
            </w:pPr>
            <w:r>
              <w:t xml:space="preserve">success at horizon</w:t>
            </w:r>
            <w:r>
              <w:t xml:space="preserve"> </w:t>
            </w:r>
            <m:oMath>
              <m:r>
                <m:t>H</m:t>
              </m:r>
            </m:oMath>
            <w:r>
              <w:t xml:space="preserve"> </w:t>
            </w:r>
            <w:r>
              <w:t xml:space="preserve">(natural, streaming families pooled)</w:t>
            </w:r>
          </w:p>
        </w:tc>
      </w:tr>
      <w:tr>
        <w:tc>
          <w:tcPr/>
          <w:p>
            <w:pPr>
              <w:pStyle w:val="Compact"/>
              <w:jc w:val="left"/>
            </w:pPr>
            <w:r>
              <w:t xml:space="preserve">model</w:t>
            </w:r>
          </w:p>
        </w:tc>
        <w:tc>
          <w:tcPr/>
          <w:p>
            <w:pPr>
              <w:pStyle w:val="Compact"/>
              <w:jc w:val="center"/>
            </w:pPr>
            <m:oMath>
              <m:r>
                <m:t>H</m:t>
              </m:r>
              <m:r>
                <m:rPr>
                  <m:sty m:val="p"/>
                </m:rPr>
                <m:t>=</m:t>
              </m:r>
              <m:r>
                <m:t>2</m:t>
              </m:r>
            </m:oMath>
            <w:r>
              <w:t xml:space="preserve">​</w:t>
            </w:r>
          </w:p>
        </w:tc>
        <w:tc>
          <w:tcPr/>
          <w:p>
            <w:pPr>
              <w:pStyle w:val="Compact"/>
              <w:jc w:val="center"/>
            </w:pPr>
            <m:oMath>
              <m:r>
                <m:t>4</m:t>
              </m:r>
            </m:oMath>
            <w:r>
              <w:t xml:space="preserve">​</w:t>
            </w:r>
          </w:p>
        </w:tc>
        <w:tc>
          <w:tcPr/>
          <w:p>
            <w:pPr>
              <w:pStyle w:val="Compact"/>
              <w:jc w:val="center"/>
            </w:pPr>
            <m:oMath>
              <m:r>
                <m:t>8</m:t>
              </m:r>
            </m:oMath>
            <w:r>
              <w:t xml:space="preserve">​</w:t>
            </w:r>
          </w:p>
        </w:tc>
        <w:tc>
          <w:tcPr/>
          <w:p>
            <w:pPr>
              <w:pStyle w:val="Compact"/>
              <w:jc w:val="center"/>
            </w:pPr>
            <m:oMath>
              <m:r>
                <m:t>16</m:t>
              </m:r>
            </m:oMath>
            <w:r>
              <w:t xml:space="preserve">​</w:t>
            </w:r>
          </w:p>
        </w:tc>
        <w:tc>
          <w:tcPr/>
          <w:p>
            <w:pPr>
              <w:pStyle w:val="Compact"/>
              <w:jc w:val="center"/>
            </w:pPr>
            <m:oMath>
              <m:r>
                <m:t>32</m:t>
              </m:r>
            </m:oMath>
            <w:r>
              <w:t xml:space="preserve">​</w:t>
            </w:r>
          </w:p>
        </w:tc>
      </w:tr>
      <w:tr>
        <w:tc>
          <w:tcPr/>
          <w:p>
            <w:pPr>
              <w:pStyle w:val="Compact"/>
              <w:jc w:val="left"/>
            </w:pPr>
            <w:r>
              <w:t xml:space="preserve">Llama-3.2-1B</w:t>
            </w:r>
          </w:p>
        </w:tc>
        <w:tc>
          <w:tcPr/>
          <w:p>
            <w:pPr>
              <w:pStyle w:val="Compact"/>
              <w:jc w:val="center"/>
            </w:pPr>
            <w:r>
              <w:t xml:space="preserve">0.48</w:t>
            </w:r>
          </w:p>
        </w:tc>
        <w:tc>
          <w:tcPr/>
          <w:p>
            <w:pPr>
              <w:pStyle w:val="Compact"/>
              <w:jc w:val="center"/>
            </w:pPr>
            <w:r>
              <w:t xml:space="preserve">0.35</w:t>
            </w:r>
          </w:p>
        </w:tc>
        <w:tc>
          <w:tcPr/>
          <w:p>
            <w:pPr>
              <w:pStyle w:val="Compact"/>
              <w:jc w:val="center"/>
            </w:pPr>
            <w:r>
              <w:t xml:space="preserve">0.29</w:t>
            </w:r>
          </w:p>
        </w:tc>
        <w:tc>
          <w:tcPr/>
          <w:p>
            <w:pPr>
              <w:pStyle w:val="Compact"/>
              <w:jc w:val="center"/>
            </w:pPr>
            <w:r>
              <w:t xml:space="preserve">0.24</w:t>
            </w:r>
          </w:p>
        </w:tc>
        <w:tc>
          <w:tcPr/>
          <w:p>
            <w:pPr>
              <w:pStyle w:val="Compact"/>
              <w:jc w:val="center"/>
            </w:pPr>
            <w:r>
              <w:t xml:space="preserve">0.24</w:t>
            </w:r>
          </w:p>
        </w:tc>
      </w:tr>
      <w:tr>
        <w:tc>
          <w:tcPr/>
          <w:p>
            <w:pPr>
              <w:pStyle w:val="Compact"/>
              <w:jc w:val="left"/>
            </w:pPr>
            <w:r>
              <w:t xml:space="preserve">Qwen2.5-7B</w:t>
            </w:r>
          </w:p>
        </w:tc>
        <w:tc>
          <w:tcPr/>
          <w:p>
            <w:pPr>
              <w:pStyle w:val="Compact"/>
              <w:jc w:val="center"/>
            </w:pPr>
            <w:r>
              <w:t xml:space="preserve">0.73</w:t>
            </w:r>
          </w:p>
        </w:tc>
        <w:tc>
          <w:tcPr/>
          <w:p>
            <w:pPr>
              <w:pStyle w:val="Compact"/>
              <w:jc w:val="center"/>
            </w:pPr>
            <w:r>
              <w:t xml:space="preserve">0.68</w:t>
            </w:r>
          </w:p>
        </w:tc>
        <w:tc>
          <w:tcPr/>
          <w:p>
            <w:pPr>
              <w:pStyle w:val="Compact"/>
              <w:jc w:val="center"/>
            </w:pPr>
            <w:r>
              <w:t xml:space="preserve">0.65</w:t>
            </w:r>
          </w:p>
        </w:tc>
        <w:tc>
          <w:tcPr/>
          <w:p>
            <w:pPr>
              <w:pStyle w:val="Compact"/>
              <w:jc w:val="center"/>
            </w:pPr>
            <w:r>
              <w:t xml:space="preserve">0.61</w:t>
            </w:r>
          </w:p>
        </w:tc>
        <w:tc>
          <w:tcPr/>
          <w:p>
            <w:pPr>
              <w:pStyle w:val="Compact"/>
              <w:jc w:val="center"/>
            </w:pPr>
            <w:r>
              <w:t xml:space="preserve">0.56</w:t>
            </w:r>
          </w:p>
        </w:tc>
      </w:tr>
      <w:tr>
        <w:tc>
          <w:tcPr/>
          <w:p>
            <w:pPr>
              <w:pStyle w:val="Compact"/>
              <w:jc w:val="left"/>
            </w:pPr>
            <w:r>
              <w:t xml:space="preserve">Llama-3.1-8B</w:t>
            </w:r>
          </w:p>
        </w:tc>
        <w:tc>
          <w:tcPr/>
          <w:p>
            <w:pPr>
              <w:pStyle w:val="Compact"/>
              <w:jc w:val="center"/>
            </w:pPr>
            <w:r>
              <w:t xml:space="preserve">0.71</w:t>
            </w:r>
          </w:p>
        </w:tc>
        <w:tc>
          <w:tcPr/>
          <w:p>
            <w:pPr>
              <w:pStyle w:val="Compact"/>
              <w:jc w:val="center"/>
            </w:pPr>
            <w:r>
              <w:t xml:space="preserve">0.68</w:t>
            </w:r>
          </w:p>
        </w:tc>
        <w:tc>
          <w:tcPr/>
          <w:p>
            <w:pPr>
              <w:pStyle w:val="Compact"/>
              <w:jc w:val="center"/>
            </w:pPr>
            <w:r>
              <w:t xml:space="preserve">0.65</w:t>
            </w:r>
          </w:p>
        </w:tc>
        <w:tc>
          <w:tcPr/>
          <w:p>
            <w:pPr>
              <w:pStyle w:val="Compact"/>
              <w:jc w:val="center"/>
            </w:pPr>
            <w:r>
              <w:t xml:space="preserve">0.67</w:t>
            </w:r>
          </w:p>
        </w:tc>
        <w:tc>
          <w:tcPr/>
          <w:p>
            <w:pPr>
              <w:pStyle w:val="Compact"/>
              <w:jc w:val="center"/>
            </w:pPr>
            <w:r>
              <w:t xml:space="preserve">0.61</w:t>
            </w:r>
          </w:p>
        </w:tc>
      </w:tr>
      <w:tr>
        <w:tc>
          <w:tcPr/>
          <w:p>
            <w:pPr>
              <w:pStyle w:val="Compact"/>
              <w:jc w:val="left"/>
            </w:pPr>
            <w:r>
              <w:t xml:space="preserve">GPT-4o-mini</w:t>
            </w:r>
          </w:p>
        </w:tc>
        <w:tc>
          <w:tcPr/>
          <w:p>
            <w:pPr>
              <w:pStyle w:val="Compact"/>
              <w:jc w:val="center"/>
            </w:pPr>
            <w:r>
              <w:t xml:space="preserve">0.87</w:t>
            </w:r>
          </w:p>
        </w:tc>
        <w:tc>
          <w:tcPr/>
          <w:p>
            <w:pPr>
              <w:pStyle w:val="Compact"/>
              <w:jc w:val="center"/>
            </w:pPr>
            <w:r>
              <w:t xml:space="preserve">0.75</w:t>
            </w:r>
          </w:p>
        </w:tc>
        <w:tc>
          <w:tcPr/>
          <w:p>
            <w:pPr>
              <w:pStyle w:val="Compact"/>
              <w:jc w:val="center"/>
            </w:pPr>
            <w:r>
              <w:t xml:space="preserve">0.69</w:t>
            </w:r>
          </w:p>
        </w:tc>
        <w:tc>
          <w:tcPr/>
          <w:p>
            <w:pPr>
              <w:pStyle w:val="Compact"/>
              <w:jc w:val="center"/>
            </w:pPr>
            <w:r>
              <w:t xml:space="preserve">0.67</w:t>
            </w:r>
          </w:p>
        </w:tc>
        <w:tc>
          <w:tcPr/>
          <w:p>
            <w:pPr>
              <w:pStyle w:val="Compact"/>
              <w:jc w:val="center"/>
            </w:pPr>
            <w:r>
              <w:t xml:space="preserve">0.61</w:t>
            </w:r>
          </w:p>
        </w:tc>
      </w:tr>
      <w:tr>
        <w:tc>
          <w:tcPr/>
          <w:p>
            <w:pPr>
              <w:pStyle w:val="Compact"/>
              <w:jc w:val="left"/>
            </w:pPr>
            <w:r>
              <w:t xml:space="preserve">Gemini 2.5 FL</w:t>
            </w:r>
          </w:p>
        </w:tc>
        <w:tc>
          <w:tcPr/>
          <w:p>
            <w:pPr>
              <w:pStyle w:val="Compact"/>
              <w:jc w:val="center"/>
            </w:pPr>
            <w:r>
              <w:t xml:space="preserve">0.79</w:t>
            </w:r>
          </w:p>
        </w:tc>
        <w:tc>
          <w:tcPr/>
          <w:p>
            <w:pPr>
              <w:pStyle w:val="Compact"/>
              <w:jc w:val="center"/>
            </w:pPr>
            <w:r>
              <w:t xml:space="preserve">0.71</w:t>
            </w:r>
          </w:p>
        </w:tc>
        <w:tc>
          <w:tcPr/>
          <w:p>
            <w:pPr>
              <w:pStyle w:val="Compact"/>
              <w:jc w:val="center"/>
            </w:pPr>
            <w:r>
              <w:t xml:space="preserve">0.71</w:t>
            </w:r>
          </w:p>
        </w:tc>
        <w:tc>
          <w:tcPr/>
          <w:p>
            <w:pPr>
              <w:pStyle w:val="Compact"/>
              <w:jc w:val="center"/>
            </w:pPr>
            <w:r>
              <w:t xml:space="preserve">0.65</w:t>
            </w:r>
          </w:p>
        </w:tc>
        <w:tc>
          <w:tcPr/>
          <w:p>
            <w:pPr>
              <w:pStyle w:val="Compact"/>
              <w:jc w:val="center"/>
            </w:pPr>
            <w:r>
              <w:t xml:space="preserve">0.64</w:t>
            </w:r>
          </w:p>
        </w:tc>
      </w:tr>
      <w:tr>
        <w:tc>
          <w:tcPr/>
          <w:p>
            <w:pPr>
              <w:pStyle w:val="Compact"/>
              <w:jc w:val="left"/>
            </w:pPr>
            <w:r>
              <w:t xml:space="preserve">Claude-3-Haiku</w:t>
            </w:r>
          </w:p>
        </w:tc>
        <w:tc>
          <w:tcPr/>
          <w:p>
            <w:pPr>
              <w:pStyle w:val="Compact"/>
              <w:jc w:val="center"/>
            </w:pPr>
            <w:r>
              <w:t xml:space="preserve">0.80</w:t>
            </w:r>
          </w:p>
        </w:tc>
        <w:tc>
          <w:tcPr/>
          <w:p>
            <w:pPr>
              <w:pStyle w:val="Compact"/>
              <w:jc w:val="center"/>
            </w:pPr>
            <w:r>
              <w:t xml:space="preserve">0.69</w:t>
            </w:r>
          </w:p>
        </w:tc>
        <w:tc>
          <w:tcPr/>
          <w:p>
            <w:pPr>
              <w:pStyle w:val="Compact"/>
              <w:jc w:val="center"/>
            </w:pPr>
            <w:r>
              <w:t xml:space="preserve">0.67</w:t>
            </w:r>
          </w:p>
        </w:tc>
        <w:tc>
          <w:tcPr/>
          <w:p>
            <w:pPr>
              <w:pStyle w:val="Compact"/>
              <w:jc w:val="center"/>
            </w:pPr>
            <w:r>
              <w:t xml:space="preserve">0.65</w:t>
            </w:r>
          </w:p>
        </w:tc>
        <w:tc>
          <w:tcPr/>
          <w:p>
            <w:pPr>
              <w:pStyle w:val="Compact"/>
              <w:jc w:val="center"/>
            </w:pPr>
            <w:r>
              <w:t xml:space="preserve">0.65</w:t>
            </w:r>
          </w:p>
        </w:tc>
      </w:tr>
      <w:tr>
        <w:tc>
          <w:tcPr/>
          <w:p>
            <w:pPr>
              <w:pStyle w:val="Compact"/>
              <w:jc w:val="left"/>
            </w:pPr>
            <w:r>
              <w:t xml:space="preserve">Llama-3.3-70B</w:t>
            </w:r>
          </w:p>
        </w:tc>
        <w:tc>
          <w:tcPr/>
          <w:p>
            <w:pPr>
              <w:pStyle w:val="Compact"/>
              <w:jc w:val="center"/>
            </w:pPr>
            <w:r>
              <w:t xml:space="preserve">0.68</w:t>
            </w:r>
          </w:p>
        </w:tc>
        <w:tc>
          <w:tcPr/>
          <w:p>
            <w:pPr>
              <w:pStyle w:val="Compact"/>
              <w:jc w:val="center"/>
            </w:pPr>
            <w:r>
              <w:t xml:space="preserve">0.61</w:t>
            </w:r>
          </w:p>
        </w:tc>
        <w:tc>
          <w:tcPr/>
          <w:p>
            <w:pPr>
              <w:pStyle w:val="Compact"/>
              <w:jc w:val="center"/>
            </w:pPr>
            <w:r>
              <w:t xml:space="preserve">0.63</w:t>
            </w:r>
          </w:p>
        </w:tc>
        <w:tc>
          <w:tcPr/>
          <w:p>
            <w:pPr>
              <w:pStyle w:val="Compact"/>
              <w:jc w:val="center"/>
            </w:pPr>
            <w:r>
              <w:t xml:space="preserve">0.65</w:t>
            </w:r>
          </w:p>
        </w:tc>
        <w:tc>
          <w:tcPr/>
          <w:p>
            <w:pPr>
              <w:pStyle w:val="Compact"/>
              <w:jc w:val="center"/>
            </w:pPr>
            <w:r>
              <w:t xml:space="preserve">0.57</w:t>
            </w:r>
          </w:p>
        </w:tc>
      </w:tr>
      <w:tr>
        <w:tc>
          <w:tcPr/>
          <w:p>
            <w:pPr>
              <w:pStyle w:val="Compact"/>
              <w:jc w:val="left"/>
            </w:pPr>
            <w:r>
              <w:t xml:space="preserve">Qwen2.5-72B</w:t>
            </w:r>
          </w:p>
        </w:tc>
        <w:tc>
          <w:tcPr/>
          <w:p>
            <w:pPr>
              <w:pStyle w:val="Compact"/>
              <w:jc w:val="center"/>
            </w:pPr>
            <w:r>
              <w:t xml:space="preserve">0.84</w:t>
            </w:r>
          </w:p>
        </w:tc>
        <w:tc>
          <w:tcPr/>
          <w:p>
            <w:pPr>
              <w:pStyle w:val="Compact"/>
              <w:jc w:val="center"/>
            </w:pPr>
            <w:r>
              <w:t xml:space="preserve">0.73</w:t>
            </w:r>
          </w:p>
        </w:tc>
        <w:tc>
          <w:tcPr/>
          <w:p>
            <w:pPr>
              <w:pStyle w:val="Compact"/>
              <w:jc w:val="center"/>
            </w:pPr>
            <w:r>
              <w:t xml:space="preserve">0.68</w:t>
            </w:r>
          </w:p>
        </w:tc>
        <w:tc>
          <w:tcPr/>
          <w:p>
            <w:pPr>
              <w:pStyle w:val="Compact"/>
              <w:jc w:val="center"/>
            </w:pPr>
            <w:r>
              <w:t xml:space="preserve">0.67</w:t>
            </w:r>
          </w:p>
        </w:tc>
        <w:tc>
          <w:tcPr/>
          <w:p>
            <w:pPr>
              <w:pStyle w:val="Compact"/>
              <w:jc w:val="center"/>
            </w:pPr>
            <w:r>
              <w:t xml:space="preserve">0.67</w:t>
            </w:r>
          </w:p>
        </w:tc>
      </w:tr>
      <w:tr>
        <w:tc>
          <w:tcPr/>
          <w:p>
            <w:pPr>
              <w:pStyle w:val="Compact"/>
              <w:jc w:val="left"/>
            </w:pPr>
            <w:r>
              <w:t xml:space="preserve">DeepSeek-V3</w:t>
            </w:r>
          </w:p>
        </w:tc>
        <w:tc>
          <w:tcPr/>
          <w:p>
            <w:pPr>
              <w:pStyle w:val="Compact"/>
              <w:jc w:val="center"/>
            </w:pPr>
            <w:r>
              <w:t xml:space="preserve">0.83</w:t>
            </w:r>
          </w:p>
        </w:tc>
        <w:tc>
          <w:tcPr/>
          <w:p>
            <w:pPr>
              <w:pStyle w:val="Compact"/>
              <w:jc w:val="center"/>
            </w:pPr>
            <w:r>
              <w:t xml:space="preserve">0.79</w:t>
            </w:r>
          </w:p>
        </w:tc>
        <w:tc>
          <w:tcPr/>
          <w:p>
            <w:pPr>
              <w:pStyle w:val="Compact"/>
              <w:jc w:val="center"/>
            </w:pPr>
            <w:r>
              <w:t xml:space="preserve">0.75</w:t>
            </w:r>
          </w:p>
        </w:tc>
        <w:tc>
          <w:tcPr/>
          <w:p>
            <w:pPr>
              <w:pStyle w:val="Compact"/>
              <w:jc w:val="center"/>
            </w:pPr>
            <w:r>
              <w:t xml:space="preserve">0.69</w:t>
            </w:r>
          </w:p>
        </w:tc>
        <w:tc>
          <w:tcPr/>
          <w:p>
            <w:pPr>
              <w:pStyle w:val="Compact"/>
              <w:jc w:val="center"/>
            </w:pPr>
            <w:r>
              <w:t xml:space="preserve">0.64</w:t>
            </w:r>
          </w:p>
        </w:tc>
      </w:tr>
    </w:tbl>
    <w:bookmarkEnd w:id="19"/>
    <w:p/>
    <w:bookmarkStart w:id="20" w:name="tab:rstep"/>
    <w:p>
      <w:pPr>
        <w:pStyle w:val="TableCaption"/>
      </w:pPr>
      <w:r>
        <w:t xml:space="preserve">Per-step reliability rises with capability and saturates near</w:t>
      </w:r>
      <w:r>
        <w:t xml:space="preserve"> </w:t>
      </w:r>
      <m:oMath>
        <m:r>
          <m:t>0.7</m:t>
        </m:r>
      </m:oMath>
      <w:r>
        <w:t xml:space="preserve"> </w:t>
      </w:r>
      <w:r>
        <w:t xml:space="preserve">for strong</w:t>
      </w:r>
      <w:r>
        <w:t xml:space="preserve"> </w:t>
      </w:r>
      <w:r>
        <w:t xml:space="preserve">open and deployed models (Pearson</w:t>
      </w:r>
      <w:r>
        <w:t xml:space="preserve"> </w:t>
      </w:r>
      <m:oMath>
        <m:r>
          <m:t>0.36</m:t>
        </m:r>
      </m:oMath>
      <w:r>
        <w:t xml:space="preserve"> </w:t>
      </w:r>
      <w:r>
        <w:t xml:space="preserve">vs. </w:t>
      </w:r>
      <m:oMath>
        <m:r>
          <m:rPr>
            <m:sty m:val="p"/>
          </m:rPr>
          <m:t>log</m:t>
        </m:r>
      </m:oMath>
      <w:r>
        <w:t xml:space="preserve"> </w:t>
      </w:r>
      <w:r>
        <w:t xml:space="preserve">params over the open models). No</w:t>
      </w:r>
      <w:r>
        <w:t xml:space="preserve"> </w:t>
      </w:r>
      <w:r>
        <w:t xml:space="preserve">model reaches</w:t>
      </w:r>
      <w:r>
        <w:t xml:space="preserve"> </w:t>
      </w:r>
      <m:oMath>
        <m:r>
          <m:t>r</m:t>
        </m:r>
        <m:r>
          <m:rPr>
            <m:sty m:val="p"/>
          </m:rPr>
          <m:t>=</m:t>
        </m:r>
        <m:r>
          <m:t>1</m:t>
        </m:r>
      </m:oMath>
      <w:r>
        <w:t xml:space="preserve"> </w:t>
      </w:r>
      <w:r>
        <w:t xml:space="preserve">on non-trivial tasks, so</w:t>
      </w:r>
      <w:r>
        <w:t xml:space="preserve"> </w:t>
      </w:r>
      <m:oMath>
        <m:sSup>
          <m:e>
            <m:r>
              <m:t>r</m:t>
            </m:r>
          </m:e>
          <m:sup>
            <m:r>
              <m:t>H</m:t>
            </m:r>
          </m:sup>
        </m:sSup>
      </m:oMath>
      <w:r>
        <w:t xml:space="preserve"> </w:t>
      </w:r>
      <w:r>
        <w:t xml:space="preserve">guarantees</w:t>
      </w:r>
      <w:r>
        <w:t xml:space="preserve"> </w:t>
      </w:r>
      <w:r>
        <w:t xml:space="preserve">long-horizon collapse.</w:t>
      </w:r>
    </w:p>
    <w:tbl>
      <w:tblPr>
        <w:tblStyle w:val="Table"/>
        <w:tblW w:type="auto" w:w="0"/>
        <w:tblLook w:firstRow="1" w:lastRow="0" w:firstColumn="0" w:lastColumn="0" w:noHBand="0" w:noVBand="0" w:val="0020"/>
        <w:tblCaption w:val="Per-step reliability rises with capability and saturates near 0.7 for strong open and deployed models (Pearson 0.36 vs. \log params over the open models). No model reaches r{=}1 on non-trivial tasks, so r^{H} guarantees long-horizon collapse."/>
      </w:tblPr>
      <w:tblGrid>
        <w:gridCol w:w="2640"/>
        <w:gridCol w:w="2640"/>
        <w:gridCol w:w="2640"/>
      </w:tblGrid>
      <w:tr>
        <w:trPr>
          <w:tblHeader w:val="on"/>
        </w:trPr>
        <w:tc>
          <w:tcPr/>
          <w:p>
            <w:pPr>
              <w:pStyle w:val="Compact"/>
              <w:jc w:val="left"/>
            </w:pPr>
            <w:r>
              <w:t xml:space="preserve">model</w:t>
            </w:r>
          </w:p>
        </w:tc>
        <w:tc>
          <w:tcPr/>
          <w:p>
            <w:pPr>
              <w:pStyle w:val="Compact"/>
              <w:jc w:val="center"/>
            </w:pPr>
            <w:r>
              <w:t xml:space="preserve">vendor</w:t>
            </w:r>
          </w:p>
        </w:tc>
        <w:tc>
          <w:tcPr/>
          <w:p>
            <w:pPr>
              <w:pStyle w:val="Compact"/>
              <w:jc w:val="center"/>
            </w:pPr>
            <w:r>
              <w:t xml:space="preserve">per-step reliability</w:t>
            </w:r>
            <w:r>
              <w:t xml:space="preserve"> </w:t>
            </w:r>
            <m:oMath>
              <m:r>
                <m:t>r</m:t>
              </m:r>
            </m:oMath>
          </w:p>
        </w:tc>
      </w:tr>
      <w:tr>
        <w:tc>
          <w:tcPr/>
          <w:p>
            <w:pPr>
              <w:pStyle w:val="Compact"/>
              <w:jc w:val="left"/>
            </w:pPr>
            <w:r>
              <w:t xml:space="preserve">Llama-3.2-1B</w:t>
            </w:r>
          </w:p>
        </w:tc>
        <w:tc>
          <w:tcPr/>
          <w:p>
            <w:pPr>
              <w:pStyle w:val="Compact"/>
              <w:jc w:val="center"/>
            </w:pPr>
            <w:r>
              <w:t xml:space="preserve">Meta</w:t>
            </w:r>
          </w:p>
        </w:tc>
        <w:tc>
          <w:tcPr/>
          <w:p>
            <w:pPr>
              <w:pStyle w:val="Compact"/>
              <w:jc w:val="center"/>
            </w:pPr>
            <w:r>
              <w:t xml:space="preserve">0.16</w:t>
            </w:r>
          </w:p>
        </w:tc>
      </w:tr>
      <w:tr>
        <w:tc>
          <w:tcPr/>
          <w:p>
            <w:pPr>
              <w:pStyle w:val="Compact"/>
              <w:jc w:val="left"/>
            </w:pPr>
            <w:r>
              <w:t xml:space="preserve">Qwen2.5-7B</w:t>
            </w:r>
          </w:p>
        </w:tc>
        <w:tc>
          <w:tcPr/>
          <w:p>
            <w:pPr>
              <w:pStyle w:val="Compact"/>
              <w:jc w:val="center"/>
            </w:pPr>
            <w:r>
              <w:t xml:space="preserve">Alibaba</w:t>
            </w:r>
          </w:p>
        </w:tc>
        <w:tc>
          <w:tcPr/>
          <w:p>
            <w:pPr>
              <w:pStyle w:val="Compact"/>
              <w:jc w:val="center"/>
            </w:pPr>
            <w:r>
              <w:t xml:space="preserve">0.60</w:t>
            </w:r>
          </w:p>
        </w:tc>
      </w:tr>
      <w:tr>
        <w:tc>
          <w:tcPr/>
          <w:p>
            <w:pPr>
              <w:pStyle w:val="Compact"/>
              <w:jc w:val="left"/>
            </w:pPr>
            <w:r>
              <w:t xml:space="preserve">Llama-3.1-8B</w:t>
            </w:r>
          </w:p>
        </w:tc>
        <w:tc>
          <w:tcPr/>
          <w:p>
            <w:pPr>
              <w:pStyle w:val="Compact"/>
              <w:jc w:val="center"/>
            </w:pPr>
            <w:r>
              <w:t xml:space="preserve">Meta</w:t>
            </w:r>
          </w:p>
        </w:tc>
        <w:tc>
          <w:tcPr/>
          <w:p>
            <w:pPr>
              <w:pStyle w:val="Compact"/>
              <w:jc w:val="center"/>
            </w:pPr>
            <w:r>
              <w:t xml:space="preserve">0.64</w:t>
            </w:r>
          </w:p>
        </w:tc>
      </w:tr>
      <w:tr>
        <w:tc>
          <w:tcPr/>
          <w:p>
            <w:pPr>
              <w:pStyle w:val="Compact"/>
              <w:jc w:val="left"/>
            </w:pPr>
            <w:r>
              <w:t xml:space="preserve">Llama-3.3-70B</w:t>
            </w:r>
          </w:p>
        </w:tc>
        <w:tc>
          <w:tcPr/>
          <w:p>
            <w:pPr>
              <w:pStyle w:val="Compact"/>
              <w:jc w:val="center"/>
            </w:pPr>
            <w:r>
              <w:t xml:space="preserve">Meta</w:t>
            </w:r>
          </w:p>
        </w:tc>
        <w:tc>
          <w:tcPr/>
          <w:p>
            <w:pPr>
              <w:pStyle w:val="Compact"/>
              <w:jc w:val="center"/>
            </w:pPr>
            <w:r>
              <w:t xml:space="preserve">0.61</w:t>
            </w:r>
          </w:p>
        </w:tc>
      </w:tr>
      <w:tr>
        <w:tc>
          <w:tcPr/>
          <w:p>
            <w:pPr>
              <w:pStyle w:val="Compact"/>
              <w:jc w:val="left"/>
            </w:pPr>
            <w:r>
              <w:t xml:space="preserve">Qwen2.5-72B</w:t>
            </w:r>
          </w:p>
        </w:tc>
        <w:tc>
          <w:tcPr/>
          <w:p>
            <w:pPr>
              <w:pStyle w:val="Compact"/>
              <w:jc w:val="center"/>
            </w:pPr>
            <w:r>
              <w:t xml:space="preserve">Alibaba</w:t>
            </w:r>
          </w:p>
        </w:tc>
        <w:tc>
          <w:tcPr/>
          <w:p>
            <w:pPr>
              <w:pStyle w:val="Compact"/>
              <w:jc w:val="center"/>
            </w:pPr>
            <w:r>
              <w:t xml:space="preserve">0.71</w:t>
            </w:r>
          </w:p>
        </w:tc>
      </w:tr>
      <w:tr>
        <w:tc>
          <w:tcPr/>
          <w:p>
            <w:pPr>
              <w:pStyle w:val="Compact"/>
              <w:jc w:val="left"/>
            </w:pPr>
            <w:r>
              <w:t xml:space="preserve">DeepSeek-V3</w:t>
            </w:r>
          </w:p>
        </w:tc>
        <w:tc>
          <w:tcPr/>
          <w:p>
            <w:pPr>
              <w:pStyle w:val="Compact"/>
              <w:jc w:val="center"/>
            </w:pPr>
            <w:r>
              <w:t xml:space="preserve">DeepSeek</w:t>
            </w:r>
          </w:p>
        </w:tc>
        <w:tc>
          <w:tcPr/>
          <w:p>
            <w:pPr>
              <w:pStyle w:val="Compact"/>
              <w:jc w:val="center"/>
            </w:pPr>
            <w:r>
              <w:t xml:space="preserve">0.72</w:t>
            </w:r>
          </w:p>
        </w:tc>
      </w:tr>
      <w:tr>
        <w:tc>
          <w:tcPr/>
          <w:p>
            <w:pPr>
              <w:pStyle w:val="Compact"/>
              <w:jc w:val="left"/>
            </w:pPr>
            <w:r>
              <w:t xml:space="preserve">GPT-4o-mini</w:t>
            </w:r>
          </w:p>
        </w:tc>
        <w:tc>
          <w:tcPr/>
          <w:p>
            <w:pPr>
              <w:pStyle w:val="Compact"/>
              <w:jc w:val="center"/>
            </w:pPr>
            <w:r>
              <w:t xml:space="preserve">OpenAI</w:t>
            </w:r>
          </w:p>
        </w:tc>
        <w:tc>
          <w:tcPr/>
          <w:p>
            <w:pPr>
              <w:pStyle w:val="Compact"/>
              <w:jc w:val="center"/>
            </w:pPr>
            <w:r>
              <w:t xml:space="preserve">0.68</w:t>
            </w:r>
          </w:p>
        </w:tc>
      </w:tr>
      <w:tr>
        <w:tc>
          <w:tcPr/>
          <w:p>
            <w:pPr>
              <w:pStyle w:val="Compact"/>
              <w:jc w:val="left"/>
            </w:pPr>
            <w:r>
              <w:t xml:space="preserve">Gemini 2.5 FL</w:t>
            </w:r>
          </w:p>
        </w:tc>
        <w:tc>
          <w:tcPr/>
          <w:p>
            <w:pPr>
              <w:pStyle w:val="Compact"/>
              <w:jc w:val="center"/>
            </w:pPr>
            <w:r>
              <w:t xml:space="preserve">Google</w:t>
            </w:r>
          </w:p>
        </w:tc>
        <w:tc>
          <w:tcPr/>
          <w:p>
            <w:pPr>
              <w:pStyle w:val="Compact"/>
              <w:jc w:val="center"/>
            </w:pPr>
            <w:r>
              <w:t xml:space="preserve">0.69</w:t>
            </w:r>
          </w:p>
        </w:tc>
      </w:tr>
      <w:tr>
        <w:tc>
          <w:tcPr/>
          <w:p>
            <w:pPr>
              <w:pStyle w:val="Compact"/>
              <w:jc w:val="left"/>
            </w:pPr>
            <w:r>
              <w:t xml:space="preserve">Claude-3-Haiku</w:t>
            </w:r>
          </w:p>
        </w:tc>
        <w:tc>
          <w:tcPr/>
          <w:p>
            <w:pPr>
              <w:pStyle w:val="Compact"/>
              <w:jc w:val="center"/>
            </w:pPr>
            <w:r>
              <w:t xml:space="preserve">Anthropic</w:t>
            </w:r>
          </w:p>
        </w:tc>
        <w:tc>
          <w:tcPr/>
          <w:p>
            <w:pPr>
              <w:pStyle w:val="Compact"/>
              <w:jc w:val="center"/>
            </w:pPr>
            <w:r>
              <w:t xml:space="preserve">0.68</w:t>
            </w:r>
          </w:p>
        </w:tc>
      </w:tr>
    </w:tbl>
    <w:bookmarkEnd w:id="20"/>
    <w:bookmarkEnd w:id="21"/>
    <w:bookmarkStart w:id="23" w:name="sec:agentic"/>
    <w:p>
      <w:pPr>
        <w:pStyle w:val="Heading2"/>
      </w:pPr>
      <w:r>
        <w:t xml:space="preserve">The agentic task: deployed models collapse by</w:t>
      </w:r>
      <w:r>
        <w:t xml:space="preserve"> </w:t>
      </w:r>
      <m:oMath>
        <m:r>
          <m:t>H</m:t>
        </m:r>
        <m:r>
          <m:rPr>
            <m:sty m:val="p"/>
          </m:rPr>
          <m:t>=</m:t>
        </m:r>
        <m:r>
          <m:t>16</m:t>
        </m:r>
      </m:oMath>
    </w:p>
    <w:p>
      <w:pPr>
        <w:pStyle w:val="FirstParagraph"/>
      </w:pPr>
      <w:r>
        <w:t xml:space="preserve">The streaming families could be dismissed as structured-output probes. The</w:t>
      </w:r>
      <w:r>
        <w:t xml:space="preserve"> </w:t>
      </w:r>
      <w:r>
        <w:rPr>
          <w:rStyle w:val="VerbatimChar"/>
        </w:rPr>
        <w:t xml:space="preserve">toolqa</w:t>
      </w:r>
      <w:r>
        <w:t xml:space="preserve"> </w:t>
      </w:r>
      <w:r>
        <w:t xml:space="preserve">family removes that objection: the agent runs a real ReAct loop,</w:t>
      </w:r>
      <w:r>
        <w:t xml:space="preserve"> </w:t>
      </w:r>
      <w:r>
        <w:t xml:space="preserve">issuing its own</w:t>
      </w:r>
      <w:r>
        <w:t xml:space="preserve"> </w:t>
      </w:r>
      <w:r>
        <w:rPr>
          <w:rStyle w:val="VerbatimChar"/>
        </w:rPr>
        <w:t xml:space="preserve">inspect</w:t>
      </w:r>
      <w:r>
        <w:t xml:space="preserve"> </w:t>
      </w:r>
      <w:r>
        <w:t xml:space="preserve">tool calls to traverse a chain it cannot pre-plan</w:t>
      </w:r>
      <w:r>
        <w:t xml:space="preserve"> </w:t>
      </w:r>
      <w:r>
        <w:t xml:space="preserve">(Table </w:t>
      </w:r>
      <w:hyperlink w:anchor="tab:toolqa">
        <w:r>
          <w:rPr>
            <w:rStyle w:val="Hyperlink"/>
          </w:rPr>
          <w:t xml:space="preserve">3</w:t>
        </w:r>
      </w:hyperlink>
      <w:r>
        <w:t xml:space="preserve">). Here degradation is starkest. Nearly every model solves</w:t>
      </w:r>
      <w:r>
        <w:t xml:space="preserve"> </w:t>
      </w:r>
      <m:oMath>
        <m:r>
          <m:t>H</m:t>
        </m:r>
        <m:r>
          <m:rPr>
            <m:sty m:val="p"/>
          </m:rPr>
          <m:t>=</m:t>
        </m:r>
        <m:r>
          <m:t>2</m:t>
        </m:r>
      </m:oMath>
      <w:r>
        <w:t xml:space="preserve"> </w:t>
      </w:r>
      <w:r>
        <w:t xml:space="preserve">perfectly, but success collapses with horizon: GPT-4o-mini</w:t>
      </w:r>
      <w:r>
        <w:t xml:space="preserve"> </w:t>
      </w:r>
      <m:oMath>
        <m:r>
          <m:t>1.00</m:t>
        </m:r>
        <m:r>
          <m:rPr>
            <m:sty m:val="p"/>
          </m:rPr>
          <m:t>→</m:t>
        </m:r>
        <m:r>
          <m:t>0.07</m:t>
        </m:r>
      </m:oMath>
      <w:r>
        <w:t xml:space="preserve">,</w:t>
      </w:r>
      <w:r>
        <w:t xml:space="preserve"> </w:t>
      </w:r>
      <w:r>
        <w:t xml:space="preserve">Claude-3-Haiku</w:t>
      </w:r>
      <w:r>
        <w:t xml:space="preserve"> </w:t>
      </w:r>
      <m:oMath>
        <m:r>
          <m:t>1.00</m:t>
        </m:r>
        <m:r>
          <m:rPr>
            <m:sty m:val="p"/>
          </m:rPr>
          <m:t>→</m:t>
        </m:r>
        <m:r>
          <m:t>0.00</m:t>
        </m:r>
      </m:oMath>
      <w:r>
        <w:t xml:space="preserve">, DeepSeek-V3</w:t>
      </w:r>
      <w:r>
        <w:t xml:space="preserve"> </w:t>
      </w:r>
      <m:oMath>
        <m:r>
          <m:t>1.00</m:t>
        </m:r>
        <m:r>
          <m:rPr>
            <m:sty m:val="p"/>
          </m:rPr>
          <m:t>→</m:t>
        </m:r>
        <m:r>
          <m:t>0.27</m:t>
        </m:r>
      </m:oMath>
      <w:r>
        <w:t xml:space="preserve">, Qwen2.5-72B</w:t>
      </w:r>
      <w:r>
        <w:t xml:space="preserve"> </w:t>
      </w:r>
      <m:oMath>
        <m:r>
          <m:t>1.00</m:t>
        </m:r>
        <m:r>
          <m:rPr>
            <m:sty m:val="p"/>
          </m:rPr>
          <m:t>→</m:t>
        </m:r>
        <m:r>
          <m:t>0.13</m:t>
        </m:r>
      </m:oMath>
      <w:r>
        <w:t xml:space="preserve"> </w:t>
      </w:r>
      <w:r>
        <w:t xml:space="preserve">from</w:t>
      </w:r>
      <w:r>
        <w:t xml:space="preserve"> </w:t>
      </w:r>
      <m:oMath>
        <m:r>
          <m:t>H</m:t>
        </m:r>
        <m:r>
          <m:rPr>
            <m:sty m:val="p"/>
          </m:rPr>
          <m:t>=</m:t>
        </m:r>
        <m:r>
          <m:t>2</m:t>
        </m:r>
      </m:oMath>
      <w:r>
        <w:t xml:space="preserve"> </w:t>
      </w:r>
      <w:r>
        <w:t xml:space="preserve">to</w:t>
      </w:r>
      <w:r>
        <w:t xml:space="preserve"> </w:t>
      </w:r>
      <m:oMath>
        <m:r>
          <m:t>H</m:t>
        </m:r>
        <m:r>
          <m:rPr>
            <m:sty m:val="p"/>
          </m:rPr>
          <m:t>=</m:t>
        </m:r>
        <m:r>
          <m:t>16</m:t>
        </m:r>
      </m:oMath>
      <w:r>
        <w:t xml:space="preserve">. A self-directed tool loop is</w:t>
      </w:r>
      <w:r>
        <w:t xml:space="preserve"> </w:t>
      </w:r>
      <w:r>
        <w:rPr>
          <w:i/>
          <w:iCs/>
        </w:rPr>
        <w:t xml:space="preserve">less</w:t>
      </w:r>
      <w:r>
        <w:t xml:space="preserve"> </w:t>
      </w:r>
      <w:r>
        <w:t xml:space="preserve">forgiving than the</w:t>
      </w:r>
      <w:r>
        <w:t xml:space="preserve"> </w:t>
      </w:r>
      <w:r>
        <w:t xml:space="preserve">streaming tasks: a single wrong hop is unrecoverable and the agent has no oracle to</w:t>
      </w:r>
      <w:r>
        <w:t xml:space="preserve"> </w:t>
      </w:r>
      <w:r>
        <w:t xml:space="preserve">catch it. That deployed, widely used models collapse within 16 agentic steps on a task</w:t>
      </w:r>
      <w:r>
        <w:t xml:space="preserve"> </w:t>
      </w:r>
      <w:r>
        <w:t xml:space="preserve">each solves perfectly at 2 steps is, we think, the paper’s most striking result.</w:t>
      </w:r>
    </w:p>
    <w:bookmarkStart w:id="22" w:name="tab:toolqa"/>
    <w:p>
      <w:pPr>
        <w:pStyle w:val="TableCaption"/>
      </w:pPr>
      <w:r>
        <w:t xml:space="preserve">On a genuinely agentic multi-hop tool-use loop, every model collapses from</w:t>
      </w:r>
      <w:r>
        <w:t xml:space="preserve"> </w:t>
      </w:r>
      <w:r>
        <w:t xml:space="preserve">near-perfect at</w:t>
      </w:r>
      <w:r>
        <w:t xml:space="preserve"> </w:t>
      </w:r>
      <m:oMath>
        <m:r>
          <m:t>H</m:t>
        </m:r>
        <m:r>
          <m:rPr>
            <m:sty m:val="p"/>
          </m:rPr>
          <m:t>=</m:t>
        </m:r>
        <m:r>
          <m:t>2</m:t>
        </m:r>
      </m:oMath>
      <w:r>
        <w:t xml:space="preserve"> </w:t>
      </w:r>
      <w:r>
        <w:t xml:space="preserve">to near-zero by</w:t>
      </w:r>
      <w:r>
        <w:t xml:space="preserve"> </w:t>
      </w:r>
      <m:oMath>
        <m:r>
          <m:t>H</m:t>
        </m:r>
        <m:r>
          <m:rPr>
            <m:sty m:val="p"/>
          </m:rPr>
          <m:t>=</m:t>
        </m:r>
        <m:r>
          <m:t>16</m:t>
        </m:r>
      </m:oMath>
      <w:r>
        <w:t xml:space="preserve">, including the deployed proprietary</w:t>
      </w:r>
      <w:r>
        <w:t xml:space="preserve"> </w:t>
      </w:r>
      <w:r>
        <w:t xml:space="preserve">models. (</w:t>
      </w:r>
      <m:oMath>
        <m:r>
          <m:t>H</m:t>
        </m:r>
        <m:r>
          <m:rPr>
            <m:sty m:val="p"/>
          </m:rPr>
          <m:t>=</m:t>
        </m:r>
        <m:r>
          <m:t>32</m:t>
        </m:r>
      </m:oMath>
      <w:r>
        <w:t xml:space="preserve"> </w:t>
      </w:r>
      <w:r>
        <w:t xml:space="preserve">omitted: the API budget was exhausted before it completed.)</w:t>
      </w:r>
    </w:p>
    <w:tbl>
      <w:tblPr>
        <w:tblStyle w:val="Table"/>
        <w:tblW w:type="auto" w:w="0"/>
        <w:tblLook w:firstRow="0" w:lastRow="0" w:firstColumn="0" w:lastColumn="0" w:noHBand="0" w:noVBand="0" w:val="0000"/>
        <w:tblCaption w:val="On a genuinely agentic multi-hop tool-use loop, every model collapses from near-perfect at H{=}2 to near-zero by H{=}16, including the deployed proprietary models. (H{=}32 omitted: the API budget was exhausted before it completed.)"/>
      </w:tblPr>
      <w:tblGrid>
        <w:gridCol w:w="1584"/>
        <w:gridCol w:w="1584"/>
        <w:gridCol w:w="1584"/>
        <w:gridCol w:w="1584"/>
        <w:gridCol w:w="1584"/>
      </w:tblGrid>
      <w:tr>
        <w:tc>
          <w:tcPr/>
          <w:p>
            <w:pPr>
              <w:pStyle w:val="Compact"/>
            </w:pPr>
          </w:p>
        </w:tc>
        <w:tc>
          <w:tcPr>
            <w:gridSpan w:val="4"/>
          </w:tcPr>
          <w:p>
            <w:pPr>
              <w:pStyle w:val="Compact"/>
              <w:jc w:val="center"/>
            </w:pPr>
            <w:r>
              <w:rPr>
                <w:rStyle w:val="VerbatimChar"/>
              </w:rPr>
              <w:t xml:space="preserve">toolqa</w:t>
            </w:r>
            <w:r>
              <w:t xml:space="preserve"> </w:t>
            </w:r>
            <w:r>
              <w:t xml:space="preserve">success (agentic tool-use loop)</w:t>
            </w:r>
          </w:p>
        </w:tc>
      </w:tr>
      <w:tr>
        <w:tc>
          <w:tcPr/>
          <w:p>
            <w:pPr>
              <w:pStyle w:val="Compact"/>
              <w:jc w:val="left"/>
            </w:pPr>
            <w:r>
              <w:t xml:space="preserve">model</w:t>
            </w:r>
          </w:p>
        </w:tc>
        <w:tc>
          <w:tcPr/>
          <w:p>
            <w:pPr>
              <w:pStyle w:val="Compact"/>
              <w:jc w:val="center"/>
            </w:pPr>
            <m:oMath>
              <m:r>
                <m:t>H</m:t>
              </m:r>
              <m:r>
                <m:rPr>
                  <m:sty m:val="p"/>
                </m:rPr>
                <m:t>=</m:t>
              </m:r>
              <m:r>
                <m:t>2</m:t>
              </m:r>
            </m:oMath>
            <w:r>
              <w:t xml:space="preserve">​</w:t>
            </w:r>
          </w:p>
        </w:tc>
        <w:tc>
          <w:tcPr/>
          <w:p>
            <w:pPr>
              <w:pStyle w:val="Compact"/>
              <w:jc w:val="center"/>
            </w:pPr>
            <m:oMath>
              <m:r>
                <m:t>4</m:t>
              </m:r>
            </m:oMath>
            <w:r>
              <w:t xml:space="preserve">​</w:t>
            </w:r>
          </w:p>
        </w:tc>
        <w:tc>
          <w:tcPr/>
          <w:p>
            <w:pPr>
              <w:pStyle w:val="Compact"/>
              <w:jc w:val="center"/>
            </w:pPr>
            <m:oMath>
              <m:r>
                <m:t>8</m:t>
              </m:r>
            </m:oMath>
            <w:r>
              <w:t xml:space="preserve">​</w:t>
            </w:r>
          </w:p>
        </w:tc>
        <w:tc>
          <w:tcPr/>
          <w:p>
            <w:pPr>
              <w:pStyle w:val="Compact"/>
              <w:jc w:val="center"/>
            </w:pPr>
            <m:oMath>
              <m:r>
                <m:t>16</m:t>
              </m:r>
            </m:oMath>
            <w:r>
              <w:t xml:space="preserve">​</w:t>
            </w:r>
          </w:p>
        </w:tc>
      </w:tr>
      <w:tr>
        <w:tc>
          <w:tcPr/>
          <w:p>
            <w:pPr>
              <w:pStyle w:val="Compact"/>
              <w:jc w:val="left"/>
            </w:pPr>
            <w:r>
              <w:t xml:space="preserve">Llama-3.2-1B</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Qwen2.5-7B</w:t>
            </w:r>
          </w:p>
        </w:tc>
        <w:tc>
          <w:tcPr/>
          <w:p>
            <w:pPr>
              <w:pStyle w:val="Compact"/>
              <w:jc w:val="center"/>
            </w:pPr>
            <w:r>
              <w:t xml:space="preserve">1.00</w:t>
            </w:r>
          </w:p>
        </w:tc>
        <w:tc>
          <w:tcPr/>
          <w:p>
            <w:pPr>
              <w:pStyle w:val="Compact"/>
              <w:jc w:val="center"/>
            </w:pPr>
            <w:r>
              <w:t xml:space="preserve">0.07</w:t>
            </w:r>
          </w:p>
        </w:tc>
        <w:tc>
          <w:tcPr/>
          <w:p>
            <w:pPr>
              <w:pStyle w:val="Compact"/>
              <w:jc w:val="center"/>
            </w:pPr>
            <w:r>
              <w:t xml:space="preserve">0.13</w:t>
            </w:r>
          </w:p>
        </w:tc>
        <w:tc>
          <w:tcPr/>
          <w:p>
            <w:pPr>
              <w:pStyle w:val="Compact"/>
              <w:jc w:val="center"/>
            </w:pPr>
            <w:r>
              <w:t xml:space="preserve">0.33</w:t>
            </w:r>
          </w:p>
        </w:tc>
      </w:tr>
      <w:tr>
        <w:tc>
          <w:tcPr/>
          <w:p>
            <w:pPr>
              <w:pStyle w:val="Compact"/>
              <w:jc w:val="left"/>
            </w:pPr>
            <w:r>
              <w:t xml:space="preserve">Llama-3.1-8B</w:t>
            </w:r>
          </w:p>
        </w:tc>
        <w:tc>
          <w:tcPr/>
          <w:p>
            <w:pPr>
              <w:pStyle w:val="Compact"/>
              <w:jc w:val="center"/>
            </w:pPr>
            <w:r>
              <w:t xml:space="preserve">1.00</w:t>
            </w:r>
          </w:p>
        </w:tc>
        <w:tc>
          <w:tcPr/>
          <w:p>
            <w:pPr>
              <w:pStyle w:val="Compact"/>
              <w:jc w:val="center"/>
            </w:pPr>
            <w:r>
              <w:t xml:space="preserve">0.73</w:t>
            </w:r>
          </w:p>
        </w:tc>
        <w:tc>
          <w:tcPr/>
          <w:p>
            <w:pPr>
              <w:pStyle w:val="Compact"/>
              <w:jc w:val="center"/>
            </w:pPr>
            <w:r>
              <w:t xml:space="preserve">0.07</w:t>
            </w:r>
          </w:p>
        </w:tc>
        <w:tc>
          <w:tcPr/>
          <w:p>
            <w:pPr>
              <w:pStyle w:val="Compact"/>
              <w:jc w:val="center"/>
            </w:pPr>
            <w:r>
              <w:t xml:space="preserve">0.13</w:t>
            </w:r>
          </w:p>
        </w:tc>
      </w:tr>
      <w:tr>
        <w:tc>
          <w:tcPr/>
          <w:p>
            <w:pPr>
              <w:pStyle w:val="Compact"/>
              <w:jc w:val="left"/>
            </w:pPr>
            <w:r>
              <w:t xml:space="preserve">GPT-4o-mini</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0.20</w:t>
            </w:r>
          </w:p>
        </w:tc>
        <w:tc>
          <w:tcPr/>
          <w:p>
            <w:pPr>
              <w:pStyle w:val="Compact"/>
              <w:jc w:val="center"/>
            </w:pPr>
            <w:r>
              <w:t xml:space="preserve">0.07</w:t>
            </w:r>
          </w:p>
        </w:tc>
      </w:tr>
      <w:tr>
        <w:tc>
          <w:tcPr/>
          <w:p>
            <w:pPr>
              <w:pStyle w:val="Compact"/>
              <w:jc w:val="left"/>
            </w:pPr>
            <w:r>
              <w:t xml:space="preserve">Gemini 2.5 FL</w:t>
            </w:r>
          </w:p>
        </w:tc>
        <w:tc>
          <w:tcPr/>
          <w:p>
            <w:pPr>
              <w:pStyle w:val="Compact"/>
              <w:jc w:val="center"/>
            </w:pPr>
            <w:r>
              <w:t xml:space="preserve">0.20</w:t>
            </w:r>
          </w:p>
        </w:tc>
        <w:tc>
          <w:tcPr/>
          <w:p>
            <w:pPr>
              <w:pStyle w:val="Compact"/>
              <w:jc w:val="center"/>
            </w:pPr>
            <w:r>
              <w:t xml:space="preserve">0.53</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Claude-3-Haiku</w:t>
            </w:r>
          </w:p>
        </w:tc>
        <w:tc>
          <w:tcPr/>
          <w:p>
            <w:pPr>
              <w:pStyle w:val="Compact"/>
              <w:jc w:val="center"/>
            </w:pPr>
            <w:r>
              <w:t xml:space="preserve">1.00</w:t>
            </w:r>
          </w:p>
        </w:tc>
        <w:tc>
          <w:tcPr/>
          <w:p>
            <w:pPr>
              <w:pStyle w:val="Compact"/>
              <w:jc w:val="center"/>
            </w:pPr>
            <w:r>
              <w:t xml:space="preserve">0.47</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Llama-3.3-70B</w:t>
            </w:r>
          </w:p>
        </w:tc>
        <w:tc>
          <w:tcPr/>
          <w:p>
            <w:pPr>
              <w:pStyle w:val="Compact"/>
              <w:jc w:val="center"/>
            </w:pPr>
            <w:r>
              <w:t xml:space="preserve">1.00</w:t>
            </w:r>
          </w:p>
        </w:tc>
        <w:tc>
          <w:tcPr/>
          <w:p>
            <w:pPr>
              <w:pStyle w:val="Compact"/>
              <w:jc w:val="center"/>
            </w:pPr>
            <w:r>
              <w:t xml:space="preserve">0.93</w:t>
            </w:r>
          </w:p>
        </w:tc>
        <w:tc>
          <w:tcPr/>
          <w:p>
            <w:pPr>
              <w:pStyle w:val="Compact"/>
              <w:jc w:val="center"/>
            </w:pPr>
            <w:r>
              <w:t xml:space="preserve">0.67</w:t>
            </w:r>
          </w:p>
        </w:tc>
        <w:tc>
          <w:tcPr/>
          <w:p>
            <w:pPr>
              <w:pStyle w:val="Compact"/>
              <w:jc w:val="center"/>
            </w:pPr>
            <w:r>
              <w:t xml:space="preserve">0.00</w:t>
            </w:r>
          </w:p>
        </w:tc>
      </w:tr>
      <w:tr>
        <w:tc>
          <w:tcPr/>
          <w:p>
            <w:pPr>
              <w:pStyle w:val="Compact"/>
              <w:jc w:val="left"/>
            </w:pPr>
            <w:r>
              <w:t xml:space="preserve">Qwen2.5-72B</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0.87</w:t>
            </w:r>
          </w:p>
        </w:tc>
        <w:tc>
          <w:tcPr/>
          <w:p>
            <w:pPr>
              <w:pStyle w:val="Compact"/>
              <w:jc w:val="center"/>
            </w:pPr>
            <w:r>
              <w:t xml:space="preserve">0.13</w:t>
            </w:r>
          </w:p>
        </w:tc>
      </w:tr>
      <w:tr>
        <w:tc>
          <w:tcPr/>
          <w:p>
            <w:pPr>
              <w:pStyle w:val="Compact"/>
              <w:jc w:val="left"/>
            </w:pPr>
            <w:r>
              <w:t xml:space="preserve">DeepSeek-V3</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0.67</w:t>
            </w:r>
          </w:p>
        </w:tc>
        <w:tc>
          <w:tcPr/>
          <w:p>
            <w:pPr>
              <w:pStyle w:val="Compact"/>
              <w:jc w:val="center"/>
            </w:pPr>
            <w:r>
              <w:t xml:space="preserve">0.27</w:t>
            </w:r>
          </w:p>
        </w:tc>
      </w:tr>
    </w:tbl>
    <w:bookmarkEnd w:id="22"/>
    <w:bookmarkEnd w:id="23"/>
    <w:bookmarkStart w:id="24" w:name="Xa2ec0779178d4be6394029f92ff0be993477190"/>
    <w:p>
      <w:pPr>
        <w:pStyle w:val="Heading2"/>
      </w:pPr>
      <w:r>
        <w:t xml:space="preserve">Per-step reliability rises with scale—but never to 1</w:t>
      </w:r>
    </w:p>
    <w:p>
      <w:pPr>
        <w:pStyle w:val="FirstParagraph"/>
      </w:pPr>
      <w:r>
        <w:t xml:space="preserve">Across the open ladder, per-step reliability rises with size (Pearson</w:t>
      </w:r>
      <w:r>
        <w:t xml:space="preserve"> </w:t>
      </w:r>
      <m:oMath>
        <m:r>
          <m:t>0.36</m:t>
        </m:r>
      </m:oMath>
      <w:r>
        <w:t xml:space="preserve"> </w:t>
      </w:r>
      <w:r>
        <w:t xml:space="preserve">vs. </w:t>
      </w:r>
      <m:oMath>
        <m:sSub>
          <m:e>
            <m:r>
              <m:rPr>
                <m:sty m:val="p"/>
              </m:rPr>
              <m:t>log</m:t>
            </m:r>
          </m:e>
          <m:sub>
            <m:r>
              <m:t>10</m:t>
            </m:r>
          </m:sub>
        </m:sSub>
      </m:oMath>
      <w:r>
        <w:t xml:space="preserve"> </w:t>
      </w:r>
      <w:r>
        <w:t xml:space="preserve">params), and the proprietary deployed models cluster with the strong open</w:t>
      </w:r>
      <w:r>
        <w:t xml:space="preserve"> </w:t>
      </w:r>
      <w:r>
        <w:t xml:space="preserve">models near</w:t>
      </w:r>
      <w:r>
        <w:t xml:space="preserve"> </w:t>
      </w:r>
      <m:oMath>
        <m:r>
          <m:t>r</m:t>
        </m:r>
        <m:r>
          <m:rPr>
            <m:sty m:val="p"/>
          </m:rPr>
          <m:t>=</m:t>
        </m:r>
        <m:r>
          <m:t>0.68</m:t>
        </m:r>
      </m:oMath>
      <w:r>
        <w:t xml:space="preserve">–</w:t>
      </w:r>
      <m:oMath>
        <m:r>
          <m:t>0.72</m:t>
        </m:r>
      </m:oMath>
      <w:r>
        <w:t xml:space="preserve"> </w:t>
      </w:r>
      <w:r>
        <w:t xml:space="preserve">(Table </w:t>
      </w:r>
      <w:hyperlink w:anchor="tab:rstep">
        <w:r>
          <w:rPr>
            <w:rStyle w:val="Hyperlink"/>
          </w:rPr>
          <w:t xml:space="preserve">2</w:t>
        </w:r>
      </w:hyperlink>
      <w:r>
        <w:t xml:space="preserve">). Scale and frontier</w:t>
      </w:r>
      <w:r>
        <w:t xml:space="preserve"> </w:t>
      </w:r>
      <w:r>
        <w:t xml:space="preserve">engineering buy per-step reliability with diminishing returns, but no model reaches</w:t>
      </w:r>
      <w:r>
        <w:t xml:space="preserve"> </w:t>
      </w:r>
      <m:oMath>
        <m:r>
          <m:t>r</m:t>
        </m:r>
        <m:r>
          <m:rPr>
            <m:sty m:val="p"/>
          </m:rPr>
          <m:t>=</m:t>
        </m:r>
        <m:r>
          <m:t>1</m:t>
        </m:r>
      </m:oMath>
      <w:r>
        <w:t xml:space="preserve"> </w:t>
      </w:r>
      <w:r>
        <w:t xml:space="preserve">on non-trivial tasks. Because success compounds as</w:t>
      </w:r>
      <w:r>
        <w:t xml:space="preserve"> </w:t>
      </w:r>
      <m:oMath>
        <m:sSup>
          <m:e>
            <m:r>
              <m:t>r</m:t>
            </m:r>
          </m:e>
          <m:sup>
            <m:r>
              <m:t>H</m:t>
            </m:r>
          </m:sup>
        </m:sSup>
      </m:oMath>
      <w:r>
        <w:t xml:space="preserve">,</w:t>
      </w:r>
      <w:r>
        <w:t xml:space="preserve"> </w:t>
      </w:r>
      <w:r>
        <w:t xml:space="preserve">every model is guaranteed to fall below any fixed reliability target at a sufficiently</w:t>
      </w:r>
      <w:r>
        <w:t xml:space="preserve"> </w:t>
      </w:r>
      <w:r>
        <w:t xml:space="preserve">long horizon; scale moves the cliff, it does not remove it.</w:t>
      </w:r>
    </w:p>
    <w:bookmarkEnd w:id="24"/>
    <w:bookmarkStart w:id="29" w:name="sec:accel"/>
    <w:p>
      <w:pPr>
        <w:pStyle w:val="Heading2"/>
      </w:pPr>
      <w:r>
        <w:t xml:space="preserve">Degradation accelerates within a trajectory</w:t>
      </w:r>
    </w:p>
    <w:p>
      <w:pPr>
        <w:pStyle w:val="FirstParagraph"/>
      </w:pPr>
      <w:r>
        <w:t xml:space="preserve">A pure geometric law assumes a constant per-step hazard. The hazard instead</w:t>
      </w:r>
      <w:r>
        <w:t xml:space="preserve"> </w:t>
      </w:r>
      <w:r>
        <w:rPr>
          <w:i/>
          <w:iCs/>
        </w:rPr>
        <w:t xml:space="preserve">rises</w:t>
      </w:r>
      <w:r>
        <w:t xml:space="preserve">: pooling long-horizon trajectories, mean per-step accuracy falls from</w:t>
      </w:r>
      <w:r>
        <w:t xml:space="preserve"> </w:t>
      </w:r>
      <m:oMath>
        <m:r>
          <m:t>0.58</m:t>
        </m:r>
      </m:oMath>
      <w:r>
        <w:t xml:space="preserve"> </w:t>
      </w:r>
      <w:r>
        <w:t xml:space="preserve">in the first third to</w:t>
      </w:r>
      <w:r>
        <w:t xml:space="preserve"> </w:t>
      </w:r>
      <m:oMath>
        <m:r>
          <m:t>0.44</m:t>
        </m:r>
      </m:oMath>
      <w:r>
        <w:t xml:space="preserve"> </w:t>
      </w:r>
      <w:r>
        <w:t xml:space="preserve">in the last third (Figure </w:t>
      </w:r>
      <w:hyperlink w:anchor="fig:perstep">
        <w:r>
          <w:rPr>
            <w:rStyle w:val="Hyperlink"/>
          </w:rPr>
          <w:t xml:space="preserve">2</w:t>
        </w:r>
      </w:hyperlink>
      <w:r>
        <w:t xml:space="preserve">). The</w:t>
      </w:r>
      <w:r>
        <w:t xml:space="preserve"> </w:t>
      </w:r>
      <w:r>
        <w:t xml:space="preserve">first error lands about a third of the way through; once an agent errs it rarely</w:t>
      </w:r>
      <w:r>
        <w:t xml:space="preserve"> </w:t>
      </w:r>
      <w:r>
        <w:t xml:space="preserve">recovers</w:t>
      </w:r>
      <w:r>
        <w:t xml:space="preserve"> </w:t>
      </w:r>
      <w:r>
        <w:t xml:space="preserve">(Laban et al. 2025)</w:t>
      </w:r>
      <w:r>
        <w:t xml:space="preserve">. Acceleration makes the true decay</w:t>
      </w:r>
      <w:r>
        <w:t xml:space="preserve"> </w:t>
      </w:r>
      <w:r>
        <w:t xml:space="preserve">super-geometric, so geometric fits, if anything, understate long-horizon collapse.</w:t>
      </w:r>
    </w:p>
    <w:bookmarkStart w:id="28" w:name="fig:perstep"/>
    <w:p>
      <w:pPr>
        <w:pStyle w:val="CaptionedFigure"/>
      </w:pPr>
      <w:r>
        <w:drawing>
          <wp:inline>
            <wp:extent cx="5334000" cy="1422400"/>
            <wp:effectExtent b="0" l="0" r="0" t="0"/>
            <wp:docPr descr="" title="" id="26" name="Picture"/>
            <a:graphic>
              <a:graphicData uri="http://schemas.openxmlformats.org/drawingml/2006/picture">
                <pic:pic>
                  <pic:nvPicPr>
                    <pic:cNvPr descr="../figures/fig3_perstep_accuracy.png" id="27" name="Picture"/>
                    <pic:cNvPicPr>
                      <a:picLocks noChangeArrowheads="1" noChangeAspect="1"/>
                    </pic:cNvPicPr>
                  </pic:nvPicPr>
                  <pic:blipFill>
                    <a:blip r:embed="rId25"/>
                    <a:stretch>
                      <a:fillRect/>
                    </a:stretch>
                  </pic:blipFill>
                  <pic:spPr bwMode="auto">
                    <a:xfrm>
                      <a:off x="0" y="0"/>
                      <a:ext cx="5334000" cy="1422400"/>
                    </a:xfrm>
                    <a:prstGeom prst="rect">
                      <a:avLst/>
                    </a:prstGeom>
                    <a:noFill/>
                    <a:ln w="9525">
                      <a:noFill/>
                      <a:headEnd/>
                      <a:tailEnd/>
                    </a:ln>
                  </pic:spPr>
                </pic:pic>
              </a:graphicData>
            </a:graphic>
          </wp:inline>
        </w:drawing>
      </w:r>
    </w:p>
    <w:p>
      <w:pPr>
        <w:pStyle w:val="ImageCaption"/>
      </w:pPr>
      <w:r>
        <w:t xml:space="preserve">Per-step accuracy vs. step index within a trajectory (natural regime).</w:t>
      </w:r>
      <w:r>
        <w:t xml:space="preserve"> </w:t>
      </w:r>
      <w:r>
        <w:t xml:space="preserve">Accuracy declines as the trajectory progresses: the per-step hazard rises, a</w:t>
      </w:r>
      <w:r>
        <w:t xml:space="preserve"> </w:t>
      </w:r>
      <w:r>
        <w:t xml:space="preserve">super-geometric tail.</w:t>
      </w:r>
    </w:p>
    <w:bookmarkEnd w:id="28"/>
    <w:bookmarkEnd w:id="29"/>
    <w:bookmarkStart w:id="34" w:name="sec:cause"/>
    <w:p>
      <w:pPr>
        <w:pStyle w:val="Heading2"/>
      </w:pPr>
      <w:r>
        <w:t xml:space="preserve">The driver is step count, not context length</w:t>
      </w:r>
    </w:p>
    <w:p>
      <w:pPr>
        <w:pStyle w:val="FirstParagraph"/>
      </w:pPr>
      <w:r>
        <w:t xml:space="preserve">Figure </w:t>
      </w:r>
      <w:hyperlink w:anchor="fig:regime">
        <w:r>
          <w:rPr>
            <w:rStyle w:val="Hyperlink"/>
          </w:rPr>
          <w:t xml:space="preserve">3</w:t>
        </w:r>
      </w:hyperlink>
      <w:r>
        <w:t xml:space="preserve"> </w:t>
      </w:r>
      <w:r>
        <w:t xml:space="preserve">contrasts the three regimes. The natural loop is best at every</w:t>
      </w:r>
      <w:r>
        <w:t xml:space="preserve"> </w:t>
      </w:r>
      <w:r>
        <w:t xml:space="preserve">horizon (pooled</w:t>
      </w:r>
      <w:r>
        <w:t xml:space="preserve"> </w:t>
      </w:r>
      <m:oMath>
        <m:r>
          <m:t>0.75</m:t>
        </m:r>
        <m:r>
          <m:rPr>
            <m:sty m:val="p"/>
          </m:rPr>
          <m:t>→</m:t>
        </m:r>
        <m:r>
          <m:t>0.58</m:t>
        </m:r>
      </m:oMath>
      <w:r>
        <w:t xml:space="preserve"> </w:t>
      </w:r>
      <w:r>
        <w:t xml:space="preserve">from</w:t>
      </w:r>
      <w:r>
        <w:t xml:space="preserve"> </w:t>
      </w:r>
      <m:oMath>
        <m:r>
          <m:t>H</m:t>
        </m:r>
        <m:r>
          <m:rPr>
            <m:sty m:val="p"/>
          </m:rPr>
          <m:t>=</m:t>
        </m:r>
        <m:r>
          <m:t>2</m:t>
        </m:r>
      </m:oMath>
      <w:r>
        <w:t xml:space="preserve"> </w:t>
      </w:r>
      <w:r>
        <w:t xml:space="preserve">to</w:t>
      </w:r>
      <w:r>
        <w:t xml:space="preserve"> </w:t>
      </w:r>
      <m:oMath>
        <m:r>
          <m:t>32</m:t>
        </m:r>
      </m:oMath>
      <w:r>
        <w:t xml:space="preserve">); both interventions are worse:</w:t>
      </w:r>
      <w:r>
        <w:t xml:space="preserve"> </w:t>
      </w:r>
      <w:r>
        <w:t xml:space="preserve">compressed (</w:t>
      </w:r>
      <m:oMath>
        <m:r>
          <m:t>0.64</m:t>
        </m:r>
        <m:r>
          <m:rPr>
            <m:sty m:val="p"/>
          </m:rPr>
          <m:t>→</m:t>
        </m:r>
        <m:r>
          <m:t>0.30</m:t>
        </m:r>
      </m:oMath>
      <w:r>
        <w:t xml:space="preserve">) and padded (</w:t>
      </w:r>
      <m:oMath>
        <m:r>
          <m:t>0.45</m:t>
        </m:r>
        <m:r>
          <m:rPr>
            <m:sty m:val="p"/>
          </m:rPr>
          <m:t>→</m:t>
        </m:r>
        <m:r>
          <m:t>0.23</m:t>
        </m:r>
      </m:oMath>
      <w:r>
        <w:t xml:space="preserve">). The decay slope per horizon</w:t>
      </w:r>
      <w:r>
        <w:t xml:space="preserve"> </w:t>
      </w:r>
      <w:r>
        <w:t xml:space="preserve">doubling is</w:t>
      </w:r>
      <w:r>
        <w:t xml:space="preserve"> </w:t>
      </w:r>
      <m:oMath>
        <m:r>
          <m:rPr>
            <m:sty m:val="p"/>
          </m:rPr>
          <m:t>−</m:t>
        </m:r>
        <m:r>
          <m:t>0.44</m:t>
        </m:r>
      </m:oMath>
      <w:r>
        <w:t xml:space="preserve"> </w:t>
      </w:r>
      <w:r>
        <w:t xml:space="preserve">(natural),</w:t>
      </w:r>
      <w:r>
        <w:t xml:space="preserve"> </w:t>
      </w:r>
      <m:oMath>
        <m:r>
          <m:rPr>
            <m:sty m:val="p"/>
          </m:rPr>
          <m:t>−</m:t>
        </m:r>
        <m:r>
          <m:t>0.69</m:t>
        </m:r>
      </m:oMath>
      <w:r>
        <w:t xml:space="preserve"> </w:t>
      </w:r>
      <w:r>
        <w:t xml:space="preserve">(compressed,</w:t>
      </w:r>
      <w:r>
        <w:t xml:space="preserve"> </w:t>
      </w:r>
      <m:oMath>
        <m:r>
          <m:t>p</m:t>
        </m:r>
        <m:r>
          <m:rPr>
            <m:sty m:val="p"/>
          </m:rPr>
          <m:t>=</m:t>
        </m:r>
        <m:r>
          <m:t>3</m:t>
        </m:r>
        <m:r>
          <m:rPr>
            <m:sty m:val="p"/>
          </m:rPr>
          <m:t>×</m:t>
        </m:r>
        <m:sSup>
          <m:e>
            <m:r>
              <m:t>10</m:t>
            </m:r>
          </m:e>
          <m:sup>
            <m:r>
              <m:rPr>
                <m:sty m:val="p"/>
              </m:rPr>
              <m:t>−</m:t>
            </m:r>
            <m:r>
              <m:t>6</m:t>
            </m:r>
          </m:sup>
        </m:sSup>
      </m:oMath>
      <w:r>
        <w:t xml:space="preserve"> </w:t>
      </w:r>
      <w:r>
        <w:t xml:space="preserve">vs. natural),</w:t>
      </w:r>
      <w:r>
        <w:t xml:space="preserve"> </w:t>
      </w:r>
      <w:r>
        <w:t xml:space="preserve">and</w:t>
      </w:r>
      <w:r>
        <w:t xml:space="preserve"> </w:t>
      </w:r>
      <m:oMath>
        <m:r>
          <m:rPr>
            <m:sty m:val="p"/>
          </m:rPr>
          <m:t>−</m:t>
        </m:r>
        <m:r>
          <m:t>0.40</m:t>
        </m:r>
      </m:oMath>
      <w:r>
        <w:t xml:space="preserve"> </w:t>
      </w:r>
      <w:r>
        <w:t xml:space="preserve">(padded,</w:t>
      </w:r>
      <w:r>
        <w:t xml:space="preserve"> </w:t>
      </w:r>
      <m:oMath>
        <m:r>
          <m:t>p</m:t>
        </m:r>
        <m:r>
          <m:rPr>
            <m:sty m:val="p"/>
          </m:rPr>
          <m:t>=</m:t>
        </m:r>
        <m:r>
          <m:t>0.51</m:t>
        </m:r>
      </m:oMath>
      <w:r>
        <w:t xml:space="preserve">, statistically indistinguishable from natural).</w:t>
      </w:r>
      <w:r>
        <w:t xml:space="preserve"> </w:t>
      </w:r>
      <w:r>
        <w:t xml:space="preserve">Bounding the context window</w:t>
      </w:r>
      <w:r>
        <w:t xml:space="preserve"> </w:t>
      </w:r>
      <w:r>
        <w:rPr>
          <w:b/>
          <w:bCs/>
        </w:rPr>
        <w:t xml:space="preserve">steepens</w:t>
      </w:r>
      <w:r>
        <w:t xml:space="preserve"> </w:t>
      </w:r>
      <w:r>
        <w:t xml:space="preserve">decay. This is decisive: if raw context</w:t>
      </w:r>
      <w:r>
        <w:t xml:space="preserve"> </w:t>
      </w:r>
      <w:r>
        <w:t xml:space="preserve">length drove degradation (lost-in-the-middle), bounding it would help; instead it</w:t>
      </w:r>
      <w:r>
        <w:t xml:space="preserve"> </w:t>
      </w:r>
      <w:r>
        <w:t xml:space="preserve">hurts—models rely on their accumulated reasoning history, and truncating it removes a</w:t>
      </w:r>
      <w:r>
        <w:t xml:space="preserve"> </w:t>
      </w:r>
      <w:r>
        <w:t xml:space="preserve">scaffold they depend on. Collapsing to a single prompt (padded) decays at the same rate</w:t>
      </w:r>
      <w:r>
        <w:t xml:space="preserve"> </w:t>
      </w:r>
      <w:r>
        <w:t xml:space="preserve">as natural from a lower baseline, so it is not the multi-turn structure either. What</w:t>
      </w:r>
      <w:r>
        <w:t xml:space="preserve"> </w:t>
      </w:r>
      <w:r>
        <w:t xml:space="preserve">remains is that degradation is intrinsic to executing many dependent steps. A direct</w:t>
      </w:r>
      <w:r>
        <w:t xml:space="preserve"> </w:t>
      </w:r>
      <w:r>
        <w:t xml:space="preserve">practical corollary: naive context truncation, a common production tactic,</w:t>
      </w:r>
      <w:r>
        <w:t xml:space="preserve"> </w:t>
      </w:r>
      <w:r>
        <w:rPr>
          <w:i/>
          <w:iCs/>
        </w:rPr>
        <w:t xml:space="preserve">backfires</w:t>
      </w:r>
      <w:r>
        <w:t xml:space="preserve">.</w:t>
      </w:r>
    </w:p>
    <w:bookmarkStart w:id="33" w:name="fig:regime"/>
    <w:p>
      <w:pPr>
        <w:pStyle w:val="CaptionedFigure"/>
      </w:pPr>
      <w:r>
        <w:drawing>
          <wp:inline>
            <wp:extent cx="5334000" cy="1422400"/>
            <wp:effectExtent b="0" l="0" r="0" t="0"/>
            <wp:docPr descr="" title="" id="31" name="Picture"/>
            <a:graphic>
              <a:graphicData uri="http://schemas.openxmlformats.org/drawingml/2006/picture">
                <pic:pic>
                  <pic:nvPicPr>
                    <pic:cNvPr descr="../figures/fig2_regime_contrast.png" id="32" name="Picture"/>
                    <pic:cNvPicPr>
                      <a:picLocks noChangeArrowheads="1" noChangeAspect="1"/>
                    </pic:cNvPicPr>
                  </pic:nvPicPr>
                  <pic:blipFill>
                    <a:blip r:embed="rId30"/>
                    <a:stretch>
                      <a:fillRect/>
                    </a:stretch>
                  </pic:blipFill>
                  <pic:spPr bwMode="auto">
                    <a:xfrm>
                      <a:off x="0" y="0"/>
                      <a:ext cx="5334000" cy="1422400"/>
                    </a:xfrm>
                    <a:prstGeom prst="rect">
                      <a:avLst/>
                    </a:prstGeom>
                    <a:noFill/>
                    <a:ln w="9525">
                      <a:noFill/>
                      <a:headEnd/>
                      <a:tailEnd/>
                    </a:ln>
                  </pic:spPr>
                </pic:pic>
              </a:graphicData>
            </a:graphic>
          </wp:inline>
        </w:drawing>
      </w:r>
    </w:p>
    <w:p>
      <w:pPr>
        <w:pStyle w:val="ImageCaption"/>
      </w:pPr>
      <w:r>
        <w:t xml:space="preserve">Step-count vs. context-length (streaming families). At fixed horizon the</w:t>
      </w:r>
      <w:r>
        <w:t xml:space="preserve"> </w:t>
      </w:r>
      <w:r>
        <w:t xml:space="preserve">number of operations is held equal across regimes. The natural loop is best; bounding</w:t>
      </w:r>
      <w:r>
        <w:t xml:space="preserve"> </w:t>
      </w:r>
      <w:r>
        <w:t xml:space="preserve">context (compressed) steepens decay. Degradation is intrinsic to step count, not</w:t>
      </w:r>
      <w:r>
        <w:t xml:space="preserve"> </w:t>
      </w:r>
      <w:r>
        <w:t xml:space="preserve">context length.</w:t>
      </w:r>
    </w:p>
    <w:bookmarkEnd w:id="33"/>
    <w:bookmarkEnd w:id="34"/>
    <w:bookmarkStart w:id="35" w:name="mechanism"/>
    <w:p>
      <w:pPr>
        <w:pStyle w:val="Heading2"/>
      </w:pPr>
      <w:r>
        <w:t xml:space="preserve">Mechanism</w:t>
      </w:r>
    </w:p>
    <w:p>
      <w:pPr>
        <w:pStyle w:val="FirstParagraph"/>
      </w:pPr>
      <w:r>
        <w:t xml:space="preserve">The harness records how trajectories fail. Format and tool-call drift—a turn whose</w:t>
      </w:r>
      <w:r>
        <w:t xml:space="preserve"> </w:t>
      </w:r>
      <w:r>
        <w:t xml:space="preserve">output cannot be parsed as a valid action—reaches</w:t>
      </w:r>
      <w:r>
        <w:t xml:space="preserve"> </w:t>
      </w:r>
      <m:oMath>
        <m:r>
          <m:t>21</m:t>
        </m:r>
        <m:r>
          <m:rPr>
            <m:sty m:val="p"/>
          </m:rPr>
          <m:t>%</m:t>
        </m:r>
      </m:oMath>
      <w:r>
        <w:t xml:space="preserve"> </w:t>
      </w:r>
      <w:r>
        <w:t xml:space="preserve">of trajectories and rises</w:t>
      </w:r>
      <w:r>
        <w:t xml:space="preserve"> </w:t>
      </w:r>
      <w:r>
        <w:t xml:space="preserve">with horizon, an interface-level failure mode. The first error concentrates around the</w:t>
      </w:r>
      <w:r>
        <w:t xml:space="preserve"> </w:t>
      </w:r>
      <w:r>
        <w:t xml:space="preserve">first third of the trajectory and per-step accuracy never recovers (§</w:t>
      </w:r>
      <w:hyperlink w:anchor="sec:accel">
        <w:r>
          <w:rPr>
            <w:rStyle w:val="Hyperlink"/>
          </w:rPr>
          <w:t xml:space="preserve">4.4</w:t>
        </w:r>
      </w:hyperlink>
      <w:r>
        <w:t xml:space="preserve">):</w:t>
      </w:r>
      <w:r>
        <w:t xml:space="preserve"> </w:t>
      </w:r>
      <w:r>
        <w:t xml:space="preserve">errors are absorbing, and propagate silently—no oracle interrupts a plausible-but-</w:t>
      </w:r>
      <w:r>
        <w:t xml:space="preserve"> </w:t>
      </w:r>
      <w:r>
        <w:t xml:space="preserve">wrong intermediate state, much as hallucinated content survives without a verifier</w:t>
      </w:r>
      <w:r>
        <w:t xml:space="preserve"> </w:t>
      </w:r>
      <w:r>
        <w:t xml:space="preserve">(</w:t>
      </w:r>
      <w:r>
        <w:t xml:space="preserve">Huang et al.</w:t>
      </w:r>
      <w:r>
        <w:t xml:space="preserve"> </w:t>
      </w:r>
      <w:r>
        <w:t xml:space="preserve">2025)</w:t>
      </w:r>
      <w:r>
        <w:t xml:space="preserve">—compounding into trajectory-level failure.</w:t>
      </w:r>
    </w:p>
    <w:bookmarkEnd w:id="35"/>
    <w:bookmarkStart w:id="37" w:name="sec:gap"/>
    <w:p>
      <w:pPr>
        <w:pStyle w:val="Heading2"/>
      </w:pPr>
      <w:r>
        <w:t xml:space="preserve">The benchmark gap, quantified</w:t>
      </w:r>
    </w:p>
    <w:p>
      <w:pPr>
        <w:pStyle w:val="FirstParagraph"/>
      </w:pPr>
      <w:r>
        <w:t xml:space="preserve">Using mean per-step reliability (</w:t>
      </w:r>
      <m:oMath>
        <m:r>
          <m:t>r</m:t>
        </m:r>
        <m:r>
          <m:rPr>
            <m:sty m:val="p"/>
          </m:rPr>
          <m:t>=</m:t>
        </m:r>
        <m:r>
          <m:t>0.61</m:t>
        </m:r>
      </m:oMath>
      <w:r>
        <w:t xml:space="preserve">) and the geometric law, we project task</w:t>
      </w:r>
      <w:r>
        <w:t xml:space="preserve"> </w:t>
      </w:r>
      <w:r>
        <w:t xml:space="preserve">success at representative benchmark horizons (Table </w:t>
      </w:r>
      <w:hyperlink w:anchor="tab:gap">
        <w:r>
          <w:rPr>
            <w:rStyle w:val="Hyperlink"/>
          </w:rPr>
          <w:t xml:space="preserve">4</w:t>
        </w:r>
      </w:hyperlink>
      <w:r>
        <w:t xml:space="preserve">): from</w:t>
      </w:r>
      <w:r>
        <w:t xml:space="preserve"> </w:t>
      </w:r>
      <m:oMath>
        <m:r>
          <m:t>0.42</m:t>
        </m:r>
      </m:oMath>
      <w:r>
        <w:t xml:space="preserve"> </w:t>
      </w:r>
      <w:r>
        <w:t xml:space="preserve">at</w:t>
      </w:r>
      <w:r>
        <w:t xml:space="preserve"> </w:t>
      </w:r>
      <w:r>
        <w:t xml:space="preserve">GAIA-length (</w:t>
      </w:r>
      <m:oMath>
        <m:r>
          <m:rPr>
            <m:sty m:val="p"/>
          </m:rPr>
          <m:t>∼</m:t>
        </m:r>
      </m:oMath>
      <w:r>
        <w:t xml:space="preserve">8 steps) to</w:t>
      </w:r>
      <w:r>
        <w:t xml:space="preserve"> </w:t>
      </w:r>
      <m:oMath>
        <m:r>
          <m:t>0.30</m:t>
        </m:r>
      </m:oMath>
      <w:r>
        <w:t xml:space="preserve"> </w:t>
      </w:r>
      <w:r>
        <w:t xml:space="preserve">at SWE-bench-length (</w:t>
      </w:r>
      <m:oMath>
        <m:r>
          <m:rPr>
            <m:sty m:val="p"/>
          </m:rPr>
          <m:t>∼</m:t>
        </m:r>
      </m:oMath>
      <w:r>
        <w:t xml:space="preserve">30) to</w:t>
      </w:r>
      <w:r>
        <w:t xml:space="preserve"> </w:t>
      </w:r>
      <m:oMath>
        <m:r>
          <m:t>0.24</m:t>
        </m:r>
      </m:oMath>
      <w:r>
        <w:t xml:space="preserve"> </w:t>
      </w:r>
      <w:r>
        <w:t xml:space="preserve">at a</w:t>
      </w:r>
      <w:r>
        <w:t xml:space="preserve"> </w:t>
      </w:r>
      <w:r>
        <w:t xml:space="preserve">100-step production horizon. (Means over our model</w:t>
      </w:r>
      <m:oMath>
        <m:r>
          <m:rPr>
            <m:sty m:val="p"/>
          </m:rPr>
          <m:t>×</m:t>
        </m:r>
      </m:oMath>
      <w:r>
        <w:t xml:space="preserve">task mix; the absolute values</w:t>
      </w:r>
      <w:r>
        <w:t xml:space="preserve"> </w:t>
      </w:r>
      <w:r>
        <w:t xml:space="preserve">depend on that mix, but the shape—a curve that keeps falling past benchmark</w:t>
      </w:r>
      <w:r>
        <w:t xml:space="preserve"> </w:t>
      </w:r>
      <w:r>
        <w:t xml:space="preserve">horizons—is the point.) Benchmarks sample the flat top of a curve that collapses out</w:t>
      </w:r>
      <w:r>
        <w:t xml:space="preserve"> </w:t>
      </w:r>
      <w:r>
        <w:t xml:space="preserve">of frame, and the agentic</w:t>
      </w:r>
      <w:r>
        <w:t xml:space="preserve"> </w:t>
      </w:r>
      <w:r>
        <w:rPr>
          <w:rStyle w:val="VerbatimChar"/>
        </w:rPr>
        <w:t xml:space="preserve">toolqa</w:t>
      </w:r>
      <w:r>
        <w:t xml:space="preserve"> </w:t>
      </w:r>
      <w:r>
        <w:t xml:space="preserve">result (§</w:t>
      </w:r>
      <w:hyperlink w:anchor="sec:agentic">
        <w:r>
          <w:rPr>
            <w:rStyle w:val="Hyperlink"/>
          </w:rPr>
          <w:t xml:space="preserve">4.2</w:t>
        </w:r>
      </w:hyperlink>
      <w:r>
        <w:t xml:space="preserve">) shows the</w:t>
      </w:r>
      <w:r>
        <w:t xml:space="preserve"> </w:t>
      </w:r>
      <w:r>
        <w:t xml:space="preserve">collapse arrives within just 16 self-directed steps.</w:t>
      </w:r>
    </w:p>
    <w:bookmarkStart w:id="36" w:name="tab:gap"/>
    <w:p>
      <w:pPr>
        <w:pStyle w:val="TableCaption"/>
      </w:pPr>
      <w:r>
        <w:t xml:space="preserve">Projecting measured per-step reliability (</w:t>
      </w:r>
      <m:oMath>
        <m:r>
          <m:t>r</m:t>
        </m:r>
        <m:r>
          <m:rPr>
            <m:sty m:val="p"/>
          </m:rPr>
          <m:t>=</m:t>
        </m:r>
        <m:r>
          <m:t>0.61</m:t>
        </m:r>
      </m:oMath>
      <w:r>
        <w:t xml:space="preserve">) onto representative</w:t>
      </w:r>
      <w:r>
        <w:t xml:space="preserve"> </w:t>
      </w:r>
      <w:r>
        <w:t xml:space="preserve">benchmark horizons (order-of-magnitude task lengths from the cited papers). These place</w:t>
      </w:r>
      <w:r>
        <w:t xml:space="preserve"> </w:t>
      </w:r>
      <w:r>
        <w:t xml:space="preserve">each benchmark on the curve rather than asserting its exact score.</w:t>
      </w:r>
    </w:p>
    <w:tbl>
      <w:tblPr>
        <w:tblStyle w:val="Table"/>
        <w:tblW w:type="auto" w:w="0"/>
        <w:tblLook w:firstRow="1" w:lastRow="0" w:firstColumn="0" w:lastColumn="0" w:noHBand="0" w:noVBand="0" w:val="0020"/>
        <w:tblCaption w:val="Projecting measured per-step reliability (r{=}0.61) onto representative benchmark horizons (order-of-magnitude task lengths from the cited papers). These place each benchmark on the curve rather than asserting its exact score."/>
      </w:tblPr>
      <w:tblGrid>
        <w:gridCol w:w="3960"/>
        <w:gridCol w:w="3960"/>
      </w:tblGrid>
      <w:tr>
        <w:trPr>
          <w:tblHeader w:val="on"/>
        </w:trPr>
        <w:tc>
          <w:tcPr/>
          <w:p>
            <w:pPr>
              <w:pStyle w:val="Compact"/>
              <w:jc w:val="left"/>
            </w:pPr>
            <w:r>
              <w:t xml:space="preserve">benchmark (representative horizon, steps)</w:t>
            </w:r>
          </w:p>
        </w:tc>
        <w:tc>
          <w:tcPr/>
          <w:p>
            <w:pPr>
              <w:pStyle w:val="Compact"/>
              <w:jc w:val="center"/>
            </w:pPr>
            <w:r>
              <w:t xml:space="preserve">projected success</w:t>
            </w:r>
          </w:p>
        </w:tc>
      </w:tr>
      <w:tr>
        <w:tc>
          <w:tcPr/>
          <w:p>
            <w:pPr>
              <w:pStyle w:val="Compact"/>
              <w:jc w:val="left"/>
            </w:pPr>
            <w:r>
              <w:t xml:space="preserve">GAIA (</w:t>
            </w:r>
            <m:oMath>
              <m:r>
                <m:rPr>
                  <m:sty m:val="p"/>
                </m:rPr>
                <m:t>∼</m:t>
              </m:r>
            </m:oMath>
            <w:r>
              <w:t xml:space="preserve">8)</w:t>
            </w:r>
          </w:p>
        </w:tc>
        <w:tc>
          <w:tcPr/>
          <w:p>
            <w:pPr>
              <w:pStyle w:val="Compact"/>
              <w:jc w:val="center"/>
            </w:pPr>
            <w:r>
              <w:t xml:space="preserve">0.42</w:t>
            </w:r>
          </w:p>
        </w:tc>
      </w:tr>
      <w:tr>
        <w:tc>
          <w:tcPr/>
          <w:p>
            <w:pPr>
              <w:pStyle w:val="Compact"/>
              <w:jc w:val="left"/>
            </w:pPr>
            <w:r>
              <w:t xml:space="preserve">WebArena (</w:t>
            </w:r>
            <m:oMath>
              <m:r>
                <m:rPr>
                  <m:sty m:val="p"/>
                </m:rPr>
                <m:t>∼</m:t>
              </m:r>
            </m:oMath>
            <w:r>
              <w:t xml:space="preserve">15)</w:t>
            </w:r>
          </w:p>
        </w:tc>
        <w:tc>
          <w:tcPr/>
          <w:p>
            <w:pPr>
              <w:pStyle w:val="Compact"/>
              <w:jc w:val="center"/>
            </w:pPr>
            <w:r>
              <w:t xml:space="preserve">0.36</w:t>
            </w:r>
          </w:p>
        </w:tc>
      </w:tr>
      <w:tr>
        <w:tc>
          <w:tcPr/>
          <w:p>
            <w:pPr>
              <w:pStyle w:val="Compact"/>
              <w:jc w:val="left"/>
            </w:pPr>
            <m:oMath>
              <m:r>
                <m:t>τ</m:t>
              </m:r>
            </m:oMath>
            <w:r>
              <w:t xml:space="preserve">-bench (</w:t>
            </w:r>
            <m:oMath>
              <m:r>
                <m:rPr>
                  <m:sty m:val="p"/>
                </m:rPr>
                <m:t>∼</m:t>
              </m:r>
            </m:oMath>
            <w:r>
              <w:t xml:space="preserve">20)</w:t>
            </w:r>
          </w:p>
        </w:tc>
        <w:tc>
          <w:tcPr/>
          <w:p>
            <w:pPr>
              <w:pStyle w:val="Compact"/>
              <w:jc w:val="center"/>
            </w:pPr>
            <w:r>
              <w:t xml:space="preserve">0.33</w:t>
            </w:r>
          </w:p>
        </w:tc>
      </w:tr>
      <w:tr>
        <w:tc>
          <w:tcPr/>
          <w:p>
            <w:pPr>
              <w:pStyle w:val="Compact"/>
              <w:jc w:val="left"/>
            </w:pPr>
            <w:r>
              <w:t xml:space="preserve">SWE-bench / OSWorld (</w:t>
            </w:r>
            <m:oMath>
              <m:r>
                <m:rPr>
                  <m:sty m:val="p"/>
                </m:rPr>
                <m:t>∼</m:t>
              </m:r>
            </m:oMath>
            <w:r>
              <w:t xml:space="preserve">30)</w:t>
            </w:r>
          </w:p>
        </w:tc>
        <w:tc>
          <w:tcPr/>
          <w:p>
            <w:pPr>
              <w:pStyle w:val="Compact"/>
              <w:jc w:val="center"/>
            </w:pPr>
            <w:r>
              <w:t xml:space="preserve">0.30</w:t>
            </w:r>
          </w:p>
        </w:tc>
      </w:tr>
      <w:tr>
        <w:tc>
          <w:tcPr/>
          <w:p>
            <w:pPr>
              <w:pStyle w:val="Compact"/>
              <w:jc w:val="left"/>
            </w:pPr>
            <w:r>
              <w:t xml:space="preserve">TheAgentCompany (</w:t>
            </w:r>
            <m:oMath>
              <m:r>
                <m:rPr>
                  <m:sty m:val="p"/>
                </m:rPr>
                <m:t>∼</m:t>
              </m:r>
            </m:oMath>
            <w:r>
              <w:t xml:space="preserve">100)</w:t>
            </w:r>
          </w:p>
        </w:tc>
        <w:tc>
          <w:tcPr/>
          <w:p>
            <w:pPr>
              <w:pStyle w:val="Compact"/>
              <w:jc w:val="center"/>
            </w:pPr>
            <w:r>
              <w:t xml:space="preserve">0.24</w:t>
            </w:r>
          </w:p>
        </w:tc>
      </w:tr>
    </w:tbl>
    <w:bookmarkEnd w:id="36"/>
    <w:bookmarkEnd w:id="37"/>
    <w:bookmarkEnd w:id="38"/>
    <w:bookmarkStart w:id="39" w:name="discussion-and-recommendations"/>
    <w:p>
      <w:pPr>
        <w:pStyle w:val="Heading1"/>
      </w:pPr>
      <w:r>
        <w:t xml:space="preserve">Discussion and recommendations</w:t>
      </w:r>
    </w:p>
    <w:p>
      <w:pPr>
        <w:pStyle w:val="FirstParagraph"/>
      </w:pPr>
      <w:r>
        <w:rPr>
          <w:b/>
          <w:bCs/>
        </w:rPr>
        <w:t xml:space="preserve">For practitioners:</w:t>
      </w:r>
      <w:r>
        <w:t xml:space="preserve"> </w:t>
      </w:r>
      <w:r>
        <w:t xml:space="preserve">estimate per-step reliability</w:t>
      </w:r>
      <w:r>
        <w:t xml:space="preserve"> </w:t>
      </w:r>
      <m:oMath>
        <m:r>
          <m:t>r</m:t>
        </m:r>
      </m:oMath>
      <w:r>
        <w:t xml:space="preserve"> </w:t>
      </w:r>
      <w:r>
        <w:t xml:space="preserve">on your own tasks and</w:t>
      </w:r>
      <w:r>
        <w:t xml:space="preserve"> </w:t>
      </w:r>
      <w:r>
        <w:t xml:space="preserve">treat the achievable horizon as</w:t>
      </w:r>
      <w:r>
        <w:t xml:space="preserve"> </w:t>
      </w:r>
      <m:oMath>
        <m:r>
          <m:rPr>
            <m:sty m:val="p"/>
          </m:rPr>
          <m:t>log</m:t>
        </m:r>
        <m:r>
          <m:rPr>
            <m:sty m:val="p"/>
          </m:rPr>
          <m:t>(</m:t>
        </m:r>
        <m:r>
          <m:rPr>
            <m:nor/>
            <m:sty m:val="p"/>
          </m:rPr>
          <m:t>target</m:t>
        </m:r>
        <m:r>
          <m:rPr>
            <m:sty m:val="p"/>
          </m:rPr>
          <m:t>)</m:t>
        </m:r>
        <m:r>
          <m:rPr>
            <m:sty m:val="p"/>
          </m:rPr>
          <m:t>/</m:t>
        </m:r>
        <m:r>
          <m:rPr>
            <m:sty m:val="p"/>
          </m:rPr>
          <m:t>log</m:t>
        </m:r>
        <m:r>
          <m:t>r</m:t>
        </m:r>
      </m:oMath>
      <w:r>
        <w:t xml:space="preserve">; because the hazard</w:t>
      </w:r>
      <w:r>
        <w:t xml:space="preserve"> </w:t>
      </w:r>
      <w:r>
        <w:t xml:space="preserve">accelerates, budget below the geometric estimate. Do not reach for naive context</w:t>
      </w:r>
      <w:r>
        <w:t xml:space="preserve"> </w:t>
      </w:r>
      <w:r>
        <w:t xml:space="preserve">truncation as a reliability fix—in our data it worsens decay.</w:t>
      </w:r>
      <w:r>
        <w:t xml:space="preserve"> </w:t>
      </w:r>
      <w:r>
        <w:rPr>
          <w:b/>
          <w:bCs/>
        </w:rPr>
        <w:t xml:space="preserve">For benchmark</w:t>
      </w:r>
      <w:r>
        <w:rPr>
          <w:b/>
          <w:bCs/>
        </w:rPr>
        <w:t xml:space="preserve"> </w:t>
      </w:r>
      <w:r>
        <w:rPr>
          <w:b/>
          <w:bCs/>
        </w:rPr>
        <w:t xml:space="preserve">designers:</w:t>
      </w:r>
      <w:r>
        <w:t xml:space="preserve"> </w:t>
      </w:r>
      <w:r>
        <w:t xml:space="preserve">report success</w:t>
      </w:r>
      <w:r>
        <w:t xml:space="preserve"> </w:t>
      </w:r>
      <w:r>
        <w:rPr>
          <w:i/>
          <w:iCs/>
        </w:rPr>
        <w:t xml:space="preserve">resolved against horizon</w:t>
      </w:r>
      <w:r>
        <w:t xml:space="preserve">, not a single aggregate, and</w:t>
      </w:r>
      <w:r>
        <w:t xml:space="preserve"> </w:t>
      </w:r>
      <w:r>
        <w:t xml:space="preserve">include horizons beyond the comfortable regime; a decay curve is far more predictive of</w:t>
      </w:r>
      <w:r>
        <w:t xml:space="preserve"> </w:t>
      </w:r>
      <w:r>
        <w:t xml:space="preserve">production behavior than a point estimate.</w:t>
      </w:r>
      <w:r>
        <w:t xml:space="preserve"> </w:t>
      </w:r>
      <w:r>
        <w:rPr>
          <w:b/>
          <w:bCs/>
        </w:rPr>
        <w:t xml:space="preserve">For the field:</w:t>
      </w:r>
      <w:r>
        <w:t xml:space="preserve"> </w:t>
      </w:r>
      <w:r>
        <w:t xml:space="preserve">per-step reliability</w:t>
      </w:r>
      <w:r>
        <w:t xml:space="preserve"> </w:t>
      </w:r>
      <w:r>
        <w:t xml:space="preserve">is the right primitive for agent evaluation—cheap to measure, multiplicative into task</w:t>
      </w:r>
      <w:r>
        <w:t xml:space="preserve"> </w:t>
      </w:r>
      <w:r>
        <w:t xml:space="preserve">success, and, unlike aggregate pass rates, extrapolable across horizons.</w:t>
      </w:r>
    </w:p>
    <w:bookmarkEnd w:id="39"/>
    <w:bookmarkStart w:id="40" w:name="limitations-and-threats-to-validity"/>
    <w:p>
      <w:pPr>
        <w:pStyle w:val="Heading1"/>
      </w:pPr>
      <w:r>
        <w:t xml:space="preserve">Limitations and threats to validity</w:t>
      </w:r>
    </w:p>
    <w:p>
      <w:pPr>
        <w:pStyle w:val="FirstParagraph"/>
      </w:pPr>
      <w:r>
        <w:t xml:space="preserve">Our tasks are synthetic, chosen for exact verifiability and a clean horizon knob; the</w:t>
      </w:r>
      <w:r>
        <w:t xml:space="preserve"> </w:t>
      </w:r>
      <w:r>
        <w:t xml:space="preserve">agentic</w:t>
      </w:r>
      <w:r>
        <w:t xml:space="preserve"> </w:t>
      </w:r>
      <w:r>
        <w:rPr>
          <w:rStyle w:val="VerbatimChar"/>
        </w:rPr>
        <w:t xml:space="preserve">toolqa</w:t>
      </w:r>
      <w:r>
        <w:t xml:space="preserve"> </w:t>
      </w:r>
      <w:r>
        <w:t xml:space="preserve">family directly addresses the</w:t>
      </w:r>
      <w:r>
        <w:t xml:space="preserve"> </w:t>
      </w:r>
      <w:r>
        <w:t xml:space="preserve">“not really agents”</w:t>
      </w:r>
      <w:r>
        <w:t xml:space="preserve"> </w:t>
      </w:r>
      <w:r>
        <w:t xml:space="preserve">objection</w:t>
      </w:r>
      <w:r>
        <w:t xml:space="preserve"> </w:t>
      </w:r>
      <w:r>
        <w:t xml:space="preserve">with a real tool-use loop, but established benchmark environments (SWE-bench,</w:t>
      </w:r>
      <w:r>
        <w:t xml:space="preserve"> </w:t>
      </w:r>
      <m:oMath>
        <m:r>
          <m:t>τ</m:t>
        </m:r>
      </m:oMath>
      <w:r>
        <w:t xml:space="preserve">-</w:t>
      </w:r>
      <w:r>
        <w:t xml:space="preserve"> </w:t>
      </w:r>
      <w:r>
        <w:t xml:space="preserve">bench) remain future work. The benchmark projection (§</w:t>
      </w:r>
      <w:hyperlink w:anchor="sec:gap">
        <w:r>
          <w:rPr>
            <w:rStyle w:val="Hyperlink"/>
          </w:rPr>
          <w:t xml:space="preserve">4.7</w:t>
        </w:r>
      </w:hyperlink>
      <w:r>
        <w:t xml:space="preserve">) is a placement on</w:t>
      </w:r>
      <w:r>
        <w:t xml:space="preserve"> </w:t>
      </w:r>
      <w:r>
        <w:t xml:space="preserve">the curve, not a literal per-benchmark score. We study nine models including frontier</w:t>
      </w:r>
      <w:r>
        <w:t xml:space="preserve"> </w:t>
      </w:r>
      <w:r>
        <w:t xml:space="preserve">deployed systems; the very largest proprietary models may have higher</w:t>
      </w:r>
      <w:r>
        <w:t xml:space="preserve"> </w:t>
      </w:r>
      <m:oMath>
        <m:r>
          <m:t>r</m:t>
        </m:r>
      </m:oMath>
      <w:r>
        <w:t xml:space="preserve">, but our</w:t>
      </w:r>
      <w:r>
        <w:t xml:space="preserve"> </w:t>
      </w:r>
      <w:r>
        <w:t xml:space="preserve">scaling analysis indicates this moves the cliff rather than removing it. Three small</w:t>
      </w:r>
      <w:r>
        <w:t xml:space="preserve"> </w:t>
      </w:r>
      <w:r>
        <w:t xml:space="preserve">models (Llama-3.2-3B, Gemma-3-4B, Phi-4-mini) were excluded because their hosted routes</w:t>
      </w:r>
      <w:r>
        <w:t xml:space="preserve"> </w:t>
      </w:r>
      <w:r>
        <w:t xml:space="preserve">did not adhere to the structured protocol—itself a mild instance of interface</w:t>
      </w:r>
      <w:r>
        <w:t xml:space="preserve"> </w:t>
      </w:r>
      <w:r>
        <w:t xml:space="preserve">fragility. We fix temperature at</w:t>
      </w:r>
      <w:r>
        <w:t xml:space="preserve"> </w:t>
      </w:r>
      <m:oMath>
        <m:r>
          <m:t>0.2</m:t>
        </m:r>
      </m:oMath>
      <w:r>
        <w:t xml:space="preserve">; a temperature-sensitivity study is future work,</w:t>
      </w:r>
      <w:r>
        <w:t xml:space="preserve"> </w:t>
      </w:r>
      <w:r>
        <w:t xml:space="preserve">and the released harness supports it via one flag. The agentic</w:t>
      </w:r>
      <w:r>
        <w:t xml:space="preserve"> </w:t>
      </w:r>
      <m:oMath>
        <m:r>
          <m:t>H</m:t>
        </m:r>
        <m:r>
          <m:rPr>
            <m:sty m:val="p"/>
          </m:rPr>
          <m:t>=</m:t>
        </m:r>
        <m:r>
          <m:t>32</m:t>
        </m:r>
      </m:oMath>
      <w:r>
        <w:t xml:space="preserve"> </w:t>
      </w:r>
      <w:r>
        <w:t xml:space="preserve">cell was not</w:t>
      </w:r>
      <w:r>
        <w:t xml:space="preserve"> </w:t>
      </w:r>
      <w:r>
        <w:t xml:space="preserve">completed (API budget); we exclude it and report</w:t>
      </w:r>
      <w:r>
        <w:t xml:space="preserve"> </w:t>
      </w:r>
      <w:r>
        <w:rPr>
          <w:rStyle w:val="VerbatimChar"/>
        </w:rPr>
        <w:t xml:space="preserve">toolqa</w:t>
      </w:r>
      <w:r>
        <w:t xml:space="preserve"> </w:t>
      </w:r>
      <w:r>
        <w:t xml:space="preserve">over</w:t>
      </w:r>
      <w:r>
        <w:t xml:space="preserve"> </w:t>
      </w:r>
      <m:oMath>
        <m:r>
          <m:t>H</m:t>
        </m:r>
        <m:r>
          <m:rPr>
            <m:sty m:val="p"/>
          </m:rPr>
          <m:t>≤</m:t>
        </m:r>
        <m:r>
          <m:t>16</m:t>
        </m:r>
      </m:oMath>
      <w:r>
        <w:t xml:space="preserve">, where</w:t>
      </w:r>
      <w:r>
        <w:t xml:space="preserve"> </w:t>
      </w:r>
      <w:r>
        <w:t xml:space="preserve">the collapse is already decisive. Hosted inference carries residual non-determinism</w:t>
      </w:r>
      <w:r>
        <w:t xml:space="preserve"> </w:t>
      </w:r>
      <w:r>
        <w:t xml:space="preserve">despite fixed seeds; we release raw outputs.</w:t>
      </w:r>
    </w:p>
    <w:bookmarkEnd w:id="40"/>
    <w:bookmarkStart w:id="67" w:name="conclusion"/>
    <w:p>
      <w:pPr>
        <w:pStyle w:val="Heading1"/>
      </w:pPr>
      <w:r>
        <w:t xml:space="preserve">Conclusion</w:t>
      </w:r>
    </w:p>
    <w:p>
      <w:pPr>
        <w:pStyle w:val="FirstParagraph"/>
      </w:pPr>
      <w:r>
        <w:t xml:space="preserve">Agents rot geometrically. Task success follows</w:t>
      </w:r>
      <w:r>
        <w:t xml:space="preserve"> </w:t>
      </w:r>
      <m:oMath>
        <m:r>
          <m:t>P</m:t>
        </m:r>
        <m:r>
          <m:rPr>
            <m:sty m:val="p"/>
          </m:rPr>
          <m:t>≈</m:t>
        </m:r>
        <m:sSup>
          <m:e>
            <m:r>
              <m:t>r</m:t>
            </m:r>
          </m:e>
          <m:sup>
            <m:r>
              <m:t>H</m:t>
            </m:r>
          </m:sup>
        </m:sSup>
      </m:oMath>
      <w:r>
        <w:t xml:space="preserve"> </w:t>
      </w:r>
      <w:r>
        <w:t xml:space="preserve">in a per-step</w:t>
      </w:r>
      <w:r>
        <w:t xml:space="preserve"> </w:t>
      </w:r>
      <w:r>
        <w:t xml:space="preserve">reliability that rises with scale but saturates below</w:t>
      </w:r>
      <w:r>
        <w:t xml:space="preserve"> </w:t>
      </w:r>
      <m:oMath>
        <m:r>
          <m:t>1</m:t>
        </m:r>
      </m:oMath>
      <w:r>
        <w:t xml:space="preserve"> </w:t>
      </w:r>
      <w:r>
        <w:t xml:space="preserve">on non-trivial tasks, so long</w:t>
      </w:r>
      <w:r>
        <w:t xml:space="preserve"> </w:t>
      </w:r>
      <w:r>
        <w:t xml:space="preserve">horizons guarantee collapse—and on a genuine agentic loop, even deployed frontier</w:t>
      </w:r>
      <w:r>
        <w:t xml:space="preserve"> </w:t>
      </w:r>
      <w:r>
        <w:t xml:space="preserve">models collapse within 16 steps. The decay accelerates within a trajectory, and its</w:t>
      </w:r>
      <w:r>
        <w:t xml:space="preserve"> </w:t>
      </w:r>
      <w:r>
        <w:t xml:space="preserve">driver is the number of dependent steps, not context length: bounding context makes</w:t>
      </w:r>
      <w:r>
        <w:t xml:space="preserve"> </w:t>
      </w:r>
      <w:r>
        <w:t xml:space="preserve">things worse. Because benchmarks sample short horizons, they report the flat top of this</w:t>
      </w:r>
      <w:r>
        <w:t xml:space="preserve"> </w:t>
      </w:r>
      <w:r>
        <w:t xml:space="preserve">curve and hide the collapse that defines production behavior. Measuring and reporting</w:t>
      </w:r>
      <w:r>
        <w:t xml:space="preserve"> </w:t>
      </w:r>
      <w:r>
        <w:t xml:space="preserve">per-step reliability against horizon would close much of the gap between what we</w:t>
      </w:r>
      <w:r>
        <w:t xml:space="preserve"> </w:t>
      </w:r>
      <w:r>
        <w:t xml:space="preserve">benchmark and what we deploy.</w:t>
      </w:r>
    </w:p>
    <w:bookmarkStart w:id="66" w:name="reproducibility."/>
    <w:p>
      <w:pPr>
        <w:pStyle w:val="Heading4"/>
      </w:pPr>
      <w:r>
        <w:t xml:space="preserve">Reproducibility.</w:t>
      </w:r>
    </w:p>
    <w:p>
      <w:pPr>
        <w:pStyle w:val="FirstParagraph"/>
      </w:pPr>
      <w:r>
        <w:t xml:space="preserve">All code, task generators, prompts, seeds, raw</w:t>
      </w:r>
      <w:r>
        <w:t xml:space="preserve"> </w:t>
      </w:r>
      <w:r>
        <w:t xml:space="preserve">trajectories, and analysis scripts are released; every quantitative claim traces to the</w:t>
      </w:r>
      <w:r>
        <w:t xml:space="preserve"> </w:t>
      </w:r>
      <w:r>
        <w:t xml:space="preserve">released dataset.</w:t>
      </w:r>
    </w:p>
    <w:bookmarkStart w:id="65" w:name="refs"/>
    <w:bookmarkStart w:id="41" w:name="ref-barres2025tau2bench"/>
    <w:p>
      <w:pPr>
        <w:pStyle w:val="Bibliography"/>
      </w:pPr>
      <w:r>
        <w:t xml:space="preserve">Barres, Victor et al.</w:t>
      </w:r>
      <w:r>
        <w:t xml:space="preserve"> 2025.</w:t>
      </w:r>
      <w:r>
        <w:t xml:space="preserve"> </w:t>
      </w:r>
      <w:r>
        <w:t xml:space="preserve">“</w:t>
      </w:r>
      <m:oMath>
        <m:sSup>
          <m:e>
            <m:r>
              <m:t>τ</m:t>
            </m:r>
          </m:e>
          <m:sup>
            <m:r>
              <m:t>2</m:t>
            </m:r>
          </m:sup>
        </m:sSup>
      </m:oMath>
      <w:r>
        <w:t xml:space="preserve">-Bench: Evaluating Conversational Agents in a Dual-Control Environment.”</w:t>
      </w:r>
      <w:r>
        <w:t xml:space="preserve"> </w:t>
      </w:r>
      <w:r>
        <w:rPr>
          <w:i/>
          <w:iCs/>
        </w:rPr>
        <w:t xml:space="preserve">arXiv Preprint arXiv:2506.07982</w:t>
      </w:r>
      <w:r>
        <w:t xml:space="preserve">.</w:t>
      </w:r>
    </w:p>
    <w:bookmarkEnd w:id="41"/>
    <w:bookmarkStart w:id="42" w:name="ref-cemri2025mast"/>
    <w:p>
      <w:pPr>
        <w:pStyle w:val="Bibliography"/>
      </w:pPr>
      <w:r>
        <w:t xml:space="preserve">Cemri, Mert, Melissa Z. Pan, Shuyi Yang, et al.</w:t>
      </w:r>
      <w:r>
        <w:t xml:space="preserve"> 2025.</w:t>
      </w:r>
      <w:r>
        <w:t xml:space="preserve"> </w:t>
      </w:r>
      <w:r>
        <w:t xml:space="preserve">“Why Do Multi-Agent</w:t>
      </w:r>
      <w:r>
        <w:t xml:space="preserve"> </w:t>
      </w:r>
      <w:r>
        <w:t xml:space="preserve">LLM</w:t>
      </w:r>
      <w:r>
        <w:t xml:space="preserve"> </w:t>
      </w:r>
      <w:r>
        <w:t xml:space="preserve">Systems Fail?”</w:t>
      </w:r>
      <w:r>
        <w:t xml:space="preserve"> </w:t>
      </w:r>
      <w:r>
        <w:rPr>
          <w:i/>
          <w:iCs/>
        </w:rPr>
        <w:t xml:space="preserve">Advances in Neural Information Processing Systems (NeurIPS) Datasets and Benchmarks</w:t>
      </w:r>
      <w:r>
        <w:t xml:space="preserve">.</w:t>
      </w:r>
    </w:p>
    <w:bookmarkEnd w:id="42"/>
    <w:bookmarkStart w:id="43" w:name="ref-deng2023mind2web"/>
    <w:p>
      <w:pPr>
        <w:pStyle w:val="Bibliography"/>
      </w:pPr>
      <w:r>
        <w:t xml:space="preserve">Deng, Xiang, Yu Gu, Boyuan Zheng, et al.</w:t>
      </w:r>
      <w:r>
        <w:t xml:space="preserve"> 2023.</w:t>
      </w:r>
      <w:r>
        <w:t xml:space="preserve"> </w:t>
      </w:r>
      <w:r>
        <w:t xml:space="preserve">“</w:t>
      </w:r>
      <w:r>
        <w:t xml:space="preserve">Mind2Web</w:t>
      </w:r>
      <w:r>
        <w:t xml:space="preserve">: Towards a Generalist Agent for the Web.”</w:t>
      </w:r>
      <w:r>
        <w:t xml:space="preserve"> </w:t>
      </w:r>
      <w:r>
        <w:rPr>
          <w:i/>
          <w:iCs/>
        </w:rPr>
        <w:t xml:space="preserve">Advances in Neural Information Processing Systems (NeurIPS)</w:t>
      </w:r>
      <w:r>
        <w:t xml:space="preserve">.</w:t>
      </w:r>
    </w:p>
    <w:bookmarkEnd w:id="43"/>
    <w:bookmarkStart w:id="44" w:name="ref-dziri2023faithfate"/>
    <w:p>
      <w:pPr>
        <w:pStyle w:val="Bibliography"/>
      </w:pPr>
      <w:r>
        <w:t xml:space="preserve">Dziri, Nouha, Ximing Lu, Melanie Sclar, et al. 2023.</w:t>
      </w:r>
      <w:r>
        <w:t xml:space="preserve"> </w:t>
      </w:r>
      <w:r>
        <w:t xml:space="preserve">“Faith and Fate: Limits of Transformers on Compositionality.”</w:t>
      </w:r>
      <w:r>
        <w:t xml:space="preserve"> </w:t>
      </w:r>
      <w:r>
        <w:rPr>
          <w:i/>
          <w:iCs/>
        </w:rPr>
        <w:t xml:space="preserve">Advances in Neural Information Processing Systems (NeurIPS)</w:t>
      </w:r>
      <w:r>
        <w:t xml:space="preserve">.</w:t>
      </w:r>
    </w:p>
    <w:bookmarkEnd w:id="44"/>
    <w:bookmarkStart w:id="45" w:name="ref-hsieh2024ruler"/>
    <w:p>
      <w:pPr>
        <w:pStyle w:val="Bibliography"/>
      </w:pPr>
      <w:r>
        <w:t xml:space="preserve">Hsieh, Cheng-Ping, Simeng Sun, Samuel Kriman, et al. 2024.</w:t>
      </w:r>
      <w:r>
        <w:t xml:space="preserve"> </w:t>
      </w:r>
      <w:r>
        <w:t xml:space="preserve">“</w:t>
      </w:r>
      <w:r>
        <w:t xml:space="preserve">RULER</w:t>
      </w:r>
      <w:r>
        <w:t xml:space="preserve">: What’s the Real Context Size of Your Long-Context Language Models?”</w:t>
      </w:r>
      <w:r>
        <w:t xml:space="preserve"> </w:t>
      </w:r>
      <w:r>
        <w:rPr>
          <w:i/>
          <w:iCs/>
        </w:rPr>
        <w:t xml:space="preserve">Conference on Language Modeling (COLM)</w:t>
      </w:r>
      <w:r>
        <w:t xml:space="preserve">.</w:t>
      </w:r>
    </w:p>
    <w:bookmarkEnd w:id="45"/>
    <w:bookmarkStart w:id="46" w:name="ref-huang2025hallucination"/>
    <w:p>
      <w:pPr>
        <w:pStyle w:val="Bibliography"/>
      </w:pPr>
      <w:r>
        <w:t xml:space="preserve">Huang, Lei, Weijiang Yu, et al.</w:t>
      </w:r>
      <w:r>
        <w:t xml:space="preserve"> 2025.</w:t>
      </w:r>
      <w:r>
        <w:t xml:space="preserve"> </w:t>
      </w:r>
      <w:r>
        <w:t xml:space="preserve">“A Survey on Hallucination in Large Language Models: Principles, Taxonomy, Challenges, and Open Questions.”</w:t>
      </w:r>
      <w:r>
        <w:t xml:space="preserve"> </w:t>
      </w:r>
      <w:r>
        <w:rPr>
          <w:i/>
          <w:iCs/>
        </w:rPr>
        <w:t xml:space="preserve">ACM Transactions on Information Systems (TOIS)</w:t>
      </w:r>
      <w:r>
        <w:t xml:space="preserve"> </w:t>
      </w:r>
      <w:r>
        <w:t xml:space="preserve">43 (2).</w:t>
      </w:r>
    </w:p>
    <w:bookmarkEnd w:id="46"/>
    <w:bookmarkStart w:id="47" w:name="ref-jimenez2024swebench"/>
    <w:p>
      <w:pPr>
        <w:pStyle w:val="Bibliography"/>
      </w:pPr>
      <w:r>
        <w:t xml:space="preserve">Jimenez, Carlos E., John Yang, Alexander Wettig, et al. 2024.</w:t>
      </w:r>
      <w:r>
        <w:t xml:space="preserve"> </w:t>
      </w:r>
      <w:r>
        <w:t xml:space="preserve">“</w:t>
      </w:r>
      <w:r>
        <w:t xml:space="preserve">SWE</w:t>
      </w:r>
      <w:r>
        <w:t xml:space="preserve">-Bench: Can Language Models Resolve Real-World</w:t>
      </w:r>
      <w:r>
        <w:t xml:space="preserve"> </w:t>
      </w:r>
      <w:r>
        <w:t xml:space="preserve">GitHub</w:t>
      </w:r>
      <w:r>
        <w:t xml:space="preserve"> </w:t>
      </w:r>
      <w:r>
        <w:t xml:space="preserve">Issues?”</w:t>
      </w:r>
      <w:r>
        <w:t xml:space="preserve"> </w:t>
      </w:r>
      <w:r>
        <w:rPr>
          <w:i/>
          <w:iCs/>
        </w:rPr>
        <w:t xml:space="preserve">International Conference on Learning Representations (ICLR)</w:t>
      </w:r>
      <w:r>
        <w:t xml:space="preserve">.</w:t>
      </w:r>
    </w:p>
    <w:bookmarkEnd w:id="47"/>
    <w:bookmarkStart w:id="48" w:name="ref-kapoor2024agents"/>
    <w:p>
      <w:pPr>
        <w:pStyle w:val="Bibliography"/>
      </w:pPr>
      <w:r>
        <w:t xml:space="preserve">Kapoor, Sayash, Benedikt Stroebl, Zachary S. Siegel, Nitya Nadgir, and Arvind Narayanan. 2024.</w:t>
      </w:r>
      <w:r>
        <w:t xml:space="preserve"> </w:t>
      </w:r>
      <w:r>
        <w:t xml:space="preserve">“</w:t>
      </w:r>
      <w:r>
        <w:t xml:space="preserve">AI</w:t>
      </w:r>
      <w:r>
        <w:t xml:space="preserve"> </w:t>
      </w:r>
      <w:r>
        <w:t xml:space="preserve">Agents That Matter.”</w:t>
      </w:r>
      <w:r>
        <w:t xml:space="preserve"> </w:t>
      </w:r>
      <w:r>
        <w:rPr>
          <w:i/>
          <w:iCs/>
        </w:rPr>
        <w:t xml:space="preserve">arXiv Preprint arXiv:2407.01502</w:t>
      </w:r>
      <w:r>
        <w:t xml:space="preserve">.</w:t>
      </w:r>
    </w:p>
    <w:bookmarkEnd w:id="48"/>
    <w:bookmarkStart w:id="49" w:name="ref-kwa2025metr"/>
    <w:p>
      <w:pPr>
        <w:pStyle w:val="Bibliography"/>
      </w:pPr>
      <w:r>
        <w:t xml:space="preserve">Kwa, Thomas, Ben West, et al.</w:t>
      </w:r>
      <w:r>
        <w:t xml:space="preserve"> 2025.</w:t>
      </w:r>
      <w:r>
        <w:t xml:space="preserve"> </w:t>
      </w:r>
      <w:r>
        <w:t xml:space="preserve">“Measuring</w:t>
      </w:r>
      <w:r>
        <w:t xml:space="preserve"> </w:t>
      </w:r>
      <w:r>
        <w:t xml:space="preserve">AI</w:t>
      </w:r>
      <w:r>
        <w:t xml:space="preserve"> </w:t>
      </w:r>
      <w:r>
        <w:t xml:space="preserve">Ability to Complete Long Tasks.”</w:t>
      </w:r>
      <w:r>
        <w:t xml:space="preserve"> </w:t>
      </w:r>
      <w:r>
        <w:rPr>
          <w:i/>
          <w:iCs/>
        </w:rPr>
        <w:t xml:space="preserve">arXiv Preprint arXiv:2503.14499</w:t>
      </w:r>
      <w:r>
        <w:t xml:space="preserve">.</w:t>
      </w:r>
    </w:p>
    <w:bookmarkEnd w:id="49"/>
    <w:bookmarkStart w:id="50" w:name="ref-laban2025lostconv"/>
    <w:p>
      <w:pPr>
        <w:pStyle w:val="Bibliography"/>
      </w:pPr>
      <w:r>
        <w:t xml:space="preserve">Laban, Philippe, Hiroaki Hayashi, Yingbo Zhou, and Jennifer Neville. 2025.</w:t>
      </w:r>
      <w:r>
        <w:t xml:space="preserve"> </w:t>
      </w:r>
      <w:r>
        <w:t xml:space="preserve">“</w:t>
      </w:r>
      <w:r>
        <w:t xml:space="preserve">LLMs</w:t>
      </w:r>
      <w:r>
        <w:t xml:space="preserve"> </w:t>
      </w:r>
      <w:r>
        <w:t xml:space="preserve">Get Lost in Multi-Turn Conversation.”</w:t>
      </w:r>
      <w:r>
        <w:t xml:space="preserve"> </w:t>
      </w:r>
      <w:r>
        <w:rPr>
          <w:i/>
          <w:iCs/>
        </w:rPr>
        <w:t xml:space="preserve">arXiv Preprint arXiv:2505.06120</w:t>
      </w:r>
      <w:r>
        <w:t xml:space="preserve">.</w:t>
      </w:r>
    </w:p>
    <w:bookmarkEnd w:id="50"/>
    <w:bookmarkStart w:id="51" w:name="ref-levy2024moretokens"/>
    <w:p>
      <w:pPr>
        <w:pStyle w:val="Bibliography"/>
      </w:pPr>
      <w:r>
        <w:t xml:space="preserve">Levy, Mosh, Alon Jacoby, and Yoav Goldberg. 2024.</w:t>
      </w:r>
      <w:r>
        <w:t xml:space="preserve"> </w:t>
      </w:r>
      <w:r>
        <w:t xml:space="preserve">“Same Task, More Tokens: The Impact of Input Length on the Reasoning Performance of Large Language Models.”</w:t>
      </w:r>
      <w:r>
        <w:t xml:space="preserve"> </w:t>
      </w:r>
      <w:r>
        <w:rPr>
          <w:i/>
          <w:iCs/>
        </w:rPr>
        <w:t xml:space="preserve">Annual Meeting of the Association for Computational Linguistics (ACL)</w:t>
      </w:r>
      <w:r>
        <w:t xml:space="preserve">, 15339–53.</w:t>
      </w:r>
    </w:p>
    <w:bookmarkEnd w:id="51"/>
    <w:bookmarkStart w:id="52" w:name="ref-liu2024lostmiddle"/>
    <w:p>
      <w:pPr>
        <w:pStyle w:val="Bibliography"/>
      </w:pPr>
      <w:r>
        <w:t xml:space="preserve">Liu, Nelson F., Kevin Lin, John Hewitt, et al. 2024.</w:t>
      </w:r>
      <w:r>
        <w:t xml:space="preserve"> </w:t>
      </w:r>
      <w:r>
        <w:t xml:space="preserve">“Lost in the Middle: How Language Models Use Long Contexts.”</w:t>
      </w:r>
      <w:r>
        <w:t xml:space="preserve"> </w:t>
      </w:r>
      <w:r>
        <w:rPr>
          <w:i/>
          <w:iCs/>
        </w:rPr>
        <w:t xml:space="preserve">Transactions of the Association for Computational Linguistics (TACL)</w:t>
      </w:r>
      <w:r>
        <w:t xml:space="preserve"> </w:t>
      </w:r>
      <w:r>
        <w:t xml:space="preserve">12: 157–73.</w:t>
      </w:r>
    </w:p>
    <w:bookmarkEnd w:id="52"/>
    <w:bookmarkStart w:id="53" w:name="ref-liu2024agentbench"/>
    <w:p>
      <w:pPr>
        <w:pStyle w:val="Bibliography"/>
      </w:pPr>
      <w:r>
        <w:t xml:space="preserve">Liu, Xiao, Hao Yu, et al.</w:t>
      </w:r>
      <w:r>
        <w:t xml:space="preserve"> 2024.</w:t>
      </w:r>
      <w:r>
        <w:t xml:space="preserve"> </w:t>
      </w:r>
      <w:r>
        <w:t xml:space="preserve">“</w:t>
      </w:r>
      <w:r>
        <w:t xml:space="preserve">AgentBench</w:t>
      </w:r>
      <w:r>
        <w:t xml:space="preserve">: Evaluating</w:t>
      </w:r>
      <w:r>
        <w:t xml:space="preserve"> </w:t>
      </w:r>
      <w:r>
        <w:t xml:space="preserve">LLMs</w:t>
      </w:r>
      <w:r>
        <w:t xml:space="preserve"> </w:t>
      </w:r>
      <w:r>
        <w:t xml:space="preserve">as Agents.”</w:t>
      </w:r>
      <w:r>
        <w:t xml:space="preserve"> </w:t>
      </w:r>
      <w:r>
        <w:rPr>
          <w:i/>
          <w:iCs/>
        </w:rPr>
        <w:t xml:space="preserve">International Conference on Learning Representations (ICLR)</w:t>
      </w:r>
      <w:r>
        <w:t xml:space="preserve">.</w:t>
      </w:r>
    </w:p>
    <w:bookmarkEnd w:id="53"/>
    <w:bookmarkStart w:id="54" w:name="ref-mialon2023gaia"/>
    <w:p>
      <w:pPr>
        <w:pStyle w:val="Bibliography"/>
      </w:pPr>
      <w:r>
        <w:t xml:space="preserve">Mialon, Grégoire, Clémentine Fourrier, Craig Swift, Thomas Wolf, Yann LeCun, and Thomas Scialom. 2023.</w:t>
      </w:r>
      <w:r>
        <w:t xml:space="preserve"> </w:t>
      </w:r>
      <w:r>
        <w:t xml:space="preserve">“</w:t>
      </w:r>
      <w:r>
        <w:t xml:space="preserve">GAIA</w:t>
      </w:r>
      <w:r>
        <w:t xml:space="preserve">: A Benchmark for General</w:t>
      </w:r>
      <w:r>
        <w:t xml:space="preserve"> </w:t>
      </w:r>
      <w:r>
        <w:t xml:space="preserve">AI</w:t>
      </w:r>
      <w:r>
        <w:t xml:space="preserve"> </w:t>
      </w:r>
      <w:r>
        <w:t xml:space="preserve">Assistants.”</w:t>
      </w:r>
      <w:r>
        <w:t xml:space="preserve"> </w:t>
      </w:r>
      <w:r>
        <w:rPr>
          <w:i/>
          <w:iCs/>
        </w:rPr>
        <w:t xml:space="preserve">arXiv Preprint arXiv:2311.12983</w:t>
      </w:r>
      <w:r>
        <w:t xml:space="preserve">.</w:t>
      </w:r>
    </w:p>
    <w:bookmarkEnd w:id="54"/>
    <w:bookmarkStart w:id="55" w:name="ref-modarressi2025nolima"/>
    <w:p>
      <w:pPr>
        <w:pStyle w:val="Bibliography"/>
      </w:pPr>
      <w:r>
        <w:t xml:space="preserve">Modarressi, Ali, Hanieh Deilamsalehy, Franck Dernoncourt, et al. 2025.</w:t>
      </w:r>
      <w:r>
        <w:t xml:space="preserve"> </w:t>
      </w:r>
      <w:r>
        <w:t xml:space="preserve">“</w:t>
      </w:r>
      <w:r>
        <w:t xml:space="preserve">NoLiMa</w:t>
      </w:r>
      <w:r>
        <w:t xml:space="preserve">: Long-Context Evaluation Beyond Literal Matching.”</w:t>
      </w:r>
      <w:r>
        <w:t xml:space="preserve"> </w:t>
      </w:r>
      <w:r>
        <w:rPr>
          <w:i/>
          <w:iCs/>
        </w:rPr>
        <w:t xml:space="preserve">International Conference on Machine Learning (ICML)</w:t>
      </w:r>
      <w:r>
        <w:t xml:space="preserve">.</w:t>
      </w:r>
    </w:p>
    <w:bookmarkEnd w:id="55"/>
    <w:bookmarkStart w:id="56" w:name="ref-patil2025bfcl"/>
    <w:p>
      <w:pPr>
        <w:pStyle w:val="Bibliography"/>
      </w:pPr>
      <w:r>
        <w:t xml:space="preserve">Patil, Shishir G., Huanzhi Mao, et al.</w:t>
      </w:r>
      <w:r>
        <w:t xml:space="preserve"> 2025.</w:t>
      </w:r>
      <w:r>
        <w:t xml:space="preserve"> </w:t>
      </w:r>
      <w:r>
        <w:t xml:space="preserve">“The Berkeley Function Calling Leaderboard (</w:t>
      </w:r>
      <w:r>
        <w:t xml:space="preserve">BFCL</w:t>
      </w:r>
      <w:r>
        <w:t xml:space="preserve">): From Tool Use to Agentic Evaluation.”</w:t>
      </w:r>
      <w:r>
        <w:t xml:space="preserve"> </w:t>
      </w:r>
      <w:r>
        <w:rPr>
          <w:i/>
          <w:iCs/>
        </w:rPr>
        <w:t xml:space="preserve">International Conference on Machine Learning (ICML)</w:t>
      </w:r>
      <w:r>
        <w:t xml:space="preserve">.</w:t>
      </w:r>
    </w:p>
    <w:bookmarkEnd w:id="56"/>
    <w:bookmarkStart w:id="57" w:name="ref-shinn2023reflexion"/>
    <w:p>
      <w:pPr>
        <w:pStyle w:val="Bibliography"/>
      </w:pPr>
      <w:r>
        <w:t xml:space="preserve">Shinn, Noah, Federico Cassano, Edward Berman, Ashwin Gopinath, Karthik Narasimhan, and Shunyu Yao. 2023.</w:t>
      </w:r>
      <w:r>
        <w:t xml:space="preserve"> </w:t>
      </w:r>
      <w:r>
        <w:t xml:space="preserve">“Reflexion: Language Agents with Verbal Reinforcement Learning.”</w:t>
      </w:r>
      <w:r>
        <w:t xml:space="preserve"> </w:t>
      </w:r>
      <w:r>
        <w:rPr>
          <w:i/>
          <w:iCs/>
        </w:rPr>
        <w:t xml:space="preserve">Advances in Neural Information Processing Systems (NeurIPS)</w:t>
      </w:r>
      <w:r>
        <w:t xml:space="preserve">.</w:t>
      </w:r>
    </w:p>
    <w:bookmarkEnd w:id="57"/>
    <w:bookmarkStart w:id="58" w:name="ref-trivedi2024appworld"/>
    <w:p>
      <w:pPr>
        <w:pStyle w:val="Bibliography"/>
      </w:pPr>
      <w:r>
        <w:t xml:space="preserve">Trivedi, Harsh, Tushar Khot, et al.</w:t>
      </w:r>
      <w:r>
        <w:t xml:space="preserve"> 2024.</w:t>
      </w:r>
      <w:r>
        <w:t xml:space="preserve"> </w:t>
      </w:r>
      <w:r>
        <w:t xml:space="preserve">“</w:t>
      </w:r>
      <w:r>
        <w:t xml:space="preserve">AppWorld</w:t>
      </w:r>
      <w:r>
        <w:t xml:space="preserve">: A Controllable World of Apps and People for Benchmarking Interactive Coding Agents.”</w:t>
      </w:r>
      <w:r>
        <w:t xml:space="preserve"> </w:t>
      </w:r>
      <w:r>
        <w:rPr>
          <w:i/>
          <w:iCs/>
        </w:rPr>
        <w:t xml:space="preserve">Annual Meeting of the Association for Computational Linguistics (ACL)</w:t>
      </w:r>
      <w:r>
        <w:t xml:space="preserve">.</w:t>
      </w:r>
    </w:p>
    <w:bookmarkEnd w:id="58"/>
    <w:bookmarkStart w:id="59" w:name="ref-xie2024osworld"/>
    <w:p>
      <w:pPr>
        <w:pStyle w:val="Bibliography"/>
      </w:pPr>
      <w:r>
        <w:t xml:space="preserve">Xie, Tianbao, Danyang Zhang, Jixuan Chen, et al.</w:t>
      </w:r>
      <w:r>
        <w:t xml:space="preserve"> 2024.</w:t>
      </w:r>
      <w:r>
        <w:t xml:space="preserve"> </w:t>
      </w:r>
      <w:r>
        <w:t xml:space="preserve">“</w:t>
      </w:r>
      <w:r>
        <w:t xml:space="preserve">OSWorld</w:t>
      </w:r>
      <w:r>
        <w:t xml:space="preserve">: Benchmarking Multimodal Agents for Open-Ended Tasks in Real Computer Environments.”</w:t>
      </w:r>
      <w:r>
        <w:t xml:space="preserve"> </w:t>
      </w:r>
      <w:r>
        <w:rPr>
          <w:i/>
          <w:iCs/>
        </w:rPr>
        <w:t xml:space="preserve">Advances in Neural Information Processing Systems (NeurIPS) Datasets and Benchmarks</w:t>
      </w:r>
      <w:r>
        <w:t xml:space="preserve">.</w:t>
      </w:r>
    </w:p>
    <w:bookmarkEnd w:id="59"/>
    <w:bookmarkStart w:id="60" w:name="ref-xu2024agentcompany"/>
    <w:p>
      <w:pPr>
        <w:pStyle w:val="Bibliography"/>
      </w:pPr>
      <w:r>
        <w:t xml:space="preserve">Xu, Frank F., Yufan Wang, et al.</w:t>
      </w:r>
      <w:r>
        <w:t xml:space="preserve"> 2024.</w:t>
      </w:r>
      <w:r>
        <w:t xml:space="preserve"> </w:t>
      </w:r>
      <w:r>
        <w:t xml:space="preserve">“</w:t>
      </w:r>
      <w:r>
        <w:t xml:space="preserve">TheAgentCompany</w:t>
      </w:r>
      <w:r>
        <w:t xml:space="preserve">: Benchmarking</w:t>
      </w:r>
      <w:r>
        <w:t xml:space="preserve"> </w:t>
      </w:r>
      <w:r>
        <w:t xml:space="preserve">LLM</w:t>
      </w:r>
      <w:r>
        <w:t xml:space="preserve"> </w:t>
      </w:r>
      <w:r>
        <w:t xml:space="preserve">Agents on Consequential Real World Tasks.”</w:t>
      </w:r>
      <w:r>
        <w:t xml:space="preserve"> </w:t>
      </w:r>
      <w:r>
        <w:rPr>
          <w:i/>
          <w:iCs/>
        </w:rPr>
        <w:t xml:space="preserve">arXiv Preprint arXiv:2412.14161</w:t>
      </w:r>
      <w:r>
        <w:t xml:space="preserve">.</w:t>
      </w:r>
    </w:p>
    <w:bookmarkEnd w:id="60"/>
    <w:bookmarkStart w:id="61" w:name="ref-yao2024taubench"/>
    <w:p>
      <w:pPr>
        <w:pStyle w:val="Bibliography"/>
      </w:pPr>
      <w:r>
        <w:t xml:space="preserve">Yao, Shunyu, Noah Shinn, Pedram Razavi, and Karthik Narasimhan. 2024.</w:t>
      </w:r>
      <w:r>
        <w:t xml:space="preserve"> </w:t>
      </w:r>
      <w:r>
        <w:t xml:space="preserve">“</w:t>
      </w:r>
      <m:oMath>
        <m:r>
          <m:t>τ</m:t>
        </m:r>
      </m:oMath>
      <w:r>
        <w:t xml:space="preserve">-Bench: A Benchmark for Tool-Agent-User Interaction in Real-World Domains.”</w:t>
      </w:r>
      <w:r>
        <w:t xml:space="preserve"> </w:t>
      </w:r>
      <w:r>
        <w:rPr>
          <w:i/>
          <w:iCs/>
        </w:rPr>
        <w:t xml:space="preserve">arXiv Preprint arXiv:2406.12045</w:t>
      </w:r>
      <w:r>
        <w:t xml:space="preserve">.</w:t>
      </w:r>
    </w:p>
    <w:bookmarkEnd w:id="61"/>
    <w:bookmarkStart w:id="62" w:name="ref-yao2023react"/>
    <w:p>
      <w:pPr>
        <w:pStyle w:val="Bibliography"/>
      </w:pPr>
      <w:r>
        <w:t xml:space="preserve">Yao, Shunyu, Jeffrey Zhao, Dian Yu, et al. 2023.</w:t>
      </w:r>
      <w:r>
        <w:t xml:space="preserve"> </w:t>
      </w:r>
      <w:r>
        <w:t xml:space="preserve">“</w:t>
      </w:r>
      <w:r>
        <w:t xml:space="preserve">ReAct</w:t>
      </w:r>
      <w:r>
        <w:t xml:space="preserve">: Synergizing Reasoning and Acting in Language Models.”</w:t>
      </w:r>
      <w:r>
        <w:t xml:space="preserve"> </w:t>
      </w:r>
      <w:r>
        <w:rPr>
          <w:i/>
          <w:iCs/>
        </w:rPr>
        <w:t xml:space="preserve">International Conference on Learning Representations (ICLR)</w:t>
      </w:r>
      <w:r>
        <w:t xml:space="preserve">.</w:t>
      </w:r>
    </w:p>
    <w:bookmarkEnd w:id="62"/>
    <w:bookmarkStart w:id="63" w:name="ref-zhou2023webarena"/>
    <w:p>
      <w:pPr>
        <w:pStyle w:val="Bibliography"/>
      </w:pPr>
      <w:r>
        <w:t xml:space="preserve">Zhou, Shuyan, Frank F. Xu, Hao Zhu, et al.</w:t>
      </w:r>
      <w:r>
        <w:t xml:space="preserve"> 2023.</w:t>
      </w:r>
      <w:r>
        <w:t xml:space="preserve"> </w:t>
      </w:r>
      <w:r>
        <w:t xml:space="preserve">“</w:t>
      </w:r>
      <w:r>
        <w:t xml:space="preserve">WebArena</w:t>
      </w:r>
      <w:r>
        <w:t xml:space="preserve">: A Realistic Web Environment for Building Autonomous Agents.”</w:t>
      </w:r>
      <w:r>
        <w:t xml:space="preserve"> </w:t>
      </w:r>
      <w:r>
        <w:rPr>
          <w:i/>
          <w:iCs/>
        </w:rPr>
        <w:t xml:space="preserve">Advances in Neural Information Processing Systems (NeurIPS)</w:t>
      </w:r>
      <w:r>
        <w:t xml:space="preserve">.</w:t>
      </w:r>
    </w:p>
    <w:bookmarkEnd w:id="63"/>
    <w:bookmarkStart w:id="64" w:name="ref-zhu2025abc"/>
    <w:p>
      <w:pPr>
        <w:pStyle w:val="Bibliography"/>
      </w:pPr>
      <w:r>
        <w:t xml:space="preserve">Zhu, Yuxuan et al.</w:t>
      </w:r>
      <w:r>
        <w:t xml:space="preserve"> 2025.</w:t>
      </w:r>
      <w:r>
        <w:t xml:space="preserve"> </w:t>
      </w:r>
      <w:r>
        <w:t xml:space="preserve">“Establishing Best Practices for Building Rigorous Agentic Benchmarks.”</w:t>
      </w:r>
      <w:r>
        <w:t xml:space="preserve"> </w:t>
      </w:r>
      <w:r>
        <w:rPr>
          <w:i/>
          <w:iCs/>
        </w:rPr>
        <w:t xml:space="preserve">Advances in Neural Information Processing Systems (NeurIPS) Datasets and Benchmarks</w:t>
      </w:r>
      <w:r>
        <w:t xml:space="preserve">.</w:t>
      </w:r>
    </w:p>
    <w:bookmarkEnd w:id="64"/>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30" Target="media/rId3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Fast Do Agents Rot? An Empirical Study of Long-Horizon Degradation in LLM Agents</dc:title>
  <dc:creator/>
  <cp:keywords/>
  <dcterms:created xsi:type="dcterms:W3CDTF">2026-06-30T00:40:54Z</dcterms:created>
  <dcterms:modified xsi:type="dcterms:W3CDTF">2026-06-30T00:40:54Z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Agent benchmarks report steadily rising success rates, yet deployed LLM agents remain unreliable on long, multi-step tasks. We argue much of this tension is an artifact of horizon: benchmarks score agents at task lengths where success is still high, while production demands far longer horizons. We measure the effect directly. Across 10,664 controlled agent trajectories spanning nine models (1.2B–671B parameters and four proprietary deployed models, across six vendor families), four task families—including a genuinely agentic tool-use loop—five horizons (H\!\in\!\{2,4,8,16,32\} dependent steps), and three context regimes, we characterize the shape of degradation and disentangle its cause. Task success follows a geometric law, P(\text{success})\approx a\,r^{H}, where r is a model- and task-specific per-step reliability: geometric is the best-fitting shape in 28/36 model\timestask cells. Per-step reliability rises with model scale (Pearson r{=}0.36 vs. \log parameters) and saturates near 0.7 even for the strongest models and deployed systems—so geometric compounding guarantees collapse at long horizons for every model we tested. The effect is sharpest on the agentic task: on a multi-hop tool-use loop, every model—including GPT-4o-mini, Gemini, and Claude—falls from \sim1.0 success at H{=}2 to near zero by H{=}16. Degradation also accelerates within a trajectory (per-step accuracy 0.58\to
0.44 from the first to the last third). Disentangling step-count from context-length, the rot is intrinsic to executing many dependent steps, not raw context length: bounding the context window steepens decay (p{=}3\times10^{-6}), the opposite of a lost-in-the-middle prediction, so naive context truncation backfires. Projecting measured reliability onto benchmark horizons shows the gap: mean projected success falls from 0.42 at GAIA-length tasks to 0.30 at SWE-bench-length to 0.24 at 100-step production horizons. We release all code, prompts, seeds, and raw trajectories.</vt:lpwstr>
  </property>
  <property fmtid="{D5CDD505-2E9C-101B-9397-08002B2CF9AE}" pid="3" name="bibliography">
    <vt:lpwstr>references.bib</vt:lpwstr>
  </property>
  <property fmtid="{D5CDD505-2E9C-101B-9397-08002B2CF9AE}" pid="4" name="date">
    <vt:lpwstr/>
  </property>
</Properties>
</file>