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64"/>
          <w:szCs w:val="64"/>
        </w:rPr>
        <w:t xml:space="preserve">ProbatioH1</w:t>
      </w:r>
    </w:p>
    <w:p>
      <w:pPr>
        <w:spacing w:after="100" w:before="200"/>
        <w:jc w:val="center"/>
      </w:pPr>
      <w:r>
        <w:rPr>
          <w:color w:val="444444"/>
          <w:sz w:val="30"/>
          <w:szCs w:val="30"/>
        </w:rPr>
        <w:t xml:space="preserve">Vérification interne des trajectoires neuronales</w:t>
      </w:r>
    </w:p>
    <w:p>
      <w:pPr>
        <w:spacing w:after="900"/>
        <w:jc w:val="center"/>
      </w:pPr>
      <w:r>
        <w:rPr>
          <w:i/>
          <w:iCs/>
          <w:color w:val="666666"/>
          <w:sz w:val="22"/>
          <w:szCs w:val="22"/>
        </w:rPr>
        <w:t xml:space="preserve">Document de synthèse — État du projet, résultats validés et feuille de route</w:t>
      </w:r>
    </w:p>
    <w:p>
      <w:pPr>
        <w:jc w:val="center"/>
      </w:pPr>
      <w:r>
        <w:rPr>
          <w:color w:val="888888"/>
          <w:sz w:val="20"/>
          <w:szCs w:val="20"/>
        </w:rPr>
        <w:t xml:space="preserve">Dernière mise à jour : août 2026</w:t>
      </w:r>
    </w:p>
    <w:p>
      <w:r>
        <w:br w:type="page"/>
      </w:r>
    </w:p>
    <w:p>
      <w:pPr>
        <w:pStyle w:val="Heading1"/>
        <w:spacing w:after="180" w:before="360"/>
      </w:pPr>
      <w:r>
        <w:t xml:space="preserve">Résumé exécutif</w:t>
      </w:r>
    </w:p>
    <w:p>
      <w:pPr>
        <w:spacing w:after="160"/>
      </w:pPr>
      <w:r>
        <w:t xml:space="preserve">Question de départ : peut-on vérifier, depuis l'intérieur d'un modèle de langage et avant que la réponse ne soit produite, si sa trajectoire dans l'espace latent est admissible — en distinguant une transition créative légitime d'une dérive hallucinatoire par la forme du chemin parcouru, pas par le contenu généré.</w:t>
      </w:r>
    </w:p>
    <w:p>
      <w:pPr>
        <w:spacing w:after="160"/>
      </w:pPr>
      <w:r>
        <w:t xml:space="preserve">Le projet est passé par trois phases : (1) un prototype sur un paysage de potentiel synthétique, (2) une validation empirique rigoureuse sur GPT-2 réel, avec plusieurs cycles de correction méthodologique, et (3) une reformulation théorique (ProbatioH1) qui reste, à ce stade, en grande partie non testée.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1F3864" w:val="clear"/>
            <w:tcMar>
              <w:top w:type="dxa" w:w="100"/>
              <w:left w:type="dxa" w:w="120"/>
              <w:bottom w:type="dxa" w:w="100"/>
              <w:right w:type="dxa" w:w="120"/>
            </w:tcMar>
          </w:tcPr>
          <w:p>
            <w:r>
              <w:rPr>
                <w:b/>
                <w:bCs/>
                <w:color w:val="FFFFFF"/>
                <w:sz w:val="20"/>
                <w:szCs w:val="20"/>
              </w:rPr>
              <w:t xml:space="preserve">Élément</w:t>
            </w:r>
          </w:p>
        </w:tc>
        <w:tc>
          <w:tcPr>
            <w:tcW w:type="pct" w:w="20%"/>
            <w:shd w:fill="1F3864" w:val="clear"/>
            <w:tcMar>
              <w:top w:type="dxa" w:w="100"/>
              <w:left w:type="dxa" w:w="120"/>
              <w:bottom w:type="dxa" w:w="100"/>
              <w:right w:type="dxa" w:w="120"/>
            </w:tcMar>
          </w:tcPr>
          <w:p>
            <w:r>
              <w:rPr>
                <w:b/>
                <w:bCs/>
                <w:color w:val="FFFFFF"/>
                <w:sz w:val="20"/>
                <w:szCs w:val="20"/>
              </w:rPr>
              <w:t xml:space="preserve">Statut</w:t>
            </w:r>
          </w:p>
        </w:tc>
        <w:tc>
          <w:tcPr>
            <w:tcW w:type="pct" w:w="40%"/>
            <w:shd w:fill="1F3864" w:val="clear"/>
            <w:tcMar>
              <w:top w:type="dxa" w:w="100"/>
              <w:left w:type="dxa" w:w="120"/>
              <w:bottom w:type="dxa" w:w="100"/>
              <w:right w:type="dxa" w:w="120"/>
            </w:tcMar>
          </w:tcPr>
          <w:p>
            <w:r>
              <w:rPr>
                <w:b/>
                <w:bCs/>
                <w:color w:val="FFFFFF"/>
                <w:sz w:val="20"/>
                <w:szCs w:val="20"/>
              </w:rPr>
              <w:t xml:space="preserve">Résultat</w:t>
            </w:r>
          </w:p>
        </w:tc>
      </w:tr>
      <w:tr>
        <w:tc>
          <w:tcPr>
            <w:tcW w:type="pct" w:w="40%"/>
            <w:tcMar>
              <w:top w:type="dxa" w:w="100"/>
              <w:left w:type="dxa" w:w="120"/>
              <w:bottom w:type="dxa" w:w="100"/>
              <w:right w:type="dxa" w:w="120"/>
            </w:tcMar>
          </w:tcPr>
          <w:p>
            <w:r>
              <w:rPr>
                <w:b w:val="false"/>
                <w:bCs w:val="false"/>
                <w:sz w:val="20"/>
                <w:szCs w:val="20"/>
              </w:rPr>
              <w:t xml:space="preserve">Dwell time au « col »</w:t>
            </w:r>
          </w:p>
        </w:tc>
        <w:tc>
          <w:tcPr>
            <w:tcW w:type="pct" w:w="15%"/>
            <w:shd w:fill="F4CCCC" w:val="clear"/>
            <w:tcMar>
              <w:top w:type="dxa" w:w="80"/>
              <w:left w:type="dxa" w:w="80"/>
              <w:bottom w:type="dxa" w:w="80"/>
              <w:right w:type="dxa" w:w="80"/>
            </w:tcMar>
          </w:tcPr>
          <w:p>
            <w:pPr>
              <w:jc w:val="center"/>
            </w:pPr>
            <w:r>
              <w:rPr>
                <w:b/>
                <w:bCs/>
                <w:sz w:val="18"/>
                <w:szCs w:val="18"/>
              </w:rPr>
              <w:t xml:space="preserve">RÉFUTÉ</w:t>
            </w:r>
          </w:p>
        </w:tc>
        <w:tc>
          <w:tcPr>
            <w:tcW w:type="pct" w:w="40%"/>
            <w:tcMar>
              <w:top w:type="dxa" w:w="100"/>
              <w:left w:type="dxa" w:w="120"/>
              <w:bottom w:type="dxa" w:w="100"/>
              <w:right w:type="dxa" w:w="120"/>
            </w:tcMar>
          </w:tcPr>
          <w:p>
            <w:r>
              <w:rPr>
                <w:b w:val="false"/>
                <w:bCs w:val="false"/>
                <w:sz w:val="20"/>
                <w:szCs w:val="20"/>
              </w:rPr>
              <w:t xml:space="preserve">p = 0.085 à n = 50 — pas de signal distinguable du hasard</w:t>
            </w:r>
          </w:p>
        </w:tc>
      </w:tr>
      <w:tr>
        <w:tc>
          <w:tcPr>
            <w:tcW w:type="pct" w:w="40%"/>
            <w:tcMar>
              <w:top w:type="dxa" w:w="100"/>
              <w:left w:type="dxa" w:w="120"/>
              <w:bottom w:type="dxa" w:w="100"/>
              <w:right w:type="dxa" w:w="120"/>
            </w:tcMar>
          </w:tcPr>
          <w:p>
            <w:r>
              <w:rPr>
                <w:b w:val="false"/>
                <w:bCs w:val="false"/>
                <w:sz w:val="20"/>
                <w:szCs w:val="20"/>
              </w:rPr>
              <w:t xml:space="preserve">Signal géométrique (courbure, cohérence directionnelle)</w:t>
            </w:r>
          </w:p>
        </w:tc>
        <w:tc>
          <w:tcPr>
            <w:tcW w:type="pct" w:w="15%"/>
            <w:shd w:fill="D9EAD3" w:val="clear"/>
            <w:tcMar>
              <w:top w:type="dxa" w:w="80"/>
              <w:left w:type="dxa" w:w="80"/>
              <w:bottom w:type="dxa" w:w="80"/>
              <w:right w:type="dxa" w:w="80"/>
            </w:tcMar>
          </w:tcPr>
          <w:p>
            <w:pPr>
              <w:jc w:val="center"/>
            </w:pPr>
            <w:r>
              <w:rPr>
                <w:b/>
                <w:bCs/>
                <w:sz w:val="18"/>
                <w:szCs w:val="18"/>
              </w:rPr>
              <w:t xml:space="preserve">VALIDÉ</w:t>
            </w:r>
          </w:p>
        </w:tc>
        <w:tc>
          <w:tcPr>
            <w:tcW w:type="pct" w:w="40%"/>
            <w:tcMar>
              <w:top w:type="dxa" w:w="100"/>
              <w:left w:type="dxa" w:w="120"/>
              <w:bottom w:type="dxa" w:w="100"/>
              <w:right w:type="dxa" w:w="120"/>
            </w:tcMar>
          </w:tcPr>
          <w:p>
            <w:r>
              <w:rPr>
                <w:b w:val="false"/>
                <w:bCs w:val="false"/>
                <w:sz w:val="20"/>
                <w:szCs w:val="20"/>
              </w:rPr>
              <w:t xml:space="preserve">AUC = 0.82-0.94, p = 0.005 — mais réplique Chain-of-Embedding (ICLR 2025), pas une découverte</w:t>
            </w:r>
          </w:p>
        </w:tc>
      </w:tr>
      <w:tr>
        <w:tc>
          <w:tcPr>
            <w:tcW w:type="pct" w:w="40%"/>
            <w:tcMar>
              <w:top w:type="dxa" w:w="100"/>
              <w:left w:type="dxa" w:w="120"/>
              <w:bottom w:type="dxa" w:w="100"/>
              <w:right w:type="dxa" w:w="120"/>
            </w:tcMar>
          </w:tcPr>
          <w:p>
            <w:r>
              <w:rPr>
                <w:b w:val="false"/>
                <w:bCs w:val="false"/>
                <w:sz w:val="20"/>
                <w:szCs w:val="20"/>
              </w:rPr>
              <w:t xml:space="preserve">Cadre ProbatioH1 (G0-G6, ∂V paramétrée)</w:t>
            </w:r>
          </w:p>
        </w:tc>
        <w:tc>
          <w:tcPr>
            <w:tcW w:type="pct" w:w="15%"/>
            <w:shd w:fill="FCE5CD" w:val="clear"/>
            <w:tcMar>
              <w:top w:type="dxa" w:w="80"/>
              <w:left w:type="dxa" w:w="80"/>
              <w:bottom w:type="dxa" w:w="80"/>
              <w:right w:type="dxa" w:w="80"/>
            </w:tcMar>
          </w:tcPr>
          <w:p>
            <w:pPr>
              <w:jc w:val="center"/>
            </w:pPr>
            <w:r>
              <w:rPr>
                <w:b/>
                <w:bCs/>
                <w:sz w:val="18"/>
                <w:szCs w:val="18"/>
              </w:rPr>
              <w:t xml:space="preserve">NON TESTÉ</w:t>
            </w:r>
          </w:p>
        </w:tc>
        <w:tc>
          <w:tcPr>
            <w:tcW w:type="pct" w:w="40%"/>
            <w:tcMar>
              <w:top w:type="dxa" w:w="100"/>
              <w:left w:type="dxa" w:w="120"/>
              <w:bottom w:type="dxa" w:w="100"/>
              <w:right w:type="dxa" w:w="120"/>
            </w:tcMar>
          </w:tcPr>
          <w:p>
            <w:r>
              <w:rPr>
                <w:b w:val="false"/>
                <w:bCs w:val="false"/>
                <w:sz w:val="20"/>
                <w:szCs w:val="20"/>
              </w:rPr>
              <w:t xml:space="preserve">Cohérent conceptuellement, aucun ancrage empirique à ce jour</w:t>
            </w:r>
          </w:p>
        </w:tc>
      </w:tr>
    </w:tbl>
    <w:p>
      <w:pPr>
        <w:spacing w:after="200"/>
      </w:pPr>
    </w:p>
    <w:p>
      <w:pPr>
        <w:pStyle w:val="Heading1"/>
        <w:spacing w:after="180" w:before="360"/>
      </w:pPr>
      <w:r>
        <w:t xml:space="preserve">1. Objectif du projet</w:t>
      </w:r>
    </w:p>
    <w:p>
      <w:pPr>
        <w:spacing w:after="160"/>
      </w:pPr>
      <w:r>
        <w:t xml:space="preserve">Construire un vérificateur interne capable de certifier — couche par couche, avant la fin de la génération — qu'une trajectoire neuronale reste dans un régime admissible. L'enjeu n'est pas de détecter une hallucination après coup dans le texte produit, mais de repérer, dans la géométrie de l'espace latent, la signature structurelle d'une dérive.</w:t>
      </w:r>
    </w:p>
    <w:p>
      <w:pPr>
        <w:spacing w:after="160"/>
      </w:pPr>
      <w:r>
        <w:t xml:space="preserve">Cas d'usage visé : aide à la décision clinique ou juridique par LLM, où il faut savoir, avant d'afficher une réponse, si le modèle est en train de « dériver ».</w:t>
      </w:r>
    </w:p>
    <w:p>
      <w:pPr>
        <w:pStyle w:val="Heading1"/>
        <w:spacing w:after="180" w:before="360"/>
      </w:pPr>
      <w:r>
        <w:t xml:space="preserve">2. Parcours méthodologique</w:t>
      </w:r>
    </w:p>
    <w:p>
      <w:pPr>
        <w:spacing w:after="160"/>
      </w:pPr>
      <w:r>
        <w:t xml:space="preserve">Le projet a suivi une discipline constante : chaque nouvelle définition opérationnelle (formule, seuil, normalisation) a été testée sur données synthétiques avec contrôle positif, contrôle négatif, et test de recouvrement contre un phénomène connu, avant d'être appliquée à GPT-2 réel.</w:t>
      </w:r>
    </w:p>
    <w:p>
      <w:pPr>
        <w:pStyle w:val="Heading2"/>
        <w:spacing w:after="140" w:before="280"/>
      </w:pPr>
      <w:r>
        <w:t xml:space="preserve">2.1 Phase 1 — Prototype synthétique</w:t>
      </w:r>
    </w:p>
    <w:p>
      <w:pPr>
        <w:pStyle w:val="ListParagraph"/>
        <w:numPr>
          <w:ilvl w:val="0"/>
          <w:numId w:val="1"/>
        </w:numPr>
        <w:spacing w:after="80"/>
      </w:pPr>
      <w:r>
        <w:t xml:space="preserve">Paysage de potentiel jouet à 3 bassins (Factual / Creative / Hallucinatory), agent de vérification topologique, certificats de navigation avec traçabilité (début/fin de chaque épisode de dérive).</w:t>
      </w:r>
    </w:p>
    <w:p>
      <w:pPr>
        <w:pStyle w:val="ListParagraph"/>
        <w:numPr>
          <w:ilvl w:val="0"/>
          <w:numId w:val="1"/>
        </w:numPr>
        <w:spacing w:after="80"/>
      </w:pPr>
      <w:r>
        <w:t xml:space="preserve">Résultat : preuve de concept — le cadre conceptuel tient sur un système contrôlé.</w:t>
      </w:r>
    </w:p>
    <w:p>
      <w:pPr>
        <w:pStyle w:val="Heading2"/>
        <w:spacing w:after="140" w:before="280"/>
      </w:pPr>
      <w:r>
        <w:t xml:space="preserve">2.2 Phase 2 — Validation empirique sur GPT-2 (le cœur du travail)</w:t>
      </w:r>
    </w:p>
    <w:p>
      <w:pPr>
        <w:pStyle w:val="ListParagraph"/>
        <w:numPr>
          <w:ilvl w:val="0"/>
          <w:numId w:val="1"/>
        </w:numPr>
        <w:spacing w:after="80"/>
      </w:pPr>
      <w:r>
        <w:t xml:space="preserve">Bug de forme (mismatch de dimensions) détecté et corrigé avant toute exécution réelle.</w:t>
      </w:r>
    </w:p>
    <w:p>
      <w:pPr>
        <w:pStyle w:val="ListParagraph"/>
        <w:numPr>
          <w:ilvl w:val="0"/>
          <w:numId w:val="1"/>
        </w:numPr>
        <w:spacing w:after="80"/>
      </w:pPr>
      <w:r>
        <w:t xml:space="preserve">Fuite de données éliminée : PCA et centroïdes recalculés à chaque pli de validation croisée.</w:t>
      </w:r>
    </w:p>
    <w:p>
      <w:pPr>
        <w:pStyle w:val="ListParagraph"/>
        <w:numPr>
          <w:ilvl w:val="0"/>
          <w:numId w:val="1"/>
        </w:numPr>
        <w:spacing w:after="80"/>
      </w:pPr>
      <w:r>
        <w:t xml:space="preserve">Formule du « col » (saddle_score) : la première version discriminait les classes en captant un artefact du générateur synthétique (0 couche de recouvrement sur 9/10 échantillons avec le vrai palier injecté) — détecté par un test de recouvrement dédié, puis corrigée.</w:t>
      </w:r>
    </w:p>
    <w:p>
      <w:pPr>
        <w:pStyle w:val="ListParagraph"/>
        <w:numPr>
          <w:ilvl w:val="0"/>
          <w:numId w:val="1"/>
        </w:numPr>
        <w:spacing w:after="80"/>
      </w:pPr>
      <w:r>
        <w:t xml:space="preserve">Saturation du dwell time sur données réelles (std = 0.000, AUC = 0.500) : diagnostiquée comme un effet architectural universel de GPT-2 (restructuration précoce identique pour toutes les trajectoires), corrigée en trois itérations successives (fenêtre restreinte → normalisation globale → normalisation relative à la population).</w:t>
      </w:r>
    </w:p>
    <w:p>
      <w:pPr>
        <w:pStyle w:val="ListParagraph"/>
        <w:numPr>
          <w:ilvl w:val="0"/>
          <w:numId w:val="1"/>
        </w:numPr>
        <w:spacing w:after="80"/>
      </w:pPr>
      <w:r>
        <w:t xml:space="preserve">Résultat final, honnête : même corrigé, le dwell time reste non significatif (p = 0.085 à n = 50). Hypothèse réfutée, pas cachée.</w:t>
      </w:r>
    </w:p>
    <w:p>
      <w:pPr>
        <w:pStyle w:val="ListParagraph"/>
        <w:numPr>
          <w:ilvl w:val="0"/>
          <w:numId w:val="1"/>
        </w:numPr>
        <w:spacing w:after="80"/>
      </w:pPr>
      <w:r>
        <w:t xml:space="preserve">Un signal géométrique différent (courbure moyenne, distance aux centroïdes, cohérence directionnelle) s'est révélé significatif (AUC jusqu'à 0.94, p = 0.005) — direction du signal vérifiée explicitement (courbure plus élevée chez les prompts factuels, pas chez les hallucinations, contre-intuitif par rapport à l'hypothèse de départ).</w:t>
      </w:r>
    </w:p>
    <w:p>
      <w:pPr>
        <w:pStyle w:val="Heading2"/>
        <w:spacing w:after="140" w:before="280"/>
      </w:pPr>
      <w:r>
        <w:t xml:space="preserve">2.3 Phase 3 — Calibration face à la littérature</w:t>
      </w:r>
    </w:p>
    <w:p>
      <w:pPr>
        <w:pStyle w:val="ListParagraph"/>
        <w:numPr>
          <w:ilvl w:val="0"/>
          <w:numId w:val="1"/>
        </w:numPr>
        <w:spacing w:after="80"/>
      </w:pPr>
      <w:r>
        <w:t xml:space="preserve">Recherche systématique de travaux comparables avant de crier à la découverte.</w:t>
      </w:r>
    </w:p>
    <w:p>
      <w:pPr>
        <w:pStyle w:val="ListParagraph"/>
        <w:numPr>
          <w:ilvl w:val="0"/>
          <w:numId w:val="1"/>
        </w:numPr>
        <w:spacing w:after="80"/>
      </w:pPr>
      <w:r>
        <w:t xml:space="preserve">« The Geometry of Truth » (LSD, 2025) : même modèle exact (GPT-2, 13 couches) — trouve un effet nul sur la magnitude (vitesse/accélération) mais un effet fort sur l'alignement directionnel à un référentiel de vérité externe.</w:t>
      </w:r>
    </w:p>
    <w:p>
      <w:pPr>
        <w:pStyle w:val="ListParagraph"/>
        <w:numPr>
          <w:ilvl w:val="0"/>
          <w:numId w:val="1"/>
        </w:numPr>
        <w:spacing w:after="80"/>
      </w:pPr>
      <w:r>
        <w:t xml:space="preserve">Chain-of-Embedding (Wang et al., ICLR 2025) et D²HScore : magnitude + angle du déplacement inter-couches, même sens que notre résultat (hallucination = moins de mouvement). Testé fidèlement sur notre dataset : AUC = 0.87, quasi identique à notre propre feature (0.82) — combiner les deux n'apporte presque rien (+0.0008).</w:t>
      </w:r>
    </w:p>
    <w:p>
      <w:pPr>
        <w:pStyle w:val="ListParagraph"/>
        <w:numPr>
          <w:ilvl w:val="0"/>
          <w:numId w:val="1"/>
        </w:numPr>
        <w:spacing w:after="80"/>
      </w:pPr>
      <w:r>
        <w:t xml:space="preserve">Conclusion : notre signal géométrique est une réplication indépendante de Chain-of-Embedding sur GPT-2 small, un cas qui n'avait apparemment pas été testé explicitement dans la littérature trouvée — valeur de réplication, pas de découverte.</w:t>
      </w:r>
    </w:p>
    <w:p>
      <w:pPr>
        <w:pStyle w:val="ListParagraph"/>
        <w:numPr>
          <w:ilvl w:val="0"/>
          <w:numId w:val="1"/>
        </w:numPr>
        <w:spacing w:after="80"/>
      </w:pPr>
      <w:r>
        <w:t xml:space="preserve">FactCheckmate (Alnuhait et al., EMNLP Findings 2025) vérifié : +34.4% de facticité avec intervention précoce — confirme qu'une correction en cours de génération est possible, chiffre exact confirmé indépendamment.</w:t>
      </w:r>
    </w:p>
    <w:p>
      <w:pPr>
        <w:pStyle w:val="Heading1"/>
        <w:spacing w:after="180" w:before="360"/>
      </w:pPr>
      <w:r>
        <w:t xml:space="preserve">3. Résultats empiriques — tableau de synthèse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8%"/>
            <w:shd w:fill="1F3864" w:val="clear"/>
            <w:tcMar>
              <w:top w:type="dxa" w:w="100"/>
              <w:left w:type="dxa" w:w="120"/>
              <w:bottom w:type="dxa" w:w="100"/>
              <w:right w:type="dxa" w:w="120"/>
            </w:tcMar>
          </w:tcPr>
          <w:p>
            <w:r>
              <w:rPr>
                <w:b/>
                <w:bCs/>
                <w:color w:val="FFFFFF"/>
                <w:sz w:val="20"/>
                <w:szCs w:val="20"/>
              </w:rPr>
              <w:t xml:space="preserve">Feature / méthode</w:t>
            </w:r>
          </w:p>
        </w:tc>
        <w:tc>
          <w:tcPr>
            <w:tcW w:type="pct" w:w="12%"/>
            <w:shd w:fill="1F3864" w:val="clear"/>
            <w:tcMar>
              <w:top w:type="dxa" w:w="100"/>
              <w:left w:type="dxa" w:w="120"/>
              <w:bottom w:type="dxa" w:w="100"/>
              <w:right w:type="dxa" w:w="120"/>
            </w:tcMar>
          </w:tcPr>
          <w:p>
            <w:r>
              <w:rPr>
                <w:b/>
                <w:bCs/>
                <w:color w:val="FFFFFF"/>
                <w:sz w:val="20"/>
                <w:szCs w:val="20"/>
              </w:rPr>
              <w:t xml:space="preserve">AUC</w:t>
            </w:r>
          </w:p>
        </w:tc>
        <w:tc>
          <w:tcPr>
            <w:tcW w:type="pct" w:w="14%"/>
            <w:shd w:fill="1F3864" w:val="clear"/>
            <w:tcMar>
              <w:top w:type="dxa" w:w="100"/>
              <w:left w:type="dxa" w:w="120"/>
              <w:bottom w:type="dxa" w:w="100"/>
              <w:right w:type="dxa" w:w="120"/>
            </w:tcMar>
          </w:tcPr>
          <w:p>
            <w:r>
              <w:rPr>
                <w:b/>
                <w:bCs/>
                <w:color w:val="FFFFFF"/>
                <w:sz w:val="20"/>
                <w:szCs w:val="20"/>
              </w:rPr>
              <w:t xml:space="preserve">p-value</w:t>
            </w:r>
          </w:p>
        </w:tc>
        <w:tc>
          <w:tcPr>
            <w:tcW w:type="pct" w:w="22%"/>
            <w:shd w:fill="1F3864" w:val="clear"/>
            <w:tcMar>
              <w:top w:type="dxa" w:w="100"/>
              <w:left w:type="dxa" w:w="120"/>
              <w:bottom w:type="dxa" w:w="100"/>
              <w:right w:type="dxa" w:w="120"/>
            </w:tcMar>
          </w:tcPr>
          <w:p>
            <w:r>
              <w:rPr>
                <w:b/>
                <w:bCs/>
                <w:color w:val="FFFFFF"/>
                <w:sz w:val="20"/>
                <w:szCs w:val="20"/>
              </w:rPr>
              <w:t xml:space="preserve">Sens</w:t>
            </w:r>
          </w:p>
        </w:tc>
        <w:tc>
          <w:tcPr>
            <w:tcW w:type="pct" w:w="24%"/>
            <w:shd w:fill="1F3864" w:val="clear"/>
            <w:tcMar>
              <w:top w:type="dxa" w:w="100"/>
              <w:left w:type="dxa" w:w="120"/>
              <w:bottom w:type="dxa" w:w="100"/>
              <w:right w:type="dxa" w:w="120"/>
            </w:tcMar>
          </w:tcPr>
          <w:p>
            <w:r>
              <w:rPr>
                <w:b/>
                <w:bCs/>
                <w:color w:val="FFFFFF"/>
                <w:sz w:val="20"/>
                <w:szCs w:val="20"/>
              </w:rPr>
              <w:t xml:space="preserve">Statut</w:t>
            </w:r>
          </w:p>
        </w:tc>
      </w:tr>
      <w:tr>
        <w:tc>
          <w:tcPr>
            <w:tcW w:type="pct" w:w="28%"/>
            <w:tcMar>
              <w:top w:type="dxa" w:w="100"/>
              <w:left w:type="dxa" w:w="120"/>
              <w:bottom w:type="dxa" w:w="100"/>
              <w:right w:type="dxa" w:w="120"/>
            </w:tcMar>
          </w:tcPr>
          <w:p>
            <w:r>
              <w:rPr>
                <w:b w:val="false"/>
                <w:bCs w:val="false"/>
                <w:sz w:val="20"/>
                <w:szCs w:val="20"/>
              </w:rPr>
              <w:t xml:space="preserve">max_dwell_time (isolé)</w:t>
            </w:r>
          </w:p>
        </w:tc>
        <w:tc>
          <w:tcPr>
            <w:tcW w:type="pct" w:w="12%"/>
            <w:tcMar>
              <w:top w:type="dxa" w:w="100"/>
              <w:left w:type="dxa" w:w="120"/>
              <w:bottom w:type="dxa" w:w="100"/>
              <w:right w:type="dxa" w:w="120"/>
            </w:tcMar>
          </w:tcPr>
          <w:p>
            <w:r>
              <w:rPr>
                <w:b w:val="false"/>
                <w:bCs w:val="false"/>
                <w:sz w:val="20"/>
                <w:szCs w:val="20"/>
              </w:rPr>
              <w:t xml:space="preserve">0.628</w:t>
            </w:r>
          </w:p>
        </w:tc>
        <w:tc>
          <w:tcPr>
            <w:tcW w:type="pct" w:w="14%"/>
            <w:tcMar>
              <w:top w:type="dxa" w:w="100"/>
              <w:left w:type="dxa" w:w="120"/>
              <w:bottom w:type="dxa" w:w="100"/>
              <w:right w:type="dxa" w:w="120"/>
            </w:tcMar>
          </w:tcPr>
          <w:p>
            <w:r>
              <w:rPr>
                <w:b w:val="false"/>
                <w:bCs w:val="false"/>
                <w:sz w:val="20"/>
                <w:szCs w:val="20"/>
              </w:rPr>
              <w:t xml:space="preserve">0.085</w:t>
            </w:r>
          </w:p>
        </w:tc>
        <w:tc>
          <w:tcPr>
            <w:tcW w:type="pct" w:w="22%"/>
            <w:tcMar>
              <w:top w:type="dxa" w:w="100"/>
              <w:left w:type="dxa" w:w="120"/>
              <w:bottom w:type="dxa" w:w="100"/>
              <w:right w:type="dxa" w:w="120"/>
            </w:tcMar>
          </w:tcPr>
          <w:p>
            <w:r>
              <w:rPr>
                <w:b w:val="false"/>
                <w:bCs w:val="false"/>
                <w:sz w:val="20"/>
                <w:szCs w:val="20"/>
              </w:rPr>
              <w:t xml:space="preserve">Hallu &gt; Factual (faible)</w:t>
            </w:r>
          </w:p>
        </w:tc>
        <w:tc>
          <w:tcPr>
            <w:tcW w:type="pct" w:w="15%"/>
            <w:shd w:fill="F4CCCC" w:val="clear"/>
            <w:tcMar>
              <w:top w:type="dxa" w:w="80"/>
              <w:left w:type="dxa" w:w="80"/>
              <w:bottom w:type="dxa" w:w="80"/>
              <w:right w:type="dxa" w:w="80"/>
            </w:tcMar>
          </w:tcPr>
          <w:p>
            <w:pPr>
              <w:jc w:val="center"/>
            </w:pPr>
            <w:r>
              <w:rPr>
                <w:b/>
                <w:bCs/>
                <w:sz w:val="18"/>
                <w:szCs w:val="18"/>
              </w:rPr>
              <w:t xml:space="preserve">Non signif.</w:t>
            </w:r>
          </w:p>
        </w:tc>
      </w:tr>
      <w:tr>
        <w:tc>
          <w:tcPr>
            <w:tcW w:type="pct" w:w="28%"/>
            <w:tcMar>
              <w:top w:type="dxa" w:w="100"/>
              <w:left w:type="dxa" w:w="120"/>
              <w:bottom w:type="dxa" w:w="100"/>
              <w:right w:type="dxa" w:w="120"/>
            </w:tcMar>
          </w:tcPr>
          <w:p>
            <w:r>
              <w:rPr>
                <w:b w:val="false"/>
                <w:bCs w:val="false"/>
                <w:sz w:val="20"/>
                <w:szCs w:val="20"/>
              </w:rPr>
              <w:t xml:space="preserve">mean_curvature (isolée)</w:t>
            </w:r>
          </w:p>
        </w:tc>
        <w:tc>
          <w:tcPr>
            <w:tcW w:type="pct" w:w="12%"/>
            <w:tcMar>
              <w:top w:type="dxa" w:w="100"/>
              <w:left w:type="dxa" w:w="120"/>
              <w:bottom w:type="dxa" w:w="100"/>
              <w:right w:type="dxa" w:w="120"/>
            </w:tcMar>
          </w:tcPr>
          <w:p>
            <w:r>
              <w:rPr>
                <w:b w:val="false"/>
                <w:bCs w:val="false"/>
                <w:sz w:val="20"/>
                <w:szCs w:val="20"/>
              </w:rPr>
              <w:t xml:space="preserve">0.823</w:t>
            </w:r>
          </w:p>
        </w:tc>
        <w:tc>
          <w:tcPr>
            <w:tcW w:type="pct" w:w="14%"/>
            <w:tcMar>
              <w:top w:type="dxa" w:w="100"/>
              <w:left w:type="dxa" w:w="120"/>
              <w:bottom w:type="dxa" w:w="100"/>
              <w:right w:type="dxa" w:w="120"/>
            </w:tcMar>
          </w:tcPr>
          <w:p>
            <w:r>
              <w:rPr>
                <w:b w:val="false"/>
                <w:bCs w:val="false"/>
                <w:sz w:val="20"/>
                <w:szCs w:val="20"/>
              </w:rPr>
              <w:t xml:space="preserve">0.005</w:t>
            </w:r>
          </w:p>
        </w:tc>
        <w:tc>
          <w:tcPr>
            <w:tcW w:type="pct" w:w="22%"/>
            <w:tcMar>
              <w:top w:type="dxa" w:w="100"/>
              <w:left w:type="dxa" w:w="120"/>
              <w:bottom w:type="dxa" w:w="100"/>
              <w:right w:type="dxa" w:w="120"/>
            </w:tcMar>
          </w:tcPr>
          <w:p>
            <w:r>
              <w:rPr>
                <w:b w:val="false"/>
                <w:bCs w:val="false"/>
                <w:sz w:val="20"/>
                <w:szCs w:val="20"/>
              </w:rPr>
              <w:t xml:space="preserve">Factual &gt; Hallu</w:t>
            </w:r>
          </w:p>
        </w:tc>
        <w:tc>
          <w:tcPr>
            <w:tcW w:type="pct" w:w="15%"/>
            <w:shd w:fill="D9EAD3" w:val="clear"/>
            <w:tcMar>
              <w:top w:type="dxa" w:w="80"/>
              <w:left w:type="dxa" w:w="80"/>
              <w:bottom w:type="dxa" w:w="80"/>
              <w:right w:type="dxa" w:w="80"/>
            </w:tcMar>
          </w:tcPr>
          <w:p>
            <w:pPr>
              <w:jc w:val="center"/>
            </w:pPr>
            <w:r>
              <w:rPr>
                <w:b/>
                <w:bCs/>
                <w:sz w:val="18"/>
                <w:szCs w:val="18"/>
              </w:rPr>
              <w:t xml:space="preserve">Validé</w:t>
            </w:r>
          </w:p>
        </w:tc>
      </w:tr>
      <w:tr>
        <w:tc>
          <w:tcPr>
            <w:tcW w:type="pct" w:w="28%"/>
            <w:tcMar>
              <w:top w:type="dxa" w:w="100"/>
              <w:left w:type="dxa" w:w="120"/>
              <w:bottom w:type="dxa" w:w="100"/>
              <w:right w:type="dxa" w:w="120"/>
            </w:tcMar>
          </w:tcPr>
          <w:p>
            <w:r>
              <w:rPr>
                <w:b w:val="false"/>
                <w:bCs w:val="false"/>
                <w:sz w:val="20"/>
                <w:szCs w:val="20"/>
              </w:rPr>
              <w:t xml:space="preserve">4 features (curvature, velocity, dist, ratio)</w:t>
            </w:r>
          </w:p>
        </w:tc>
        <w:tc>
          <w:tcPr>
            <w:tcW w:type="pct" w:w="12%"/>
            <w:tcMar>
              <w:top w:type="dxa" w:w="100"/>
              <w:left w:type="dxa" w:w="120"/>
              <w:bottom w:type="dxa" w:w="100"/>
              <w:right w:type="dxa" w:w="120"/>
            </w:tcMar>
          </w:tcPr>
          <w:p>
            <w:r>
              <w:rPr>
                <w:b w:val="false"/>
                <w:bCs w:val="false"/>
                <w:sz w:val="20"/>
                <w:szCs w:val="20"/>
              </w:rPr>
              <w:t xml:space="preserve">0.938</w:t>
            </w:r>
          </w:p>
        </w:tc>
        <w:tc>
          <w:tcPr>
            <w:tcW w:type="pct" w:w="14%"/>
            <w:tcMar>
              <w:top w:type="dxa" w:w="100"/>
              <w:left w:type="dxa" w:w="120"/>
              <w:bottom w:type="dxa" w:w="100"/>
              <w:right w:type="dxa" w:w="120"/>
            </w:tcMar>
          </w:tcPr>
          <w:p>
            <w:r>
              <w:rPr>
                <w:b w:val="false"/>
                <w:bCs w:val="false"/>
                <w:sz w:val="20"/>
                <w:szCs w:val="20"/>
              </w:rPr>
              <w:t xml:space="preserve">0.005</w:t>
            </w:r>
          </w:p>
        </w:tc>
        <w:tc>
          <w:tcPr>
            <w:tcW w:type="pct" w:w="22%"/>
            <w:tcMar>
              <w:top w:type="dxa" w:w="100"/>
              <w:left w:type="dxa" w:w="120"/>
              <w:bottom w:type="dxa" w:w="100"/>
              <w:right w:type="dxa" w:w="120"/>
            </w:tcMar>
          </w:tcPr>
          <w:p>
            <w:r>
              <w:rPr>
                <w:b w:val="false"/>
                <w:bCs w:val="false"/>
                <w:sz w:val="20"/>
                <w:szCs w:val="20"/>
              </w:rPr>
              <w:t xml:space="preserve">cf. détail</w:t>
            </w:r>
          </w:p>
        </w:tc>
        <w:tc>
          <w:tcPr>
            <w:tcW w:type="pct" w:w="15%"/>
            <w:shd w:fill="D9EAD3" w:val="clear"/>
            <w:tcMar>
              <w:top w:type="dxa" w:w="80"/>
              <w:left w:type="dxa" w:w="80"/>
              <w:bottom w:type="dxa" w:w="80"/>
              <w:right w:type="dxa" w:w="80"/>
            </w:tcMar>
          </w:tcPr>
          <w:p>
            <w:pPr>
              <w:jc w:val="center"/>
            </w:pPr>
            <w:r>
              <w:rPr>
                <w:b/>
                <w:bCs/>
                <w:sz w:val="18"/>
                <w:szCs w:val="18"/>
              </w:rPr>
              <w:t xml:space="preserve">Validé</w:t>
            </w:r>
          </w:p>
        </w:tc>
      </w:tr>
      <w:tr>
        <w:tc>
          <w:tcPr>
            <w:tcW w:type="pct" w:w="28%"/>
            <w:tcMar>
              <w:top w:type="dxa" w:w="100"/>
              <w:left w:type="dxa" w:w="120"/>
              <w:bottom w:type="dxa" w:w="100"/>
              <w:right w:type="dxa" w:w="120"/>
            </w:tcMar>
          </w:tcPr>
          <w:p>
            <w:r>
              <w:rPr>
                <w:b w:val="false"/>
                <w:bCs w:val="false"/>
                <w:sz w:val="20"/>
                <w:szCs w:val="20"/>
              </w:rPr>
              <w:t xml:space="preserve">CoE-R + CoE-C (baseline publiée)</w:t>
            </w:r>
          </w:p>
        </w:tc>
        <w:tc>
          <w:tcPr>
            <w:tcW w:type="pct" w:w="12%"/>
            <w:tcMar>
              <w:top w:type="dxa" w:w="100"/>
              <w:left w:type="dxa" w:w="120"/>
              <w:bottom w:type="dxa" w:w="100"/>
              <w:right w:type="dxa" w:w="120"/>
            </w:tcMar>
          </w:tcPr>
          <w:p>
            <w:r>
              <w:rPr>
                <w:b w:val="false"/>
                <w:bCs w:val="false"/>
                <w:sz w:val="20"/>
                <w:szCs w:val="20"/>
              </w:rPr>
              <w:t xml:space="preserve">0.873</w:t>
            </w:r>
          </w:p>
        </w:tc>
        <w:tc>
          <w:tcPr>
            <w:tcW w:type="pct" w:w="14%"/>
            <w:tcMar>
              <w:top w:type="dxa" w:w="100"/>
              <w:left w:type="dxa" w:w="120"/>
              <w:bottom w:type="dxa" w:w="100"/>
              <w:right w:type="dxa" w:w="120"/>
            </w:tcMar>
          </w:tcPr>
          <w:p>
            <w:r>
              <w:rPr>
                <w:b w:val="false"/>
                <w:bCs w:val="false"/>
                <w:sz w:val="20"/>
                <w:szCs w:val="20"/>
              </w:rPr>
              <w:t xml:space="preserve">0.005</w:t>
            </w:r>
          </w:p>
        </w:tc>
        <w:tc>
          <w:tcPr>
            <w:tcW w:type="pct" w:w="22%"/>
            <w:tcMar>
              <w:top w:type="dxa" w:w="100"/>
              <w:left w:type="dxa" w:w="120"/>
              <w:bottom w:type="dxa" w:w="100"/>
              <w:right w:type="dxa" w:w="120"/>
            </w:tcMar>
          </w:tcPr>
          <w:p>
            <w:r>
              <w:rPr>
                <w:b w:val="false"/>
                <w:bCs w:val="false"/>
                <w:sz w:val="20"/>
                <w:szCs w:val="20"/>
              </w:rPr>
              <w:t xml:space="preserve">Factual &gt; Hallu (CoE-C)</w:t>
            </w:r>
          </w:p>
        </w:tc>
        <w:tc>
          <w:tcPr>
            <w:tcW w:type="pct" w:w="15%"/>
            <w:shd w:fill="D9EAD3" w:val="clear"/>
            <w:tcMar>
              <w:top w:type="dxa" w:w="80"/>
              <w:left w:type="dxa" w:w="80"/>
              <w:bottom w:type="dxa" w:w="80"/>
              <w:right w:type="dxa" w:w="80"/>
            </w:tcMar>
          </w:tcPr>
          <w:p>
            <w:pPr>
              <w:jc w:val="center"/>
            </w:pPr>
            <w:r>
              <w:rPr>
                <w:b/>
                <w:bCs/>
                <w:sz w:val="18"/>
                <w:szCs w:val="18"/>
              </w:rPr>
              <w:t xml:space="preserve">Répliqué</w:t>
            </w:r>
          </w:p>
        </w:tc>
      </w:tr>
      <w:tr>
        <w:tc>
          <w:tcPr>
            <w:tcW w:type="pct" w:w="28%"/>
            <w:tcMar>
              <w:top w:type="dxa" w:w="100"/>
              <w:left w:type="dxa" w:w="120"/>
              <w:bottom w:type="dxa" w:w="100"/>
              <w:right w:type="dxa" w:w="120"/>
            </w:tcMar>
          </w:tcPr>
          <w:p>
            <w:r>
              <w:rPr>
                <w:b w:val="false"/>
                <w:bCs w:val="false"/>
                <w:sz w:val="20"/>
                <w:szCs w:val="20"/>
              </w:rPr>
              <w:t xml:space="preserve">Vecteur complet (10 features)</w:t>
            </w:r>
          </w:p>
        </w:tc>
        <w:tc>
          <w:tcPr>
            <w:tcW w:type="pct" w:w="12%"/>
            <w:tcMar>
              <w:top w:type="dxa" w:w="100"/>
              <w:left w:type="dxa" w:w="120"/>
              <w:bottom w:type="dxa" w:w="100"/>
              <w:right w:type="dxa" w:w="120"/>
            </w:tcMar>
          </w:tcPr>
          <w:p>
            <w:r>
              <w:rPr>
                <w:b w:val="false"/>
                <w:bCs w:val="false"/>
                <w:sz w:val="20"/>
                <w:szCs w:val="20"/>
              </w:rPr>
              <w:t xml:space="preserve">0.939</w:t>
            </w:r>
          </w:p>
        </w:tc>
        <w:tc>
          <w:tcPr>
            <w:tcW w:type="pct" w:w="14%"/>
            <w:tcMar>
              <w:top w:type="dxa" w:w="100"/>
              <w:left w:type="dxa" w:w="120"/>
              <w:bottom w:type="dxa" w:w="100"/>
              <w:right w:type="dxa" w:w="120"/>
            </w:tcMar>
          </w:tcPr>
          <w:p>
            <w:r>
              <w:rPr>
                <w:b w:val="false"/>
                <w:bCs w:val="false"/>
                <w:sz w:val="20"/>
                <w:szCs w:val="20"/>
              </w:rPr>
              <w:t xml:space="preserve">0.005</w:t>
            </w:r>
          </w:p>
        </w:tc>
        <w:tc>
          <w:tcPr>
            <w:tcW w:type="pct" w:w="22%"/>
            <w:tcMar>
              <w:top w:type="dxa" w:w="100"/>
              <w:left w:type="dxa" w:w="120"/>
              <w:bottom w:type="dxa" w:w="100"/>
              <w:right w:type="dxa" w:w="120"/>
            </w:tcMar>
          </w:tcPr>
          <w:p>
            <w:r>
              <w:rPr>
                <w:b w:val="false"/>
                <w:bCs w:val="false"/>
                <w:sz w:val="20"/>
                <w:szCs w:val="20"/>
              </w:rPr>
              <w:t xml:space="preserve">dominé par ratio_dist / dist_hallucination</w:t>
            </w:r>
          </w:p>
        </w:tc>
        <w:tc>
          <w:tcPr>
            <w:tcW w:type="pct" w:w="15%"/>
            <w:shd w:fill="D9EAD3" w:val="clear"/>
            <w:tcMar>
              <w:top w:type="dxa" w:w="80"/>
              <w:left w:type="dxa" w:w="80"/>
              <w:bottom w:type="dxa" w:w="80"/>
              <w:right w:type="dxa" w:w="80"/>
            </w:tcMar>
          </w:tcPr>
          <w:p>
            <w:pPr>
              <w:jc w:val="center"/>
            </w:pPr>
            <w:r>
              <w:rPr>
                <w:b/>
                <w:bCs/>
                <w:sz w:val="18"/>
                <w:szCs w:val="18"/>
              </w:rPr>
              <w:t xml:space="preserve">Validé</w:t>
            </w:r>
          </w:p>
        </w:tc>
      </w:tr>
    </w:tbl>
    <w:p>
      <w:pPr>
        <w:spacing w:after="120"/>
      </w:pPr>
    </w:p>
    <w:p>
      <w:pPr>
        <w:spacing w:after="160"/>
      </w:pPr>
      <w:r>
        <w:rPr>
          <w:i/>
          <w:iCs/>
          <w:color w:val="666666"/>
          <w:sz w:val="18"/>
          <w:szCs w:val="18"/>
        </w:rPr>
        <w:t xml:space="preserve">Protocole : GPT-2 small (124M, 13 couches), 50 prompts (25 factuels vérifiables / 25 hallucinatoires fabriqués), validation croisée stratifiée à 5 plis sans fuite de données, test de permutation à 200 tirages pour chaque p-value reportée.</w:t>
      </w:r>
    </w:p>
    <w:p>
      <w:pPr>
        <w:spacing w:after="160"/>
      </w:pPr>
      <w:r>
        <w:rPr>
          <w:i/>
          <w:iCs/>
          <w:color w:val="666666"/>
          <w:sz w:val="18"/>
          <w:szCs w:val="18"/>
        </w:rPr>
        <w:t xml:space="preserve">Corrélation notable : mean_curvature et max_velocity sont corrélées à r = 0.81 — le signal à 4 features est probablement un signal à 2-3 dimensions réelles, pas 4 indépendantes.</w:t>
      </w:r>
    </w:p>
    <w:p>
      <w:r>
        <w:br w:type="page"/>
      </w:r>
    </w:p>
    <w:p>
      <w:pPr>
        <w:pStyle w:val="Heading1"/>
        <w:spacing w:after="180" w:before="360"/>
      </w:pPr>
      <w:r>
        <w:t xml:space="preserve">4. Le cadre ProbatioH1 — état de validation</w:t>
      </w:r>
    </w:p>
    <w:p>
      <w:pPr>
        <w:spacing w:after="160"/>
      </w:pPr>
      <w:r>
        <w:t xml:space="preserve">ProbatioH1 reformule le problème : au lieu d'un verdict binaire (admissible / rejeté), il propose un niveau gradué de récupérabilité, paramétré par les moyens disponibles à l'instant de la décision.</w:t>
      </w:r>
    </w:p>
    <w:p>
      <w:pPr>
        <w:pStyle w:val="Heading2"/>
        <w:spacing w:after="140" w:before="280"/>
      </w:pPr>
      <w:r>
        <w:t xml:space="preserve">4.1 Les sept niveaux proposés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1F3864" w:val="clear"/>
            <w:tcMar>
              <w:top w:type="dxa" w:w="100"/>
              <w:left w:type="dxa" w:w="120"/>
              <w:bottom w:type="dxa" w:w="100"/>
              <w:right w:type="dxa" w:w="120"/>
            </w:tcMar>
          </w:tcPr>
          <w:p>
            <w:r>
              <w:rPr>
                <w:b/>
                <w:bCs/>
                <w:color w:val="FFFFFF"/>
                <w:sz w:val="20"/>
                <w:szCs w:val="20"/>
              </w:rPr>
              <w:t xml:space="preserve">Niveau</w:t>
            </w:r>
          </w:p>
        </w:tc>
        <w:tc>
          <w:tcPr>
            <w:tcW w:type="pct" w:w="30%"/>
            <w:shd w:fill="1F3864" w:val="clear"/>
            <w:tcMar>
              <w:top w:type="dxa" w:w="100"/>
              <w:left w:type="dxa" w:w="120"/>
              <w:bottom w:type="dxa" w:w="100"/>
              <w:right w:type="dxa" w:w="120"/>
            </w:tcMar>
          </w:tcPr>
          <w:p>
            <w:r>
              <w:rPr>
                <w:b/>
                <w:bCs/>
                <w:color w:val="FFFFFF"/>
                <w:sz w:val="20"/>
                <w:szCs w:val="20"/>
              </w:rPr>
              <w:t xml:space="preserve">Nom</w:t>
            </w:r>
          </w:p>
        </w:tc>
        <w:tc>
          <w:tcPr>
            <w:tcW w:type="pct" w:w="58%"/>
            <w:shd w:fill="1F3864" w:val="clear"/>
            <w:tcMar>
              <w:top w:type="dxa" w:w="100"/>
              <w:left w:type="dxa" w:w="120"/>
              <w:bottom w:type="dxa" w:w="100"/>
              <w:right w:type="dxa" w:w="120"/>
            </w:tcMar>
          </w:tcPr>
          <w:p>
            <w:r>
              <w:rPr>
                <w:b/>
                <w:bCs/>
                <w:color w:val="FFFFFF"/>
                <w:sz w:val="20"/>
                <w:szCs w:val="20"/>
              </w:rPr>
              <w:t xml:space="preserve">Signification</w:t>
            </w:r>
          </w:p>
        </w:tc>
      </w:tr>
      <w:tr>
        <w:tc>
          <w:tcPr>
            <w:tcW w:type="pct" w:w="12%"/>
            <w:tcMar>
              <w:top w:type="dxa" w:w="100"/>
              <w:left w:type="dxa" w:w="120"/>
              <w:bottom w:type="dxa" w:w="100"/>
              <w:right w:type="dxa" w:w="120"/>
            </w:tcMar>
          </w:tcPr>
          <w:p>
            <w:r>
              <w:rPr>
                <w:b/>
                <w:bCs/>
                <w:sz w:val="20"/>
                <w:szCs w:val="20"/>
              </w:rPr>
              <w:t xml:space="preserve">G0</w:t>
            </w:r>
          </w:p>
        </w:tc>
        <w:tc>
          <w:tcPr>
            <w:tcW w:type="pct" w:w="30%"/>
            <w:tcMar>
              <w:top w:type="dxa" w:w="100"/>
              <w:left w:type="dxa" w:w="120"/>
              <w:bottom w:type="dxa" w:w="100"/>
              <w:right w:type="dxa" w:w="120"/>
            </w:tcMar>
          </w:tcPr>
          <w:p>
            <w:r>
              <w:rPr>
                <w:b w:val="false"/>
                <w:bCs w:val="false"/>
                <w:sz w:val="20"/>
                <w:szCs w:val="20"/>
              </w:rPr>
              <w:t xml:space="preserve">TRAJECTOIRE_SÛRE</w:t>
            </w:r>
          </w:p>
        </w:tc>
        <w:tc>
          <w:tcPr>
            <w:tcW w:type="pct" w:w="58%"/>
            <w:tcMar>
              <w:top w:type="dxa" w:w="100"/>
              <w:left w:type="dxa" w:w="120"/>
              <w:bottom w:type="dxa" w:w="100"/>
              <w:right w:type="dxa" w:w="120"/>
            </w:tcMar>
          </w:tcPr>
          <w:p>
            <w:r>
              <w:rPr>
                <w:b w:val="false"/>
                <w:bCs w:val="false"/>
                <w:sz w:val="20"/>
                <w:szCs w:val="20"/>
              </w:rPr>
              <w:t xml:space="preserve">Dans la région robuste, aucune dérive.</w:t>
            </w:r>
          </w:p>
        </w:tc>
      </w:tr>
      <w:tr>
        <w:tc>
          <w:tcPr>
            <w:tcW w:type="pct" w:w="12%"/>
            <w:tcMar>
              <w:top w:type="dxa" w:w="100"/>
              <w:left w:type="dxa" w:w="120"/>
              <w:bottom w:type="dxa" w:w="100"/>
              <w:right w:type="dxa" w:w="120"/>
            </w:tcMar>
          </w:tcPr>
          <w:p>
            <w:r>
              <w:rPr>
                <w:b/>
                <w:bCs/>
                <w:sz w:val="20"/>
                <w:szCs w:val="20"/>
              </w:rPr>
              <w:t xml:space="preserve">G1</w:t>
            </w:r>
          </w:p>
        </w:tc>
        <w:tc>
          <w:tcPr>
            <w:tcW w:type="pct" w:w="30%"/>
            <w:tcMar>
              <w:top w:type="dxa" w:w="100"/>
              <w:left w:type="dxa" w:w="120"/>
              <w:bottom w:type="dxa" w:w="100"/>
              <w:right w:type="dxa" w:w="120"/>
            </w:tcMar>
          </w:tcPr>
          <w:p>
            <w:r>
              <w:rPr>
                <w:b w:val="false"/>
                <w:bCs w:val="false"/>
                <w:sz w:val="20"/>
                <w:szCs w:val="20"/>
              </w:rPr>
              <w:t xml:space="preserve">CORRECTION_LÉGÈRE</w:t>
            </w:r>
          </w:p>
        </w:tc>
        <w:tc>
          <w:tcPr>
            <w:tcW w:type="pct" w:w="58%"/>
            <w:tcMar>
              <w:top w:type="dxa" w:w="100"/>
              <w:left w:type="dxa" w:w="120"/>
              <w:bottom w:type="dxa" w:w="100"/>
              <w:right w:type="dxa" w:w="120"/>
            </w:tcMar>
          </w:tcPr>
          <w:p>
            <w:r>
              <w:rPr>
                <w:b w:val="false"/>
                <w:bCs w:val="false"/>
                <w:sz w:val="20"/>
                <w:szCs w:val="20"/>
              </w:rPr>
              <w:t xml:space="preserve">Dérive détectée, steering minimal suffit.</w:t>
            </w:r>
          </w:p>
        </w:tc>
      </w:tr>
      <w:tr>
        <w:tc>
          <w:tcPr>
            <w:tcW w:type="pct" w:w="12%"/>
            <w:tcMar>
              <w:top w:type="dxa" w:w="100"/>
              <w:left w:type="dxa" w:w="120"/>
              <w:bottom w:type="dxa" w:w="100"/>
              <w:right w:type="dxa" w:w="120"/>
            </w:tcMar>
          </w:tcPr>
          <w:p>
            <w:r>
              <w:rPr>
                <w:b/>
                <w:bCs/>
                <w:sz w:val="20"/>
                <w:szCs w:val="20"/>
              </w:rPr>
              <w:t xml:space="preserve">G2</w:t>
            </w:r>
          </w:p>
        </w:tc>
        <w:tc>
          <w:tcPr>
            <w:tcW w:type="pct" w:w="30%"/>
            <w:tcMar>
              <w:top w:type="dxa" w:w="100"/>
              <w:left w:type="dxa" w:w="120"/>
              <w:bottom w:type="dxa" w:w="100"/>
              <w:right w:type="dxa" w:w="120"/>
            </w:tcMar>
          </w:tcPr>
          <w:p>
            <w:r>
              <w:rPr>
                <w:b w:val="false"/>
                <w:bCs w:val="false"/>
                <w:sz w:val="20"/>
                <w:szCs w:val="20"/>
              </w:rPr>
              <w:t xml:space="preserve">CORRECTION_SOUTENUE</w:t>
            </w:r>
          </w:p>
        </w:tc>
        <w:tc>
          <w:tcPr>
            <w:tcW w:type="pct" w:w="58%"/>
            <w:tcMar>
              <w:top w:type="dxa" w:w="100"/>
              <w:left w:type="dxa" w:w="120"/>
              <w:bottom w:type="dxa" w:w="100"/>
              <w:right w:type="dxa" w:w="120"/>
            </w:tcMar>
          </w:tcPr>
          <w:p>
            <w:r>
              <w:rPr>
                <w:b w:val="false"/>
                <w:bCs w:val="false"/>
                <w:sz w:val="20"/>
                <w:szCs w:val="20"/>
              </w:rPr>
              <w:t xml:space="preserve">Dérive avancée, intervention forte nécessaire.</w:t>
            </w:r>
          </w:p>
        </w:tc>
      </w:tr>
      <w:tr>
        <w:tc>
          <w:tcPr>
            <w:tcW w:type="pct" w:w="12%"/>
            <w:tcMar>
              <w:top w:type="dxa" w:w="100"/>
              <w:left w:type="dxa" w:w="120"/>
              <w:bottom w:type="dxa" w:w="100"/>
              <w:right w:type="dxa" w:w="120"/>
            </w:tcMar>
          </w:tcPr>
          <w:p>
            <w:r>
              <w:rPr>
                <w:b/>
                <w:bCs/>
                <w:sz w:val="20"/>
                <w:szCs w:val="20"/>
              </w:rPr>
              <w:t xml:space="preserve">G3</w:t>
            </w:r>
          </w:p>
        </w:tc>
        <w:tc>
          <w:tcPr>
            <w:tcW w:type="pct" w:w="30%"/>
            <w:tcMar>
              <w:top w:type="dxa" w:w="100"/>
              <w:left w:type="dxa" w:w="120"/>
              <w:bottom w:type="dxa" w:w="100"/>
              <w:right w:type="dxa" w:w="120"/>
            </w:tcMar>
          </w:tcPr>
          <w:p>
            <w:r>
              <w:rPr>
                <w:b w:val="false"/>
                <w:bCs w:val="false"/>
                <w:sz w:val="20"/>
                <w:szCs w:val="20"/>
              </w:rPr>
              <w:t xml:space="preserve">RÉCUPÉRABLE_AVEC_INFO</w:t>
            </w:r>
          </w:p>
        </w:tc>
        <w:tc>
          <w:tcPr>
            <w:tcW w:type="pct" w:w="58%"/>
            <w:tcMar>
              <w:top w:type="dxa" w:w="100"/>
              <w:left w:type="dxa" w:w="120"/>
              <w:bottom w:type="dxa" w:w="100"/>
              <w:right w:type="dxa" w:w="120"/>
            </w:tcMar>
          </w:tcPr>
          <w:p>
            <w:r>
              <w:rPr>
                <w:b w:val="false"/>
                <w:bCs w:val="false"/>
                <w:sz w:val="20"/>
                <w:szCs w:val="20"/>
              </w:rPr>
              <w:t xml:space="preserve">Hors zone sûre, mais une source externe rouvrirait la porte.</w:t>
            </w:r>
          </w:p>
        </w:tc>
      </w:tr>
      <w:tr>
        <w:tc>
          <w:tcPr>
            <w:tcW w:type="pct" w:w="12%"/>
            <w:tcMar>
              <w:top w:type="dxa" w:w="100"/>
              <w:left w:type="dxa" w:w="120"/>
              <w:bottom w:type="dxa" w:w="100"/>
              <w:right w:type="dxa" w:w="120"/>
            </w:tcMar>
          </w:tcPr>
          <w:p>
            <w:r>
              <w:rPr>
                <w:b/>
                <w:bCs/>
                <w:sz w:val="20"/>
                <w:szCs w:val="20"/>
              </w:rPr>
              <w:t xml:space="preserve">G4</w:t>
            </w:r>
          </w:p>
        </w:tc>
        <w:tc>
          <w:tcPr>
            <w:tcW w:type="pct" w:w="30%"/>
            <w:tcMar>
              <w:top w:type="dxa" w:w="100"/>
              <w:left w:type="dxa" w:w="120"/>
              <w:bottom w:type="dxa" w:w="100"/>
              <w:right w:type="dxa" w:w="120"/>
            </w:tcMar>
          </w:tcPr>
          <w:p>
            <w:r>
              <w:rPr>
                <w:b w:val="false"/>
                <w:bCs w:val="false"/>
                <w:sz w:val="20"/>
                <w:szCs w:val="20"/>
              </w:rPr>
              <w:t xml:space="preserve">RÉCUPÉRABLE_PAR_REDÉMARRAGE</w:t>
            </w:r>
          </w:p>
        </w:tc>
        <w:tc>
          <w:tcPr>
            <w:tcW w:type="pct" w:w="58%"/>
            <w:tcMar>
              <w:top w:type="dxa" w:w="100"/>
              <w:left w:type="dxa" w:w="120"/>
              <w:bottom w:type="dxa" w:w="100"/>
              <w:right w:type="dxa" w:w="120"/>
            </w:tcMar>
          </w:tcPr>
          <w:p>
            <w:r>
              <w:rPr>
                <w:b w:val="false"/>
                <w:bCs w:val="false"/>
                <w:sz w:val="20"/>
                <w:szCs w:val="20"/>
              </w:rPr>
              <w:t xml:space="preserve">Contaminée par son propre contexte, rollback possible.</w:t>
            </w:r>
          </w:p>
        </w:tc>
      </w:tr>
      <w:tr>
        <w:tc>
          <w:tcPr>
            <w:tcW w:type="pct" w:w="12%"/>
            <w:tcMar>
              <w:top w:type="dxa" w:w="100"/>
              <w:left w:type="dxa" w:w="120"/>
              <w:bottom w:type="dxa" w:w="100"/>
              <w:right w:type="dxa" w:w="120"/>
            </w:tcMar>
          </w:tcPr>
          <w:p>
            <w:r>
              <w:rPr>
                <w:b/>
                <w:bCs/>
                <w:sz w:val="20"/>
                <w:szCs w:val="20"/>
              </w:rPr>
              <w:t xml:space="preserve">G5</w:t>
            </w:r>
          </w:p>
        </w:tc>
        <w:tc>
          <w:tcPr>
            <w:tcW w:type="pct" w:w="30%"/>
            <w:tcMar>
              <w:top w:type="dxa" w:w="100"/>
              <w:left w:type="dxa" w:w="120"/>
              <w:bottom w:type="dxa" w:w="100"/>
              <w:right w:type="dxa" w:w="120"/>
            </w:tcMar>
          </w:tcPr>
          <w:p>
            <w:r>
              <w:rPr>
                <w:b w:val="false"/>
                <w:bCs w:val="false"/>
                <w:sz w:val="20"/>
                <w:szCs w:val="20"/>
              </w:rPr>
              <w:t xml:space="preserve">ABSTENTION_CERTIFIÉE</w:t>
            </w:r>
          </w:p>
        </w:tc>
        <w:tc>
          <w:tcPr>
            <w:tcW w:type="pct" w:w="58%"/>
            <w:tcMar>
              <w:top w:type="dxa" w:w="100"/>
              <w:left w:type="dxa" w:w="120"/>
              <w:bottom w:type="dxa" w:w="100"/>
              <w:right w:type="dxa" w:w="120"/>
            </w:tcMar>
          </w:tcPr>
          <w:p>
            <w:r>
              <w:rPr>
                <w:b w:val="false"/>
                <w:bCs w:val="false"/>
                <w:sz w:val="20"/>
                <w:szCs w:val="20"/>
              </w:rPr>
              <w:t xml:space="preserve">Aucune récupération possible avec les moyens actuels.</w:t>
            </w:r>
          </w:p>
        </w:tc>
      </w:tr>
      <w:tr>
        <w:tc>
          <w:tcPr>
            <w:tcW w:type="pct" w:w="12%"/>
            <w:tcMar>
              <w:top w:type="dxa" w:w="100"/>
              <w:left w:type="dxa" w:w="120"/>
              <w:bottom w:type="dxa" w:w="100"/>
              <w:right w:type="dxa" w:w="120"/>
            </w:tcMar>
          </w:tcPr>
          <w:p>
            <w:r>
              <w:rPr>
                <w:b/>
                <w:bCs/>
                <w:sz w:val="20"/>
                <w:szCs w:val="20"/>
              </w:rPr>
              <w:t xml:space="preserve">G6</w:t>
            </w:r>
          </w:p>
        </w:tc>
        <w:tc>
          <w:tcPr>
            <w:tcW w:type="pct" w:w="30%"/>
            <w:tcMar>
              <w:top w:type="dxa" w:w="100"/>
              <w:left w:type="dxa" w:w="120"/>
              <w:bottom w:type="dxa" w:w="100"/>
              <w:right w:type="dxa" w:w="120"/>
            </w:tcMar>
          </w:tcPr>
          <w:p>
            <w:r>
              <w:rPr>
                <w:b w:val="false"/>
                <w:bCs w:val="false"/>
                <w:sz w:val="20"/>
                <w:szCs w:val="20"/>
              </w:rPr>
              <w:t xml:space="preserve">CONSÉQUENCE_IRRÉVERSIBLE</w:t>
            </w:r>
          </w:p>
        </w:tc>
        <w:tc>
          <w:tcPr>
            <w:tcW w:type="pct" w:w="58%"/>
            <w:tcMar>
              <w:top w:type="dxa" w:w="100"/>
              <w:left w:type="dxa" w:w="120"/>
              <w:bottom w:type="dxa" w:w="100"/>
              <w:right w:type="dxa" w:w="120"/>
            </w:tcMar>
          </w:tcPr>
          <w:p>
            <w:r>
              <w:rPr>
                <w:b w:val="false"/>
                <w:bCs w:val="false"/>
                <w:sz w:val="20"/>
                <w:szCs w:val="20"/>
              </w:rPr>
              <w:t xml:space="preserve">Action déjà produite dans le monde réel.</w:t>
            </w:r>
          </w:p>
        </w:tc>
      </w:tr>
    </w:tbl>
    <w:p>
      <w:pPr>
        <w:spacing w:after="200"/>
      </w:pPr>
    </w:p>
    <w:p>
      <w:pPr>
        <w:pStyle w:val="Heading2"/>
        <w:spacing w:after="140" w:before="280"/>
      </w:pPr>
      <w:r>
        <w:t xml:space="preserve">4.2 Ce qui est acquis vs. ce qui reste à démontrer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5%"/>
            <w:shd w:fill="1F3864" w:val="clear"/>
            <w:tcMar>
              <w:top w:type="dxa" w:w="100"/>
              <w:left w:type="dxa" w:w="120"/>
              <w:bottom w:type="dxa" w:w="100"/>
              <w:right w:type="dxa" w:w="120"/>
            </w:tcMar>
          </w:tcPr>
          <w:p>
            <w:r>
              <w:rPr>
                <w:b/>
                <w:bCs/>
                <w:color w:val="FFFFFF"/>
                <w:sz w:val="20"/>
                <w:szCs w:val="20"/>
              </w:rPr>
              <w:t xml:space="preserve">Élément du cadre</w:t>
            </w:r>
          </w:p>
        </w:tc>
        <w:tc>
          <w:tcPr>
            <w:tcW w:type="pct" w:w="20%"/>
            <w:shd w:fill="1F3864" w:val="clear"/>
            <w:tcMar>
              <w:top w:type="dxa" w:w="100"/>
              <w:left w:type="dxa" w:w="120"/>
              <w:bottom w:type="dxa" w:w="100"/>
              <w:right w:type="dxa" w:w="120"/>
            </w:tcMar>
          </w:tcPr>
          <w:p>
            <w:r>
              <w:rPr>
                <w:b/>
                <w:bCs/>
                <w:color w:val="FFFFFF"/>
                <w:sz w:val="20"/>
                <w:szCs w:val="20"/>
              </w:rPr>
              <w:t xml:space="preserve">Statut</w:t>
            </w:r>
          </w:p>
        </w:tc>
        <w:tc>
          <w:tcPr>
            <w:tcW w:type="pct" w:w="35%"/>
            <w:shd w:fill="1F3864" w:val="clear"/>
            <w:tcMar>
              <w:top w:type="dxa" w:w="100"/>
              <w:left w:type="dxa" w:w="120"/>
              <w:bottom w:type="dxa" w:w="100"/>
              <w:right w:type="dxa" w:w="120"/>
            </w:tcMar>
          </w:tcPr>
          <w:p>
            <w:r>
              <w:rPr>
                <w:b/>
                <w:bCs/>
                <w:color w:val="FFFFFF"/>
                <w:sz w:val="20"/>
                <w:szCs w:val="20"/>
              </w:rPr>
              <w:t xml:space="preserve">Ce qui manque</w:t>
            </w:r>
          </w:p>
        </w:tc>
      </w:tr>
      <w:tr>
        <w:tc>
          <w:tcPr>
            <w:tcW w:type="pct" w:w="45%"/>
            <w:tcMar>
              <w:top w:type="dxa" w:w="100"/>
              <w:left w:type="dxa" w:w="120"/>
              <w:bottom w:type="dxa" w:w="100"/>
              <w:right w:type="dxa" w:w="120"/>
            </w:tcMar>
          </w:tcPr>
          <w:p>
            <w:r>
              <w:rPr>
                <w:b w:val="false"/>
                <w:bCs w:val="false"/>
                <w:sz w:val="20"/>
                <w:szCs w:val="20"/>
              </w:rPr>
              <w:t xml:space="preserve">Rejet du dwell time comme mécanisme</w:t>
            </w:r>
          </w:p>
        </w:tc>
        <w:tc>
          <w:tcPr>
            <w:tcW w:type="pct" w:w="15%"/>
            <w:shd w:fill="D9EAD3" w:val="clear"/>
            <w:tcMar>
              <w:top w:type="dxa" w:w="80"/>
              <w:left w:type="dxa" w:w="80"/>
              <w:bottom w:type="dxa" w:w="80"/>
              <w:right w:type="dxa" w:w="80"/>
            </w:tcMar>
          </w:tcPr>
          <w:p>
            <w:pPr>
              <w:jc w:val="center"/>
            </w:pPr>
            <w:r>
              <w:rPr>
                <w:b/>
                <w:bCs/>
                <w:sz w:val="18"/>
                <w:szCs w:val="18"/>
              </w:rPr>
              <w:t xml:space="preserve">Acquis</w:t>
            </w:r>
          </w:p>
        </w:tc>
        <w:tc>
          <w:tcPr>
            <w:tcW w:type="pct" w:w="35%"/>
            <w:tcMar>
              <w:top w:type="dxa" w:w="100"/>
              <w:left w:type="dxa" w:w="120"/>
              <w:bottom w:type="dxa" w:w="100"/>
              <w:right w:type="dxa" w:w="120"/>
            </w:tcMar>
          </w:tcPr>
          <w:p>
            <w:r>
              <w:rPr>
                <w:b w:val="false"/>
                <w:bCs w:val="false"/>
                <w:sz w:val="20"/>
                <w:szCs w:val="20"/>
              </w:rPr>
              <w:t xml:space="preserve">—</w:t>
            </w:r>
          </w:p>
        </w:tc>
      </w:tr>
      <w:tr>
        <w:tc>
          <w:tcPr>
            <w:tcW w:type="pct" w:w="45%"/>
            <w:tcMar>
              <w:top w:type="dxa" w:w="100"/>
              <w:left w:type="dxa" w:w="120"/>
              <w:bottom w:type="dxa" w:w="100"/>
              <w:right w:type="dxa" w:w="120"/>
            </w:tcMar>
          </w:tcPr>
          <w:p>
            <w:r>
              <w:rPr>
                <w:b w:val="false"/>
                <w:bCs w:val="false"/>
                <w:sz w:val="20"/>
                <w:szCs w:val="20"/>
              </w:rPr>
              <w:t xml:space="preserve">Signal géométrique exploitable (courbure/cohérence)</w:t>
            </w:r>
          </w:p>
        </w:tc>
        <w:tc>
          <w:tcPr>
            <w:tcW w:type="pct" w:w="15%"/>
            <w:shd w:fill="D9EAD3" w:val="clear"/>
            <w:tcMar>
              <w:top w:type="dxa" w:w="80"/>
              <w:left w:type="dxa" w:w="80"/>
              <w:bottom w:type="dxa" w:w="80"/>
              <w:right w:type="dxa" w:w="80"/>
            </w:tcMar>
          </w:tcPr>
          <w:p>
            <w:pPr>
              <w:jc w:val="center"/>
            </w:pPr>
            <w:r>
              <w:rPr>
                <w:b/>
                <w:bCs/>
                <w:sz w:val="18"/>
                <w:szCs w:val="18"/>
              </w:rPr>
              <w:t xml:space="preserve">Acquis</w:t>
            </w:r>
          </w:p>
        </w:tc>
        <w:tc>
          <w:tcPr>
            <w:tcW w:type="pct" w:w="35%"/>
            <w:tcMar>
              <w:top w:type="dxa" w:w="100"/>
              <w:left w:type="dxa" w:w="120"/>
              <w:bottom w:type="dxa" w:w="100"/>
              <w:right w:type="dxa" w:w="120"/>
            </w:tcMar>
          </w:tcPr>
          <w:p>
            <w:r>
              <w:rPr>
                <w:b w:val="false"/>
                <w:bCs w:val="false"/>
                <w:sz w:val="20"/>
                <w:szCs w:val="20"/>
              </w:rPr>
              <w:t xml:space="preserve">—</w:t>
            </w:r>
          </w:p>
        </w:tc>
      </w:tr>
      <w:tr>
        <w:tc>
          <w:tcPr>
            <w:tcW w:type="pct" w:w="45%"/>
            <w:tcMar>
              <w:top w:type="dxa" w:w="100"/>
              <w:left w:type="dxa" w:w="120"/>
              <w:bottom w:type="dxa" w:w="100"/>
              <w:right w:type="dxa" w:w="120"/>
            </w:tcMar>
          </w:tcPr>
          <w:p>
            <w:r>
              <w:rPr>
                <w:b w:val="false"/>
                <w:bCs w:val="false"/>
                <w:sz w:val="20"/>
                <w:szCs w:val="20"/>
              </w:rPr>
              <w:t xml:space="preserve">Intervention corrective possible en cours de génération</w:t>
            </w:r>
          </w:p>
        </w:tc>
        <w:tc>
          <w:tcPr>
            <w:tcW w:type="pct" w:w="15%"/>
            <w:shd w:fill="D9EAD3" w:val="clear"/>
            <w:tcMar>
              <w:top w:type="dxa" w:w="80"/>
              <w:left w:type="dxa" w:w="80"/>
              <w:bottom w:type="dxa" w:w="80"/>
              <w:right w:type="dxa" w:w="80"/>
            </w:tcMar>
          </w:tcPr>
          <w:p>
            <w:pPr>
              <w:jc w:val="center"/>
            </w:pPr>
            <w:r>
              <w:rPr>
                <w:b/>
                <w:bCs/>
                <w:sz w:val="18"/>
                <w:szCs w:val="18"/>
              </w:rPr>
              <w:t xml:space="preserve">Acquis (tiers)</w:t>
            </w:r>
          </w:p>
        </w:tc>
        <w:tc>
          <w:tcPr>
            <w:tcW w:type="pct" w:w="35%"/>
            <w:tcMar>
              <w:top w:type="dxa" w:w="100"/>
              <w:left w:type="dxa" w:w="120"/>
              <w:bottom w:type="dxa" w:w="100"/>
              <w:right w:type="dxa" w:w="120"/>
            </w:tcMar>
          </w:tcPr>
          <w:p>
            <w:r>
              <w:rPr>
                <w:b w:val="false"/>
                <w:bCs w:val="false"/>
                <w:sz w:val="20"/>
                <w:szCs w:val="20"/>
              </w:rPr>
              <w:t xml:space="preserve">Vérifié via FactCheckmate, pas testé dans ce projet</w:t>
            </w:r>
          </w:p>
        </w:tc>
      </w:tr>
      <w:tr>
        <w:tc>
          <w:tcPr>
            <w:tcW w:type="pct" w:w="45%"/>
            <w:tcMar>
              <w:top w:type="dxa" w:w="100"/>
              <w:left w:type="dxa" w:w="120"/>
              <w:bottom w:type="dxa" w:w="100"/>
              <w:right w:type="dxa" w:w="120"/>
            </w:tcMar>
          </w:tcPr>
          <w:p>
            <w:r>
              <w:rPr>
                <w:b w:val="false"/>
                <w:bCs w:val="false"/>
                <w:sz w:val="20"/>
                <w:szCs w:val="20"/>
              </w:rPr>
              <w:t xml:space="preserve">∂V paramétrée par U, E, B, K</w:t>
            </w:r>
          </w:p>
        </w:tc>
        <w:tc>
          <w:tcPr>
            <w:tcW w:type="pct" w:w="15%"/>
            <w:shd w:fill="FCE5CD" w:val="clear"/>
            <w:tcMar>
              <w:top w:type="dxa" w:w="80"/>
              <w:left w:type="dxa" w:w="80"/>
              <w:bottom w:type="dxa" w:w="80"/>
              <w:right w:type="dxa" w:w="80"/>
            </w:tcMar>
          </w:tcPr>
          <w:p>
            <w:pPr>
              <w:jc w:val="center"/>
            </w:pPr>
            <w:r>
              <w:rPr>
                <w:b/>
                <w:bCs/>
                <w:sz w:val="18"/>
                <w:szCs w:val="18"/>
              </w:rPr>
              <w:t xml:space="preserve">Hypothèse</w:t>
            </w:r>
          </w:p>
        </w:tc>
        <w:tc>
          <w:tcPr>
            <w:tcW w:type="pct" w:w="35%"/>
            <w:tcMar>
              <w:top w:type="dxa" w:w="100"/>
              <w:left w:type="dxa" w:w="120"/>
              <w:bottom w:type="dxa" w:w="100"/>
              <w:right w:type="dxa" w:w="120"/>
            </w:tcMar>
          </w:tcPr>
          <w:p>
            <w:r>
              <w:rPr>
                <w:b w:val="false"/>
                <w:bCs w:val="false"/>
                <w:sz w:val="20"/>
                <w:szCs w:val="20"/>
              </w:rPr>
              <w:t xml:space="preserve">Aucune mesure de U, E, B ou K n'a été faite</w:t>
            </w:r>
          </w:p>
        </w:tc>
      </w:tr>
      <w:tr>
        <w:tc>
          <w:tcPr>
            <w:tcW w:type="pct" w:w="45%"/>
            <w:tcMar>
              <w:top w:type="dxa" w:w="100"/>
              <w:left w:type="dxa" w:w="120"/>
              <w:bottom w:type="dxa" w:w="100"/>
              <w:right w:type="dxa" w:w="120"/>
            </w:tcMar>
          </w:tcPr>
          <w:p>
            <w:r>
              <w:rPr>
                <w:b w:val="false"/>
                <w:bCs w:val="false"/>
                <w:sz w:val="20"/>
                <w:szCs w:val="20"/>
              </w:rPr>
              <w:t xml:space="preserve">Classifieur G0-G6 opérationnel</w:t>
            </w:r>
          </w:p>
        </w:tc>
        <w:tc>
          <w:tcPr>
            <w:tcW w:type="pct" w:w="15%"/>
            <w:shd w:fill="FCE5CD" w:val="clear"/>
            <w:tcMar>
              <w:top w:type="dxa" w:w="80"/>
              <w:left w:type="dxa" w:w="80"/>
              <w:bottom w:type="dxa" w:w="80"/>
              <w:right w:type="dxa" w:w="80"/>
            </w:tcMar>
          </w:tcPr>
          <w:p>
            <w:pPr>
              <w:jc w:val="center"/>
            </w:pPr>
            <w:r>
              <w:rPr>
                <w:b/>
                <w:bCs/>
                <w:sz w:val="18"/>
                <w:szCs w:val="18"/>
              </w:rPr>
              <w:t xml:space="preserve">Non testé</w:t>
            </w:r>
          </w:p>
        </w:tc>
        <w:tc>
          <w:tcPr>
            <w:tcW w:type="pct" w:w="35%"/>
            <w:tcMar>
              <w:top w:type="dxa" w:w="100"/>
              <w:left w:type="dxa" w:w="120"/>
              <w:bottom w:type="dxa" w:w="100"/>
              <w:right w:type="dxa" w:w="120"/>
            </w:tcMar>
          </w:tcPr>
          <w:p>
            <w:r>
              <w:rPr>
                <w:b w:val="false"/>
                <w:bCs w:val="false"/>
                <w:sz w:val="20"/>
                <w:szCs w:val="20"/>
              </w:rPr>
              <w:t xml:space="preserve">Jamais implémenté ni évalué sur une trajectoire réelle</w:t>
            </w:r>
          </w:p>
        </w:tc>
      </w:tr>
      <w:tr>
        <w:tc>
          <w:tcPr>
            <w:tcW w:type="pct" w:w="45%"/>
            <w:tcMar>
              <w:top w:type="dxa" w:w="100"/>
              <w:left w:type="dxa" w:w="120"/>
              <w:bottom w:type="dxa" w:w="100"/>
              <w:right w:type="dxa" w:w="120"/>
            </w:tcMar>
          </w:tcPr>
          <w:p>
            <w:r>
              <w:rPr>
                <w:b w:val="false"/>
                <w:bCs w:val="false"/>
                <w:sz w:val="20"/>
                <w:szCs w:val="20"/>
              </w:rPr>
              <w:t xml:space="preserve">« Théorème » de Certification Paramétrée</w:t>
            </w:r>
          </w:p>
        </w:tc>
        <w:tc>
          <w:tcPr>
            <w:tcW w:type="pct" w:w="15%"/>
            <w:shd w:fill="F4CCCC" w:val="clear"/>
            <w:tcMar>
              <w:top w:type="dxa" w:w="80"/>
              <w:left w:type="dxa" w:w="80"/>
              <w:bottom w:type="dxa" w:w="80"/>
              <w:right w:type="dxa" w:w="80"/>
            </w:tcMar>
          </w:tcPr>
          <w:p>
            <w:pPr>
              <w:jc w:val="center"/>
            </w:pPr>
            <w:r>
              <w:rPr>
                <w:b/>
                <w:bCs/>
                <w:sz w:val="18"/>
                <w:szCs w:val="18"/>
              </w:rPr>
              <w:t xml:space="preserve">Non prouvé</w:t>
            </w:r>
          </w:p>
        </w:tc>
        <w:tc>
          <w:tcPr>
            <w:tcW w:type="pct" w:w="35%"/>
            <w:tcMar>
              <w:top w:type="dxa" w:w="100"/>
              <w:left w:type="dxa" w:w="120"/>
              <w:bottom w:type="dxa" w:w="100"/>
              <w:right w:type="dxa" w:w="120"/>
            </w:tcMar>
          </w:tcPr>
          <w:p>
            <w:r>
              <w:rPr>
                <w:b w:val="false"/>
                <w:bCs w:val="false"/>
                <w:sz w:val="20"/>
                <w:szCs w:val="20"/>
              </w:rPr>
              <w:t xml:space="preserve">C'est une taxonomie, pas une preuve dérivée d'axiomes</w:t>
            </w:r>
          </w:p>
        </w:tc>
      </w:tr>
      <w:tr>
        <w:tc>
          <w:tcPr>
            <w:tcW w:type="pct" w:w="45%"/>
            <w:tcMar>
              <w:top w:type="dxa" w:w="100"/>
              <w:left w:type="dxa" w:w="120"/>
              <w:bottom w:type="dxa" w:w="100"/>
              <w:right w:type="dxa" w:w="120"/>
            </w:tcMar>
          </w:tcPr>
          <w:p>
            <w:r>
              <w:rPr>
                <w:b w:val="false"/>
                <w:bCs w:val="false"/>
                <w:sz w:val="20"/>
                <w:szCs w:val="20"/>
              </w:rPr>
              <w:t xml:space="preserve">Pont α : H → Q (soundness)</w:t>
            </w:r>
          </w:p>
        </w:tc>
        <w:tc>
          <w:tcPr>
            <w:tcW w:type="pct" w:w="15%"/>
            <w:shd w:fill="F4CCCC" w:val="clear"/>
            <w:tcMar>
              <w:top w:type="dxa" w:w="80"/>
              <w:left w:type="dxa" w:w="80"/>
              <w:bottom w:type="dxa" w:w="80"/>
              <w:right w:type="dxa" w:w="80"/>
            </w:tcMar>
          </w:tcPr>
          <w:p>
            <w:pPr>
              <w:jc w:val="center"/>
            </w:pPr>
            <w:r>
              <w:rPr>
                <w:b/>
                <w:bCs/>
                <w:sz w:val="18"/>
                <w:szCs w:val="18"/>
              </w:rPr>
              <w:t xml:space="preserve">Non vérifié ici</w:t>
            </w:r>
          </w:p>
        </w:tc>
        <w:tc>
          <w:tcPr>
            <w:tcW w:type="pct" w:w="35%"/>
            <w:tcMar>
              <w:top w:type="dxa" w:w="100"/>
              <w:left w:type="dxa" w:w="120"/>
              <w:bottom w:type="dxa" w:w="100"/>
              <w:right w:type="dxa" w:w="120"/>
            </w:tcMar>
          </w:tcPr>
          <w:p>
            <w:r>
              <w:rPr>
                <w:b w:val="false"/>
                <w:bCs w:val="false"/>
                <w:sz w:val="20"/>
                <w:szCs w:val="20"/>
              </w:rPr>
              <w:t xml:space="preserve">Construit dans des textes antérieurs non audités dans ce fil</w:t>
            </w:r>
          </w:p>
        </w:tc>
      </w:tr>
      <w:tr>
        <w:tc>
          <w:tcPr>
            <w:tcW w:type="pct" w:w="45%"/>
            <w:tcMar>
              <w:top w:type="dxa" w:w="100"/>
              <w:left w:type="dxa" w:w="120"/>
              <w:bottom w:type="dxa" w:w="100"/>
              <w:right w:type="dxa" w:w="120"/>
            </w:tcMar>
          </w:tcPr>
          <w:p>
            <w:r>
              <w:rPr>
                <w:b w:val="false"/>
                <w:bCs w:val="false"/>
                <w:sz w:val="20"/>
                <w:szCs w:val="20"/>
              </w:rPr>
              <w:t xml:space="preserve">Exemple « 87% à la couche 9, HaluEval × Llama-3-8B »</w:t>
            </w:r>
          </w:p>
        </w:tc>
        <w:tc>
          <w:tcPr>
            <w:tcW w:type="pct" w:w="15%"/>
            <w:shd w:fill="F4CCCC" w:val="clear"/>
            <w:tcMar>
              <w:top w:type="dxa" w:w="80"/>
              <w:left w:type="dxa" w:w="80"/>
              <w:bottom w:type="dxa" w:w="80"/>
              <w:right w:type="dxa" w:w="80"/>
            </w:tcMar>
          </w:tcPr>
          <w:p>
            <w:pPr>
              <w:jc w:val="center"/>
            </w:pPr>
            <w:r>
              <w:rPr>
                <w:b/>
                <w:bCs/>
                <w:sz w:val="18"/>
                <w:szCs w:val="18"/>
              </w:rPr>
              <w:t xml:space="preserve">Fictif</w:t>
            </w:r>
          </w:p>
        </w:tc>
        <w:tc>
          <w:tcPr>
            <w:tcW w:type="pct" w:w="35%"/>
            <w:tcMar>
              <w:top w:type="dxa" w:w="100"/>
              <w:left w:type="dxa" w:w="120"/>
              <w:bottom w:type="dxa" w:w="100"/>
              <w:right w:type="dxa" w:w="120"/>
            </w:tcMar>
          </w:tcPr>
          <w:p>
            <w:r>
              <w:rPr>
                <w:b w:val="false"/>
                <w:bCs w:val="false"/>
                <w:sz w:val="20"/>
                <w:szCs w:val="20"/>
              </w:rPr>
              <w:t xml:space="preserve">Aucun calcul réel ne le sous-tend — à ne jamais citer comme résultat</w:t>
            </w:r>
          </w:p>
        </w:tc>
      </w:tr>
    </w:tbl>
    <w:p>
      <w:pPr>
        <w:spacing w:after="200"/>
      </w:pPr>
    </w:p>
    <w:p>
      <w:pPr>
        <w:pStyle w:val="Heading1"/>
        <w:spacing w:after="180" w:before="360"/>
      </w:pPr>
      <w:r>
        <w:t xml:space="preserve">5. Le test irréductible à exécuter en priorité</w:t>
      </w:r>
    </w:p>
    <w:p>
      <w:pPr>
        <w:spacing w:after="160"/>
      </w:pPr>
      <w:r>
        <w:t xml:space="preserve">Toute la valeur opérationnelle de ProbatioH1 (intervenir avant la fin, graduer la réponse) dépend d'une seule prémisse : le signal doit apparaître progressivement, couche par couche — pas seulement à la toute fin de la trajectoire.</w:t>
      </w:r>
    </w:p>
    <w:p>
      <w:pPr>
        <w:spacing w:after="160"/>
      </w:pPr>
      <w:r>
        <w:t xml:space="preserve">Protocole : mesurer l'AUC de classification Factual / Hallucination en utilisant uniquement les couches 0 à k, pour k croissant de 2 à 12, sur les 50 trajectoires GPT-2 déjà extraites.</w:t>
      </w:r>
    </w:p>
    <w:p>
      <w:pPr>
        <w:pStyle w:val="ListParagraph"/>
        <w:numPr>
          <w:ilvl w:val="0"/>
          <w:numId w:val="1"/>
        </w:numPr>
        <w:spacing w:after="80"/>
      </w:pPr>
      <w:r>
        <w:t xml:space="preserve">Si l'AUC dépasse ~0.70 dès la couche 6-8 : la prémisse tient, la certification précoce a un sens opérationnel — poursuivre vers un classifieur G0-G6.</w:t>
      </w:r>
    </w:p>
    <w:p>
      <w:pPr>
        <w:pStyle w:val="ListParagraph"/>
        <w:numPr>
          <w:ilvl w:val="0"/>
          <w:numId w:val="1"/>
        </w:numPr>
        <w:spacing w:after="80"/>
      </w:pPr>
      <w:r>
        <w:t xml:space="preserve">Si l'AUC ne décolle qu'aux couches 10-12 : la prémisse est réfutée dans sa forme actuelle — pas de fenêtre d'intervention réelle avec ce signal géométrique ; il faut soit abandonner la gradation, soit chercher un signal non géométrique pour la détection précoce.</w:t>
      </w:r>
    </w:p>
    <w:p>
      <w:pPr>
        <w:spacing w:after="160"/>
      </w:pPr>
      <w:r>
        <w:rPr>
          <w:b/>
          <w:bCs/>
          <w:i/>
          <w:iCs/>
        </w:rPr>
        <w:t xml:space="preserve">Ce test n'a pas encore été exécuté au moment de la rédaction de ce document.</w:t>
      </w:r>
    </w:p>
    <w:p>
      <w:pPr>
        <w:pStyle w:val="Heading1"/>
        <w:spacing w:after="180" w:before="360"/>
      </w:pPr>
      <w:r>
        <w:t xml:space="preserve">6. Prochaines étapes</w:t>
      </w:r>
    </w:p>
    <w:p>
      <w:pPr>
        <w:pStyle w:val="ListParagraph"/>
        <w:numPr>
          <w:ilvl w:val="0"/>
          <w:numId w:val="1"/>
        </w:numPr>
        <w:spacing w:after="80"/>
      </w:pPr>
      <w:r>
        <w:t xml:space="preserve">Exécuter le test de progressivité couche par couche (section 5) — décide si la gradation G0-G6 a un fondement empirique.</w:t>
      </w:r>
    </w:p>
    <w:p>
      <w:pPr>
        <w:pStyle w:val="ListParagraph"/>
        <w:numPr>
          <w:ilvl w:val="0"/>
          <w:numId w:val="1"/>
        </w:numPr>
        <w:spacing w:after="80"/>
      </w:pPr>
      <w:r>
        <w:t xml:space="preserve">Si concluant : implémenter un classifieur G0/G1 minimal sur les données GPT-2 existantes avant d'étendre à d'autres niveaux.</w:t>
      </w:r>
    </w:p>
    <w:p>
      <w:pPr>
        <w:pStyle w:val="ListParagraph"/>
        <w:numPr>
          <w:ilvl w:val="0"/>
          <w:numId w:val="1"/>
        </w:numPr>
        <w:spacing w:after="80"/>
      </w:pPr>
      <w:r>
        <w:t xml:space="preserve">Explorer la cohérence directionnelle (angle, alignement à un référentiel externe) plutôt que la magnitude seule — c'est la piste que LSD et Chain-of-Embedding convergent à désigner comme la plus prometteuse.</w:t>
      </w:r>
    </w:p>
    <w:p>
      <w:pPr>
        <w:pStyle w:val="ListParagraph"/>
        <w:numPr>
          <w:ilvl w:val="0"/>
          <w:numId w:val="1"/>
        </w:numPr>
        <w:spacing w:after="80"/>
      </w:pPr>
      <w:r>
        <w:t xml:space="preserve">Étendre à un second modèle (gpt2-medium, ou un modèle de la famille testée par CoE/D²HScore) pour vérifier que le sens du signal se réplique.</w:t>
      </w:r>
    </w:p>
    <w:p>
      <w:pPr>
        <w:pStyle w:val="ListParagraph"/>
        <w:numPr>
          <w:ilvl w:val="0"/>
          <w:numId w:val="1"/>
        </w:numPr>
        <w:spacing w:after="80"/>
      </w:pPr>
      <w:r>
        <w:t xml:space="preserve">Si un écrit est envisagé : le positionner honnêtement comme une réplication méthodologiquement renforcée de Chain-of-Embedding sur GPT-2, assortie d'une réfutation explicite de l'hypothèse de dwell time — pas comme une découverte.</w:t>
      </w:r>
    </w:p>
    <w:p>
      <w:pPr>
        <w:pStyle w:val="Heading1"/>
        <w:spacing w:after="180" w:before="360"/>
      </w:pPr>
      <w:r>
        <w:t xml:space="preserve">7. Livrables techniques produits</w:t>
      </w:r>
    </w:p>
    <w:p>
      <w:pPr>
        <w:pStyle w:val="ListParagraph"/>
        <w:numPr>
          <w:ilvl w:val="0"/>
          <w:numId w:val="1"/>
        </w:numPr>
        <w:spacing w:after="80"/>
      </w:pPr>
      <w:r>
        <w:t xml:space="preserve">topological_navigation_agent_v33.py — agent de certification sur paysage synthétique, hiérarchie de sévérité, cartographie de navigation multi-régimes.</w:t>
      </w:r>
    </w:p>
    <w:p>
      <w:pPr>
        <w:pStyle w:val="ListParagraph"/>
        <w:numPr>
          <w:ilvl w:val="0"/>
          <w:numId w:val="1"/>
        </w:numPr>
        <w:spacing w:after="80"/>
      </w:pPr>
      <w:r>
        <w:t xml:space="preserve">gpt2_navigation_certificate_validation.ipynb — notebook Colab complet (25 cellules) : garde-fou synthétique, extraction GPT-2, features sans fuite, tests de significativité isolés, comparaison à Chain-of-Embedding.</w:t>
      </w:r>
    </w:p>
    <w:p>
      <w:pPr>
        <w:pStyle w:val="ListParagraph"/>
        <w:numPr>
          <w:ilvl w:val="0"/>
          <w:numId w:val="1"/>
        </w:numPr>
        <w:spacing w:after="80"/>
      </w:pPr>
      <w:r>
        <w:t xml:space="preserve">validate_pipeline_synthetic.py / validate_saddle_score.py — harnais de validation indépendants pour toute nouvelle définition de feature avant usage sur données réelles.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ProbatioH1 — Certification de navigation neuronale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2026-08-19T21:16:17.412Z</dcterms:created>
  <dcterms:modified xsi:type="dcterms:W3CDTF">2026-08-19T21:16:17.427Z</dcterms:modified>
</cp:coreProperties>
</file>

<file path=docProps/custom.xml><?xml version="1.0" encoding="utf-8"?>
<Properties xmlns="http://schemas.openxmlformats.org/officeDocument/2006/custom-properties" xmlns:vt="http://schemas.openxmlformats.org/officeDocument/2006/docPropsVTypes"/>
</file>